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188F7" w14:textId="13776FD5" w:rsidR="000F0B55" w:rsidRDefault="007F1613" w:rsidP="007F1613">
      <w:pPr>
        <w:spacing w:after="0"/>
        <w:rPr>
          <w:rFonts w:ascii="Arial" w:hAnsi="Arial" w:cs="Arial"/>
          <w:b/>
          <w:bCs/>
        </w:rPr>
      </w:pPr>
      <w:r w:rsidRPr="007F1613">
        <w:rPr>
          <w:rFonts w:ascii="Arial" w:hAnsi="Arial" w:cs="Arial"/>
          <w:b/>
          <w:bCs/>
        </w:rPr>
        <w:t>How is the political integration of ethnic minorities related to their social integration?</w:t>
      </w:r>
    </w:p>
    <w:p w14:paraId="556C7F86" w14:textId="77777777" w:rsidR="007F1613" w:rsidRPr="00903F87" w:rsidRDefault="007F1613" w:rsidP="007F1613">
      <w:pPr>
        <w:spacing w:after="0"/>
        <w:rPr>
          <w:rFonts w:ascii="Arial" w:hAnsi="Arial" w:cs="Arial"/>
        </w:rPr>
      </w:pPr>
    </w:p>
    <w:p w14:paraId="1C4D6025" w14:textId="2CE45311" w:rsidR="009B4D0A" w:rsidRDefault="00903F87" w:rsidP="00F3416C">
      <w:pPr>
        <w:spacing w:after="0"/>
        <w:rPr>
          <w:rFonts w:ascii="Arial" w:hAnsi="Arial" w:cs="Arial"/>
        </w:rPr>
      </w:pPr>
      <w:r>
        <w:rPr>
          <w:rFonts w:ascii="Arial" w:hAnsi="Arial" w:cs="Arial"/>
        </w:rPr>
        <w:t xml:space="preserve">The </w:t>
      </w:r>
      <w:r w:rsidR="003F14D2">
        <w:rPr>
          <w:rFonts w:ascii="Arial" w:hAnsi="Arial" w:cs="Arial"/>
        </w:rPr>
        <w:t xml:space="preserve">specific policy preferences of ethnic minorities, driven by the discrimination they experience due to a lack of full social integration, mean that full political integration remains unachieved. </w:t>
      </w:r>
      <w:r w:rsidR="00181C06">
        <w:rPr>
          <w:rFonts w:ascii="Arial" w:hAnsi="Arial" w:cs="Arial"/>
        </w:rPr>
        <w:t xml:space="preserve">I argue that </w:t>
      </w:r>
      <w:proofErr w:type="gramStart"/>
      <w:r w:rsidR="00181C06">
        <w:rPr>
          <w:rFonts w:ascii="Arial" w:hAnsi="Arial" w:cs="Arial"/>
        </w:rPr>
        <w:t>a</w:t>
      </w:r>
      <w:r w:rsidR="003F14D2">
        <w:rPr>
          <w:rFonts w:ascii="Arial" w:hAnsi="Arial" w:cs="Arial"/>
        </w:rPr>
        <w:t>s long as</w:t>
      </w:r>
      <w:proofErr w:type="gramEnd"/>
      <w:r w:rsidR="003F14D2">
        <w:rPr>
          <w:rFonts w:ascii="Arial" w:hAnsi="Arial" w:cs="Arial"/>
        </w:rPr>
        <w:t xml:space="preserve"> ethnic minorities continue to face different social experiences and challenges than the ethnic majority, the ways in which they engage with politics will </w:t>
      </w:r>
      <w:r w:rsidR="00296709">
        <w:rPr>
          <w:rFonts w:ascii="Arial" w:hAnsi="Arial" w:cs="Arial"/>
        </w:rPr>
        <w:t>continue to</w:t>
      </w:r>
      <w:r w:rsidR="003F14D2">
        <w:rPr>
          <w:rFonts w:ascii="Arial" w:hAnsi="Arial" w:cs="Arial"/>
        </w:rPr>
        <w:t xml:space="preserve"> differ. </w:t>
      </w:r>
      <w:r w:rsidR="00181C06">
        <w:rPr>
          <w:rFonts w:ascii="Arial" w:hAnsi="Arial" w:cs="Arial"/>
        </w:rPr>
        <w:t>This thesis is evidenced in two main ways: first</w:t>
      </w:r>
      <w:r w:rsidR="00296709">
        <w:rPr>
          <w:rFonts w:ascii="Arial" w:hAnsi="Arial" w:cs="Arial"/>
        </w:rPr>
        <w:t>ly</w:t>
      </w:r>
      <w:r w:rsidR="00181C06">
        <w:rPr>
          <w:rFonts w:ascii="Arial" w:hAnsi="Arial" w:cs="Arial"/>
        </w:rPr>
        <w:t xml:space="preserve">, while ethnic minorities assimilate towards the ethnic majority in terms of political </w:t>
      </w:r>
      <w:r w:rsidR="00CB6A45">
        <w:rPr>
          <w:rFonts w:ascii="Arial" w:hAnsi="Arial" w:cs="Arial"/>
        </w:rPr>
        <w:t>orientations</w:t>
      </w:r>
      <w:r w:rsidR="00181C06">
        <w:rPr>
          <w:rFonts w:ascii="Arial" w:hAnsi="Arial" w:cs="Arial"/>
        </w:rPr>
        <w:t xml:space="preserve"> such as </w:t>
      </w:r>
      <w:r w:rsidR="00296709">
        <w:rPr>
          <w:rFonts w:ascii="Arial" w:hAnsi="Arial" w:cs="Arial"/>
        </w:rPr>
        <w:t xml:space="preserve">voter </w:t>
      </w:r>
      <w:r w:rsidR="00181C06">
        <w:rPr>
          <w:rFonts w:ascii="Arial" w:hAnsi="Arial" w:cs="Arial"/>
        </w:rPr>
        <w:t>turnout</w:t>
      </w:r>
      <w:r w:rsidR="00CB6A45">
        <w:rPr>
          <w:rFonts w:ascii="Arial" w:hAnsi="Arial" w:cs="Arial"/>
        </w:rPr>
        <w:t xml:space="preserve"> and political knowledge</w:t>
      </w:r>
      <w:r w:rsidR="00181C06">
        <w:rPr>
          <w:rFonts w:ascii="Arial" w:hAnsi="Arial" w:cs="Arial"/>
        </w:rPr>
        <w:t xml:space="preserve">, ethnic minorities still have distinct voting behaviours, which can be explained through their shared experiences of discrimination. Secondly, despite increasing rates of descriptive representation for ethnic minorities, substantive underrepresentation of ethnic minority interests is still prevalent, due to limited political incentive for authentic inclusion. </w:t>
      </w:r>
    </w:p>
    <w:p w14:paraId="1ED2ECFA" w14:textId="77777777" w:rsidR="009B4D0A" w:rsidRDefault="009B4D0A" w:rsidP="00F3416C">
      <w:pPr>
        <w:spacing w:after="0"/>
        <w:rPr>
          <w:rFonts w:ascii="Arial" w:hAnsi="Arial" w:cs="Arial"/>
        </w:rPr>
      </w:pPr>
    </w:p>
    <w:p w14:paraId="7FC7BA3B" w14:textId="29211B01" w:rsidR="00F3416C" w:rsidRDefault="00F3416C" w:rsidP="00F3416C">
      <w:pPr>
        <w:spacing w:after="0"/>
        <w:rPr>
          <w:rFonts w:ascii="Arial" w:hAnsi="Arial" w:cs="Arial"/>
        </w:rPr>
      </w:pPr>
      <w:r>
        <w:rPr>
          <w:rFonts w:ascii="Arial" w:hAnsi="Arial" w:cs="Arial"/>
        </w:rPr>
        <w:t xml:space="preserve">In this essay, I will take </w:t>
      </w:r>
      <w:commentRangeStart w:id="0"/>
      <w:r>
        <w:rPr>
          <w:rFonts w:ascii="Arial" w:hAnsi="Arial" w:cs="Arial"/>
        </w:rPr>
        <w:t>‘integration’</w:t>
      </w:r>
      <w:commentRangeEnd w:id="0"/>
      <w:r w:rsidR="007E5C38">
        <w:rPr>
          <w:rStyle w:val="Verwijzingopmerking"/>
        </w:rPr>
        <w:commentReference w:id="0"/>
      </w:r>
      <w:r>
        <w:rPr>
          <w:rFonts w:ascii="Arial" w:hAnsi="Arial" w:cs="Arial"/>
        </w:rPr>
        <w:t xml:space="preserve"> as involving three different stages: exclusion, or complete lack of integration; inclusion, or partial integration, in which ethnic minorities are included to some extent; and assimilation, or full integration, in which ethnic minorities are not seen as distinct from the ethnic majority. I will not make any normative claims about which level of integration should be reached. ‘Ethnicity’ will be defined </w:t>
      </w:r>
      <w:proofErr w:type="gramStart"/>
      <w:r>
        <w:rPr>
          <w:rFonts w:ascii="Arial" w:hAnsi="Arial" w:cs="Arial"/>
        </w:rPr>
        <w:t>on the basis of</w:t>
      </w:r>
      <w:proofErr w:type="gramEnd"/>
      <w:r>
        <w:rPr>
          <w:rFonts w:ascii="Arial" w:hAnsi="Arial" w:cs="Arial"/>
        </w:rPr>
        <w:t xml:space="preserve"> a person’s recent family’s country of origin, </w:t>
      </w:r>
      <w:proofErr w:type="gramStart"/>
      <w:r>
        <w:rPr>
          <w:rFonts w:ascii="Arial" w:hAnsi="Arial" w:cs="Arial"/>
        </w:rPr>
        <w:t>in order to</w:t>
      </w:r>
      <w:proofErr w:type="gramEnd"/>
      <w:r>
        <w:rPr>
          <w:rFonts w:ascii="Arial" w:hAnsi="Arial" w:cs="Arial"/>
        </w:rPr>
        <w:t xml:space="preserve"> include second and later generation immigrants as ‘ethnic </w:t>
      </w:r>
      <w:proofErr w:type="gramStart"/>
      <w:r>
        <w:rPr>
          <w:rFonts w:ascii="Arial" w:hAnsi="Arial" w:cs="Arial"/>
        </w:rPr>
        <w:t>minorities’</w:t>
      </w:r>
      <w:proofErr w:type="gramEnd"/>
      <w:r>
        <w:rPr>
          <w:rFonts w:ascii="Arial" w:hAnsi="Arial" w:cs="Arial"/>
        </w:rPr>
        <w:t xml:space="preserve">. </w:t>
      </w:r>
    </w:p>
    <w:p w14:paraId="3C8124D0" w14:textId="77777777" w:rsidR="00181C06" w:rsidRDefault="00181C06" w:rsidP="003F14D2">
      <w:pPr>
        <w:spacing w:after="0"/>
        <w:rPr>
          <w:rFonts w:ascii="Arial" w:hAnsi="Arial" w:cs="Arial"/>
        </w:rPr>
      </w:pPr>
    </w:p>
    <w:p w14:paraId="7F446163" w14:textId="11D49342" w:rsidR="00F3416C" w:rsidRDefault="00146552" w:rsidP="009B4D0A">
      <w:pPr>
        <w:spacing w:after="0"/>
        <w:rPr>
          <w:rFonts w:ascii="Arial" w:hAnsi="Arial" w:cs="Arial"/>
        </w:rPr>
      </w:pPr>
      <w:commentRangeStart w:id="1"/>
      <w:r>
        <w:rPr>
          <w:rFonts w:ascii="Arial" w:hAnsi="Arial" w:cs="Arial"/>
        </w:rPr>
        <w:t>Patterns around the social and political behaviour of ethnic minorities seem to suggest that they might be an inherently distinct group</w:t>
      </w:r>
      <w:commentRangeEnd w:id="1"/>
      <w:r w:rsidR="007E5C38">
        <w:rPr>
          <w:rStyle w:val="Verwijzingopmerking"/>
        </w:rPr>
        <w:commentReference w:id="1"/>
      </w:r>
      <w:r>
        <w:rPr>
          <w:rFonts w:ascii="Arial" w:hAnsi="Arial" w:cs="Arial"/>
        </w:rPr>
        <w:t xml:space="preserve">. Relatively high rates of in-group exclusivity, with a 2008 survey showing that almost 10% of those with Turkish roots in Germany had no contact with the German-origin, non-Turkish population, as well as chain migration, leading to ethnic minority ‘enclaves’ composed of ethnic minority populations with regions of origin, contribute to the appearance that ethnic minorities have low rates of social integration. This is mirrored in mass public opinion: a 2010 survey revealed that only one-third of Western Europeans thought Muslim ethnic minorities were integrating well, while 58% thought they were not. At the same time, </w:t>
      </w:r>
      <w:r w:rsidR="009B4D0A">
        <w:rPr>
          <w:rFonts w:ascii="Arial" w:hAnsi="Arial" w:cs="Arial"/>
        </w:rPr>
        <w:t xml:space="preserve">belonging to an ethnic minority group is a significant predictor of voting patterns. </w:t>
      </w:r>
      <w:r w:rsidR="00F3416C">
        <w:rPr>
          <w:rFonts w:ascii="Arial" w:hAnsi="Arial" w:cs="Arial"/>
        </w:rPr>
        <w:t xml:space="preserve">In Britain, a consistent 80% of ethnic minorities voted for Labour from 1974-2001; although the number has declined slightly now, Labour still retains around 70% of the ethnic minority vote. This pattern holds across Western Europe, where ethnic minority voters largely swing for left-wing parties. </w:t>
      </w:r>
      <w:r w:rsidR="009B4D0A">
        <w:rPr>
          <w:rFonts w:ascii="Arial" w:hAnsi="Arial" w:cs="Arial"/>
        </w:rPr>
        <w:t xml:space="preserve">These behaviours give the appearance that ethnic minorities have a distinct political agenda, which might not only exist independent of their level of social integration, but also contribute to their continued </w:t>
      </w:r>
      <w:commentRangeStart w:id="2"/>
      <w:commentRangeStart w:id="3"/>
      <w:r w:rsidR="009B4D0A">
        <w:rPr>
          <w:rFonts w:ascii="Arial" w:hAnsi="Arial" w:cs="Arial"/>
        </w:rPr>
        <w:t>exclusion</w:t>
      </w:r>
      <w:commentRangeEnd w:id="2"/>
      <w:r w:rsidR="007E5C38">
        <w:rPr>
          <w:rStyle w:val="Verwijzingopmerking"/>
        </w:rPr>
        <w:commentReference w:id="2"/>
      </w:r>
      <w:commentRangeEnd w:id="3"/>
      <w:r w:rsidR="007E5C38">
        <w:rPr>
          <w:rStyle w:val="Verwijzingopmerking"/>
        </w:rPr>
        <w:commentReference w:id="3"/>
      </w:r>
      <w:r w:rsidR="009B4D0A">
        <w:rPr>
          <w:rFonts w:ascii="Arial" w:hAnsi="Arial" w:cs="Arial"/>
        </w:rPr>
        <w:t xml:space="preserve">. </w:t>
      </w:r>
    </w:p>
    <w:p w14:paraId="0216E7FB" w14:textId="77777777" w:rsidR="007F1613" w:rsidRDefault="007F1613" w:rsidP="007F1613">
      <w:pPr>
        <w:spacing w:after="0"/>
        <w:rPr>
          <w:rFonts w:ascii="Arial" w:hAnsi="Arial" w:cs="Arial"/>
        </w:rPr>
      </w:pPr>
    </w:p>
    <w:p w14:paraId="54B583BE" w14:textId="749A0AD9" w:rsidR="009B4D0A" w:rsidRDefault="009B4D0A" w:rsidP="007F1613">
      <w:pPr>
        <w:spacing w:after="0"/>
        <w:rPr>
          <w:rFonts w:ascii="Arial" w:hAnsi="Arial" w:cs="Arial"/>
        </w:rPr>
      </w:pPr>
      <w:r>
        <w:rPr>
          <w:rFonts w:ascii="Arial" w:hAnsi="Arial" w:cs="Arial"/>
        </w:rPr>
        <w:lastRenderedPageBreak/>
        <w:t>However, I argue that ethnic minorities’ political behaviour and integration is dependent on the social acceptance of their identities, beliefs, and interests – there is nothing inherently distinct</w:t>
      </w:r>
      <w:r w:rsidR="001473F4">
        <w:rPr>
          <w:rFonts w:ascii="Arial" w:hAnsi="Arial" w:cs="Arial"/>
        </w:rPr>
        <w:t xml:space="preserve"> about the group </w:t>
      </w:r>
      <w:r w:rsidR="00677075">
        <w:rPr>
          <w:rFonts w:ascii="Arial" w:hAnsi="Arial" w:cs="Arial"/>
        </w:rPr>
        <w:t>that leads</w:t>
      </w:r>
      <w:r w:rsidR="001473F4">
        <w:rPr>
          <w:rFonts w:ascii="Arial" w:hAnsi="Arial" w:cs="Arial"/>
        </w:rPr>
        <w:t xml:space="preserve"> to their political behaviour</w:t>
      </w:r>
      <w:r>
        <w:rPr>
          <w:rFonts w:ascii="Arial" w:hAnsi="Arial" w:cs="Arial"/>
        </w:rPr>
        <w:t xml:space="preserve">. </w:t>
      </w:r>
      <w:r w:rsidR="00FF6B07">
        <w:rPr>
          <w:rFonts w:ascii="Arial" w:hAnsi="Arial" w:cs="Arial"/>
        </w:rPr>
        <w:t>In facets where</w:t>
      </w:r>
      <w:r>
        <w:rPr>
          <w:rFonts w:ascii="Arial" w:hAnsi="Arial" w:cs="Arial"/>
        </w:rPr>
        <w:t xml:space="preserve"> </w:t>
      </w:r>
      <w:r w:rsidR="00FF6B07">
        <w:rPr>
          <w:rFonts w:ascii="Arial" w:hAnsi="Arial" w:cs="Arial"/>
        </w:rPr>
        <w:t>social treatment</w:t>
      </w:r>
      <w:r>
        <w:rPr>
          <w:rFonts w:ascii="Arial" w:hAnsi="Arial" w:cs="Arial"/>
        </w:rPr>
        <w:t xml:space="preserve"> does not create </w:t>
      </w:r>
      <w:r w:rsidR="00FF6B07">
        <w:rPr>
          <w:rFonts w:ascii="Arial" w:hAnsi="Arial" w:cs="Arial"/>
        </w:rPr>
        <w:t xml:space="preserve">a distinct set of experiences and </w:t>
      </w:r>
      <w:r>
        <w:rPr>
          <w:rFonts w:ascii="Arial" w:hAnsi="Arial" w:cs="Arial"/>
        </w:rPr>
        <w:t xml:space="preserve">interests, ethnic minorities assimilate towards ethnic majority political behaviours. Examining the behaviour of five major ethnic minority (Indian, Pakistani, Bangladeshi, black Caribbean, black African) groups in Britain, Heath et al. (2013) found that the political orientations of immigrants converged to the white British majority over generations: second generation ethnic minorities had declining levels of interest in homeland politics, a decreased sense of a duty to vote, and increasing levels of political knowledge, compared to first generation ethnic minorities, which brought them closer to </w:t>
      </w:r>
      <w:r w:rsidR="00FF6B07">
        <w:rPr>
          <w:rFonts w:ascii="Arial" w:hAnsi="Arial" w:cs="Arial"/>
        </w:rPr>
        <w:t xml:space="preserve">the political orientations of white British citizens aged 18-45. </w:t>
      </w:r>
      <w:r w:rsidR="0014725F">
        <w:rPr>
          <w:rFonts w:ascii="Arial" w:hAnsi="Arial" w:cs="Arial"/>
        </w:rPr>
        <w:t>In Britain, p</w:t>
      </w:r>
      <w:r w:rsidR="00FF6B07">
        <w:rPr>
          <w:rFonts w:ascii="Arial" w:hAnsi="Arial" w:cs="Arial"/>
        </w:rPr>
        <w:t xml:space="preserve">olitical </w:t>
      </w:r>
      <w:r w:rsidR="0014725F">
        <w:rPr>
          <w:rFonts w:ascii="Arial" w:hAnsi="Arial" w:cs="Arial"/>
        </w:rPr>
        <w:t>turnout</w:t>
      </w:r>
      <w:r w:rsidR="00FF6B07">
        <w:rPr>
          <w:rFonts w:ascii="Arial" w:hAnsi="Arial" w:cs="Arial"/>
        </w:rPr>
        <w:t xml:space="preserve"> is not impeded by </w:t>
      </w:r>
      <w:r w:rsidR="0014725F">
        <w:rPr>
          <w:rFonts w:ascii="Arial" w:hAnsi="Arial" w:cs="Arial"/>
        </w:rPr>
        <w:t xml:space="preserve">severe </w:t>
      </w:r>
      <w:r w:rsidR="00FF6B07">
        <w:rPr>
          <w:rFonts w:ascii="Arial" w:hAnsi="Arial" w:cs="Arial"/>
        </w:rPr>
        <w:t xml:space="preserve">citizenship barriers, and lower rates of voter registration amongst ethnic minorities are not significant once controlling for socioeconomic </w:t>
      </w:r>
      <w:commentRangeStart w:id="4"/>
      <w:r w:rsidR="00FF6B07">
        <w:rPr>
          <w:rFonts w:ascii="Arial" w:hAnsi="Arial" w:cs="Arial"/>
        </w:rPr>
        <w:t>marginalisation. At the same time</w:t>
      </w:r>
      <w:commentRangeEnd w:id="4"/>
      <w:r w:rsidR="008F3AC2">
        <w:rPr>
          <w:rStyle w:val="Verwijzingopmerking"/>
        </w:rPr>
        <w:commentReference w:id="4"/>
      </w:r>
      <w:r w:rsidR="00FF6B07">
        <w:rPr>
          <w:rFonts w:ascii="Arial" w:hAnsi="Arial" w:cs="Arial"/>
        </w:rPr>
        <w:t xml:space="preserve">, where social integration is refused to ethnic minorities, </w:t>
      </w:r>
      <w:r w:rsidR="001473F4">
        <w:rPr>
          <w:rFonts w:ascii="Arial" w:hAnsi="Arial" w:cs="Arial"/>
        </w:rPr>
        <w:t xml:space="preserve">favourable opinion towards </w:t>
      </w:r>
      <w:r w:rsidR="00FF6B07">
        <w:rPr>
          <w:rFonts w:ascii="Arial" w:hAnsi="Arial" w:cs="Arial"/>
        </w:rPr>
        <w:t xml:space="preserve">political participation decreases. In a survey experiment on nationally represented Latino adults in the US, Pérez (2014) found that there was a statistically significant, negative relationship between the interaction term for exposure to xenophobia and high sense of Latino identity, with political trust – for those who have a strong sense of ethnic identity, xenophobic rhetoric </w:t>
      </w:r>
      <w:r w:rsidR="00617456">
        <w:rPr>
          <w:rFonts w:ascii="Arial" w:hAnsi="Arial" w:cs="Arial"/>
        </w:rPr>
        <w:t xml:space="preserve">both </w:t>
      </w:r>
      <w:r w:rsidR="00FF6B07">
        <w:rPr>
          <w:rFonts w:ascii="Arial" w:hAnsi="Arial" w:cs="Arial"/>
        </w:rPr>
        <w:t>raises the salience of this</w:t>
      </w:r>
      <w:r w:rsidR="00617456">
        <w:rPr>
          <w:rFonts w:ascii="Arial" w:hAnsi="Arial" w:cs="Arial"/>
        </w:rPr>
        <w:t xml:space="preserve"> identity</w:t>
      </w:r>
      <w:r w:rsidR="00FF6B07">
        <w:rPr>
          <w:rFonts w:ascii="Arial" w:hAnsi="Arial" w:cs="Arial"/>
        </w:rPr>
        <w:t xml:space="preserve"> and produces decreasing trust in the political system. </w:t>
      </w:r>
      <w:r w:rsidR="001473F4">
        <w:rPr>
          <w:rFonts w:ascii="Arial" w:hAnsi="Arial" w:cs="Arial"/>
        </w:rPr>
        <w:t>Cross-nationally, countries with more fractionalised, polarised, and ethnically concentrated groups have a statistically significant, substantially lower turnout in elections (Martinez i Coma and Nai, 2017). Thus, the social acceptance and integration of minorities is crucial for their political integration in terms of participation and trust in political systems.</w:t>
      </w:r>
    </w:p>
    <w:p w14:paraId="3F0711EA" w14:textId="77777777" w:rsidR="001473F4" w:rsidRDefault="001473F4" w:rsidP="007F1613">
      <w:pPr>
        <w:spacing w:after="0"/>
        <w:rPr>
          <w:rFonts w:ascii="Arial" w:hAnsi="Arial" w:cs="Arial"/>
        </w:rPr>
      </w:pPr>
    </w:p>
    <w:p w14:paraId="5BB53803" w14:textId="770EE128" w:rsidR="00C40085" w:rsidRDefault="001473F4" w:rsidP="007F1613">
      <w:pPr>
        <w:spacing w:after="0"/>
        <w:rPr>
          <w:rFonts w:ascii="Arial" w:hAnsi="Arial" w:cs="Arial"/>
        </w:rPr>
      </w:pPr>
      <w:r>
        <w:rPr>
          <w:rFonts w:ascii="Arial" w:hAnsi="Arial" w:cs="Arial"/>
        </w:rPr>
        <w:t xml:space="preserve">The distinctness of ethnic minorities’ voting preferences is also shaped by the lack of full social integration they experience, and </w:t>
      </w:r>
      <w:proofErr w:type="gramStart"/>
      <w:r>
        <w:rPr>
          <w:rFonts w:ascii="Arial" w:hAnsi="Arial" w:cs="Arial"/>
        </w:rPr>
        <w:t>in particular group</w:t>
      </w:r>
      <w:proofErr w:type="gramEnd"/>
      <w:r>
        <w:rPr>
          <w:rFonts w:ascii="Arial" w:hAnsi="Arial" w:cs="Arial"/>
        </w:rPr>
        <w:t xml:space="preserve"> experiences of discrimination. </w:t>
      </w:r>
      <w:r w:rsidR="00617456">
        <w:rPr>
          <w:rFonts w:ascii="Arial" w:hAnsi="Arial" w:cs="Arial"/>
        </w:rPr>
        <w:t>One such example is the experience of higher rates of unemployment by ethnic minorities a</w:t>
      </w:r>
      <w:r>
        <w:rPr>
          <w:rFonts w:ascii="Arial" w:hAnsi="Arial" w:cs="Arial"/>
        </w:rPr>
        <w:t xml:space="preserve">cross Western Europe: in France, first-generation Algerian immigrants have a 30.1% unemployment rate, compared to 10.1% for the native French population. These experiences are </w:t>
      </w:r>
      <w:r w:rsidR="002E1CAB">
        <w:rPr>
          <w:rFonts w:ascii="Arial" w:hAnsi="Arial" w:cs="Arial"/>
        </w:rPr>
        <w:t xml:space="preserve">not purely due to differences in rates of education: Heath et al., (2013) find that even the most successful minorities are unlikely to obtain an income or occupation that matches with their level of qualifications and experience. </w:t>
      </w:r>
    </w:p>
    <w:p w14:paraId="7DA2FC79" w14:textId="77777777" w:rsidR="00C40085" w:rsidRDefault="00C40085" w:rsidP="007F1613">
      <w:pPr>
        <w:spacing w:after="0"/>
        <w:rPr>
          <w:rFonts w:ascii="Arial" w:hAnsi="Arial" w:cs="Arial"/>
        </w:rPr>
      </w:pPr>
    </w:p>
    <w:p w14:paraId="3EB559C4" w14:textId="77777777" w:rsidR="00C40085" w:rsidRDefault="002E1CAB" w:rsidP="007F1613">
      <w:pPr>
        <w:spacing w:after="0"/>
        <w:rPr>
          <w:rFonts w:ascii="Arial" w:hAnsi="Arial" w:cs="Arial"/>
        </w:rPr>
      </w:pPr>
      <w:r>
        <w:rPr>
          <w:rFonts w:ascii="Arial" w:hAnsi="Arial" w:cs="Arial"/>
        </w:rPr>
        <w:t>Such an employment gap is only one aspect of the broader experience of ‘</w:t>
      </w:r>
      <w:commentRangeStart w:id="5"/>
      <w:proofErr w:type="spellStart"/>
      <w:r>
        <w:rPr>
          <w:rFonts w:ascii="Arial" w:hAnsi="Arial" w:cs="Arial"/>
        </w:rPr>
        <w:t>sociotropic</w:t>
      </w:r>
      <w:proofErr w:type="spellEnd"/>
      <w:r>
        <w:rPr>
          <w:rFonts w:ascii="Arial" w:hAnsi="Arial" w:cs="Arial"/>
        </w:rPr>
        <w:t xml:space="preserve"> discrimination’</w:t>
      </w:r>
      <w:commentRangeEnd w:id="5"/>
      <w:r w:rsidR="008F3AC2">
        <w:rPr>
          <w:rStyle w:val="Verwijzingopmerking"/>
        </w:rPr>
        <w:commentReference w:id="5"/>
      </w:r>
      <w:r>
        <w:rPr>
          <w:rFonts w:ascii="Arial" w:hAnsi="Arial" w:cs="Arial"/>
        </w:rPr>
        <w:t xml:space="preserve">, or </w:t>
      </w:r>
      <w:r w:rsidR="00C40085">
        <w:rPr>
          <w:rFonts w:ascii="Arial" w:hAnsi="Arial" w:cs="Arial"/>
        </w:rPr>
        <w:t>the perception</w:t>
      </w:r>
      <w:r>
        <w:rPr>
          <w:rFonts w:ascii="Arial" w:hAnsi="Arial" w:cs="Arial"/>
        </w:rPr>
        <w:t xml:space="preserve"> </w:t>
      </w:r>
      <w:r w:rsidR="00C40085">
        <w:rPr>
          <w:rFonts w:ascii="Arial" w:hAnsi="Arial" w:cs="Arial"/>
        </w:rPr>
        <w:t xml:space="preserve">of discrimination against </w:t>
      </w:r>
      <w:r>
        <w:rPr>
          <w:rFonts w:ascii="Arial" w:hAnsi="Arial" w:cs="Arial"/>
        </w:rPr>
        <w:t>the ethnic minority group, not just the individual</w:t>
      </w:r>
      <w:r w:rsidR="00C40085">
        <w:rPr>
          <w:rFonts w:ascii="Arial" w:hAnsi="Arial" w:cs="Arial"/>
        </w:rPr>
        <w:t xml:space="preserve"> – this perspective leads to ethnic minorities’ distinct party preferences</w:t>
      </w:r>
      <w:r>
        <w:rPr>
          <w:rFonts w:ascii="Arial" w:hAnsi="Arial" w:cs="Arial"/>
        </w:rPr>
        <w:t xml:space="preserve">. Using data from the 2010 Ethnic Minority British Electoral Study (EMBES), Sanders et al. (2013) find through multinomial logit models that for the most part, ethnic minority voters operate on a similar voting calculus as white </w:t>
      </w:r>
      <w:r>
        <w:rPr>
          <w:rFonts w:ascii="Arial" w:hAnsi="Arial" w:cs="Arial"/>
        </w:rPr>
        <w:lastRenderedPageBreak/>
        <w:t xml:space="preserve">voters. The primary difference in voting patterns is explained through the mediating variable of </w:t>
      </w:r>
      <w:proofErr w:type="spellStart"/>
      <w:r>
        <w:rPr>
          <w:rFonts w:ascii="Arial" w:hAnsi="Arial" w:cs="Arial"/>
        </w:rPr>
        <w:t>sociotropic</w:t>
      </w:r>
      <w:proofErr w:type="spellEnd"/>
      <w:r>
        <w:rPr>
          <w:rFonts w:ascii="Arial" w:hAnsi="Arial" w:cs="Arial"/>
        </w:rPr>
        <w:t xml:space="preserve"> discrimination: the regression of the interaction term, participation in British cultural practices and </w:t>
      </w:r>
      <w:proofErr w:type="spellStart"/>
      <w:r>
        <w:rPr>
          <w:rFonts w:ascii="Arial" w:hAnsi="Arial" w:cs="Arial"/>
        </w:rPr>
        <w:t>sociotropic</w:t>
      </w:r>
      <w:proofErr w:type="spellEnd"/>
      <w:r>
        <w:rPr>
          <w:rFonts w:ascii="Arial" w:hAnsi="Arial" w:cs="Arial"/>
        </w:rPr>
        <w:t xml:space="preserve"> experiences of discrimination, with support for Labour produces a positive coefficient, significant at the 95% confidence level. Even for voters who are socially integrated, as represented </w:t>
      </w:r>
      <w:proofErr w:type="gramStart"/>
      <w:r>
        <w:rPr>
          <w:rFonts w:ascii="Arial" w:hAnsi="Arial" w:cs="Arial"/>
        </w:rPr>
        <w:t>by the use of</w:t>
      </w:r>
      <w:proofErr w:type="gramEnd"/>
      <w:r>
        <w:rPr>
          <w:rFonts w:ascii="Arial" w:hAnsi="Arial" w:cs="Arial"/>
        </w:rPr>
        <w:t xml:space="preserve"> ‘participation in British cultural practices’ in the interaction term, </w:t>
      </w:r>
      <w:r w:rsidR="00C40085">
        <w:rPr>
          <w:rFonts w:ascii="Arial" w:hAnsi="Arial" w:cs="Arial"/>
        </w:rPr>
        <w:t xml:space="preserve">group experiences of discrimination </w:t>
      </w:r>
      <w:proofErr w:type="gramStart"/>
      <w:r w:rsidR="00C40085">
        <w:rPr>
          <w:rFonts w:ascii="Arial" w:hAnsi="Arial" w:cs="Arial"/>
        </w:rPr>
        <w:t>continues</w:t>
      </w:r>
      <w:proofErr w:type="gramEnd"/>
      <w:r w:rsidR="00C40085">
        <w:rPr>
          <w:rFonts w:ascii="Arial" w:hAnsi="Arial" w:cs="Arial"/>
        </w:rPr>
        <w:t xml:space="preserve"> to drive political choices. This conclusion is supported by cross-national comparisons: in Bergh and Bjorklund’s (2011) examination of voting patterns across Western Europe and North America, they found that the ideological and socioeconomic composition of the immigrant electorate is not sufficient to explain their preferences for left-of-centre parties: group adherence is the primary explanatory variable. Thus, the fact that that ethnic minority voters seemingly act as a distinct group is not due to some inherent difference, but due to the entry of shared experiences of discrimination into their vote-choice calculus. </w:t>
      </w:r>
    </w:p>
    <w:p w14:paraId="4451E966" w14:textId="77777777" w:rsidR="00C40085" w:rsidRDefault="00C40085" w:rsidP="007F1613">
      <w:pPr>
        <w:spacing w:after="0"/>
        <w:rPr>
          <w:rFonts w:ascii="Arial" w:hAnsi="Arial" w:cs="Arial"/>
        </w:rPr>
      </w:pPr>
    </w:p>
    <w:p w14:paraId="7D283D74" w14:textId="6B54FDB9" w:rsidR="001473F4" w:rsidRDefault="00C40085" w:rsidP="00E00D0D">
      <w:pPr>
        <w:spacing w:after="0"/>
        <w:rPr>
          <w:rFonts w:ascii="Arial" w:hAnsi="Arial" w:cs="Arial"/>
        </w:rPr>
      </w:pPr>
      <w:commentRangeStart w:id="6"/>
      <w:commentRangeStart w:id="7"/>
      <w:r>
        <w:rPr>
          <w:rFonts w:ascii="Arial" w:hAnsi="Arial" w:cs="Arial"/>
        </w:rPr>
        <w:t>This social discrimination against ethnic minorities continues at the political level</w:t>
      </w:r>
      <w:commentRangeEnd w:id="6"/>
      <w:r w:rsidR="008F3AC2">
        <w:rPr>
          <w:rStyle w:val="Verwijzingopmerking"/>
        </w:rPr>
        <w:commentReference w:id="6"/>
      </w:r>
      <w:commentRangeEnd w:id="7"/>
      <w:r w:rsidR="00436EDA">
        <w:rPr>
          <w:rStyle w:val="Verwijzingopmerking"/>
        </w:rPr>
        <w:commentReference w:id="7"/>
      </w:r>
      <w:r>
        <w:rPr>
          <w:rFonts w:ascii="Arial" w:hAnsi="Arial" w:cs="Arial"/>
        </w:rPr>
        <w:t xml:space="preserve">,  where the political interests of minorities continue to be underrepresented. </w:t>
      </w:r>
      <w:r w:rsidR="00E00D0D">
        <w:rPr>
          <w:rFonts w:ascii="Arial" w:hAnsi="Arial" w:cs="Arial"/>
        </w:rPr>
        <w:t xml:space="preserve">In a conjoint experiment with a panel study of British voters, Martin and Blinder (2020) found that ethnic minority candidates overall were disproportionately penalised at the ballot, conditional on whether they held pro-minority policy positions. Pakistani candidates faced direct discrimination due to the ethnic identity, while black Caribbean candidates might experience similar levels of support from voters, </w:t>
      </w:r>
      <w:proofErr w:type="gramStart"/>
      <w:r w:rsidR="00E00D0D">
        <w:rPr>
          <w:rFonts w:ascii="Arial" w:hAnsi="Arial" w:cs="Arial"/>
        </w:rPr>
        <w:t>as long as</w:t>
      </w:r>
      <w:proofErr w:type="gramEnd"/>
      <w:r w:rsidR="00E00D0D">
        <w:rPr>
          <w:rFonts w:ascii="Arial" w:hAnsi="Arial" w:cs="Arial"/>
        </w:rPr>
        <w:t xml:space="preserve"> they did not hold pro-minority positions with regards to refugees, affirmative action and the expansion of racial equality laws. </w:t>
      </w:r>
      <w:proofErr w:type="spellStart"/>
      <w:r w:rsidR="00E00D0D">
        <w:rPr>
          <w:rFonts w:ascii="Arial" w:hAnsi="Arial" w:cs="Arial"/>
        </w:rPr>
        <w:t>Jacobsmeier’s</w:t>
      </w:r>
      <w:proofErr w:type="spellEnd"/>
      <w:r w:rsidR="00E00D0D">
        <w:rPr>
          <w:rFonts w:ascii="Arial" w:hAnsi="Arial" w:cs="Arial"/>
        </w:rPr>
        <w:t xml:space="preserve"> (2014) modelling of pooled data from the American National Election Studies (ANES) and Cooperative Congressional Election Studies (CCES) data supports this: white voters perceived black candidates as more liberal than white candidates even when they held similar policy positions, which had an indirect effect against voting in black candidates. Such biases against ethnic minority candidates – assuming them to hold more liberal policy </w:t>
      </w:r>
      <w:proofErr w:type="gramStart"/>
      <w:r w:rsidR="00E00D0D">
        <w:rPr>
          <w:rFonts w:ascii="Arial" w:hAnsi="Arial" w:cs="Arial"/>
        </w:rPr>
        <w:t>positions, and</w:t>
      </w:r>
      <w:proofErr w:type="gramEnd"/>
      <w:r w:rsidR="00E00D0D">
        <w:rPr>
          <w:rFonts w:ascii="Arial" w:hAnsi="Arial" w:cs="Arial"/>
        </w:rPr>
        <w:t xml:space="preserve"> accruing electoral penalties against them when they do hold pro-minority positions – means that even where there is greater numerical inclusion of ethnic minorities, their political interests are not fully represented, and thus not even partial political integration has been genuinely achieved. Parties themselves contribute to this: in Latin America, </w:t>
      </w:r>
      <w:r w:rsidR="00570D90">
        <w:rPr>
          <w:rFonts w:ascii="Arial" w:hAnsi="Arial" w:cs="Arial"/>
        </w:rPr>
        <w:t xml:space="preserve">regression analysis of MP ideological self-placement with historically marginalised identity, including ethnic minority status, drawn from elite survey data from 1998-2019, reveals that elected politicians from historically marginalised groups are not ideologically different from their counterparts, nor does their inclusion shift party ideology. </w:t>
      </w:r>
      <w:proofErr w:type="spellStart"/>
      <w:r w:rsidR="005F2248">
        <w:rPr>
          <w:rFonts w:ascii="Arial" w:hAnsi="Arial" w:cs="Arial"/>
        </w:rPr>
        <w:t>Dancygier</w:t>
      </w:r>
      <w:proofErr w:type="spellEnd"/>
      <w:r w:rsidR="005F2248">
        <w:rPr>
          <w:rFonts w:ascii="Arial" w:hAnsi="Arial" w:cs="Arial"/>
        </w:rPr>
        <w:t xml:space="preserve"> (2017) accounts for this phenomenon as a ‘symbolic inclusion’, where the nomination of ethnic minority candidates is dependent on whether they are strategic for mobilising ethnic minority voters. There is a positive correlation between the number of ethnic minority voters in the electorate and the nomination of ethnic minority candidates, particularly within </w:t>
      </w:r>
      <w:r w:rsidR="005F2248">
        <w:rPr>
          <w:rFonts w:ascii="Arial" w:hAnsi="Arial" w:cs="Arial"/>
        </w:rPr>
        <w:lastRenderedPageBreak/>
        <w:t xml:space="preserve">centre-left parties, due to the electoral gains they can accrue – centre-left parties also do better in ensuring that the descriptive representation of their candidates matches the district (Farrer and </w:t>
      </w:r>
      <w:proofErr w:type="spellStart"/>
      <w:r w:rsidR="005F2248">
        <w:rPr>
          <w:rFonts w:ascii="Arial" w:hAnsi="Arial" w:cs="Arial"/>
        </w:rPr>
        <w:t>Zingher</w:t>
      </w:r>
      <w:proofErr w:type="spellEnd"/>
      <w:r w:rsidR="005F2248">
        <w:rPr>
          <w:rFonts w:ascii="Arial" w:hAnsi="Arial" w:cs="Arial"/>
        </w:rPr>
        <w:t>, 2018). Thus, even in cases where ethnic minorities do have political representation, such integration tends to be less-than-partial due to its symbolic nature, and the lack of genuine representation of their interests.</w:t>
      </w:r>
    </w:p>
    <w:p w14:paraId="1488BB22" w14:textId="77777777" w:rsidR="00C40085" w:rsidRDefault="00C40085" w:rsidP="00C40085">
      <w:pPr>
        <w:spacing w:after="0"/>
        <w:rPr>
          <w:rFonts w:ascii="Arial" w:hAnsi="Arial" w:cs="Arial"/>
        </w:rPr>
      </w:pPr>
    </w:p>
    <w:p w14:paraId="0971DCD6" w14:textId="1831D013" w:rsidR="00C40085" w:rsidRDefault="005F2248" w:rsidP="00C40085">
      <w:pPr>
        <w:spacing w:after="0"/>
        <w:rPr>
          <w:rFonts w:ascii="Arial" w:hAnsi="Arial" w:cs="Arial"/>
        </w:rPr>
      </w:pPr>
      <w:r>
        <w:rPr>
          <w:rFonts w:ascii="Arial" w:hAnsi="Arial" w:cs="Arial"/>
        </w:rPr>
        <w:t>Overall, t</w:t>
      </w:r>
      <w:r w:rsidR="00C40085">
        <w:rPr>
          <w:rFonts w:ascii="Arial" w:hAnsi="Arial" w:cs="Arial"/>
        </w:rPr>
        <w:t xml:space="preserve">he disparity in political behaviour and preferences between ethnic minorities and the ethnic majority – that is, their lack of full political integration – is driven by the lack of full social integration, </w:t>
      </w:r>
      <w:r w:rsidR="005B3DCC">
        <w:rPr>
          <w:rFonts w:ascii="Arial" w:hAnsi="Arial" w:cs="Arial"/>
        </w:rPr>
        <w:t>in which</w:t>
      </w:r>
      <w:r w:rsidR="00C40085">
        <w:rPr>
          <w:rFonts w:ascii="Arial" w:hAnsi="Arial" w:cs="Arial"/>
        </w:rPr>
        <w:t xml:space="preserve"> ethnic minorities continue to face ethnicity-based discrimination at higher rates. </w:t>
      </w:r>
      <w:r w:rsidR="005B3DCC">
        <w:rPr>
          <w:rFonts w:ascii="Arial" w:hAnsi="Arial" w:cs="Arial"/>
        </w:rPr>
        <w:t xml:space="preserve">Experiences of discrimination account for differences in attitudes towards political institutions that ethnic minorities might have, as well as their preference for left-leaning parties, who traditionally legislate against such discrimination. </w:t>
      </w:r>
      <w:r w:rsidR="005E27E8">
        <w:rPr>
          <w:rFonts w:ascii="Arial" w:hAnsi="Arial" w:cs="Arial"/>
        </w:rPr>
        <w:t xml:space="preserve">These experiences also determine the political interests of ethnic minorities, which are still underrepresented within elected governments. </w:t>
      </w:r>
    </w:p>
    <w:p w14:paraId="36380FC3" w14:textId="77777777" w:rsidR="005E27E8" w:rsidRDefault="005E27E8" w:rsidP="00C40085">
      <w:pPr>
        <w:spacing w:after="0"/>
        <w:rPr>
          <w:rFonts w:ascii="Arial" w:hAnsi="Arial" w:cs="Arial"/>
        </w:rPr>
      </w:pPr>
    </w:p>
    <w:p w14:paraId="5CD0A5CA" w14:textId="185C5D4E" w:rsidR="005E27E8" w:rsidRDefault="005E27E8" w:rsidP="00C40085">
      <w:pPr>
        <w:spacing w:after="0"/>
        <w:rPr>
          <w:rFonts w:ascii="Arial" w:hAnsi="Arial" w:cs="Arial"/>
        </w:rPr>
      </w:pPr>
      <w:r>
        <w:rPr>
          <w:rFonts w:ascii="Arial" w:hAnsi="Arial" w:cs="Arial"/>
          <w:b/>
          <w:bCs/>
        </w:rPr>
        <w:t>Bibliography</w:t>
      </w:r>
    </w:p>
    <w:p w14:paraId="0BF9149A" w14:textId="4A638947" w:rsidR="006E6582" w:rsidRPr="006E6582" w:rsidRDefault="00550B0E" w:rsidP="006E6582">
      <w:pPr>
        <w:spacing w:after="0"/>
        <w:rPr>
          <w:rFonts w:ascii="Arial" w:hAnsi="Arial" w:cs="Arial"/>
        </w:rPr>
      </w:pPr>
      <w:r>
        <w:rPr>
          <w:rFonts w:ascii="Arial" w:hAnsi="Arial" w:cs="Arial"/>
        </w:rPr>
        <w:t xml:space="preserve">  </w:t>
      </w:r>
      <w:r w:rsidR="006E6582" w:rsidRPr="006E6582">
        <w:rPr>
          <w:rFonts w:ascii="Arial" w:hAnsi="Arial" w:cs="Arial"/>
        </w:rPr>
        <w:t>Bergh, Johannes, and Tor Bjorklund. 2011. “The Revival of Group Voting: Explaining the Voting Preferences of Immigrants in Norway.” Political Studies 59(2): 308–327.</w:t>
      </w:r>
    </w:p>
    <w:p w14:paraId="2AE69B8F" w14:textId="0B13EC31" w:rsidR="006E6582" w:rsidRPr="006E6582" w:rsidRDefault="00550B0E" w:rsidP="006E6582">
      <w:pPr>
        <w:spacing w:after="0"/>
        <w:rPr>
          <w:rFonts w:ascii="Arial" w:hAnsi="Arial" w:cs="Arial"/>
          <w:b/>
          <w:bCs/>
        </w:rPr>
      </w:pPr>
      <w:r>
        <w:rPr>
          <w:rFonts w:ascii="Arial" w:hAnsi="Arial" w:cs="Arial"/>
        </w:rPr>
        <w:t xml:space="preserve">  </w:t>
      </w:r>
      <w:proofErr w:type="spellStart"/>
      <w:r w:rsidR="006E6582" w:rsidRPr="006E6582">
        <w:rPr>
          <w:rFonts w:ascii="Arial" w:hAnsi="Arial" w:cs="Arial"/>
        </w:rPr>
        <w:t>Dancygier</w:t>
      </w:r>
      <w:proofErr w:type="spellEnd"/>
      <w:r w:rsidR="006E6582" w:rsidRPr="006E6582">
        <w:rPr>
          <w:rFonts w:ascii="Arial" w:hAnsi="Arial" w:cs="Arial"/>
        </w:rPr>
        <w:t>, Rafaela M. 2017. Dilemmas of Inclusion: Muslims in European Politics. Princeton: Princeton University Press. </w:t>
      </w:r>
    </w:p>
    <w:p w14:paraId="1383EC07" w14:textId="654C72B3" w:rsidR="006E6582" w:rsidRPr="006E6582" w:rsidRDefault="00550B0E" w:rsidP="006E6582">
      <w:pPr>
        <w:spacing w:after="0"/>
        <w:rPr>
          <w:rFonts w:ascii="Arial" w:hAnsi="Arial" w:cs="Arial"/>
        </w:rPr>
      </w:pPr>
      <w:r>
        <w:rPr>
          <w:rFonts w:ascii="Arial" w:hAnsi="Arial" w:cs="Arial"/>
        </w:rPr>
        <w:t xml:space="preserve">  </w:t>
      </w:r>
      <w:r w:rsidR="006E6582" w:rsidRPr="006E6582">
        <w:rPr>
          <w:rFonts w:ascii="Arial" w:hAnsi="Arial" w:cs="Arial"/>
        </w:rPr>
        <w:t>Farrer, Benjamin David, and Joshua N Zingher. 2018. “Explaining the Nomination of Ethnic Minority Candidates: How Party-Level Factors and District-Level Factors Interact.” Journal of Elections, Public Opinion &amp; Parties 29(2).</w:t>
      </w:r>
    </w:p>
    <w:p w14:paraId="62A47917" w14:textId="64156B65" w:rsidR="006E6582" w:rsidRPr="006E6582" w:rsidRDefault="00550B0E" w:rsidP="006E6582">
      <w:pPr>
        <w:spacing w:after="0"/>
        <w:rPr>
          <w:rFonts w:ascii="Arial" w:hAnsi="Arial" w:cs="Arial"/>
          <w:b/>
          <w:bCs/>
        </w:rPr>
      </w:pPr>
      <w:r>
        <w:rPr>
          <w:rFonts w:ascii="Arial" w:hAnsi="Arial" w:cs="Arial"/>
        </w:rPr>
        <w:t xml:space="preserve">  </w:t>
      </w:r>
      <w:r w:rsidR="006E6582" w:rsidRPr="006E6582">
        <w:rPr>
          <w:rFonts w:ascii="Arial" w:hAnsi="Arial" w:cs="Arial"/>
        </w:rPr>
        <w:t>Heath, Anthony F et al. 2013. The Political Integration of Ethnic Minorities in Britain. Oxford University Press.</w:t>
      </w:r>
    </w:p>
    <w:p w14:paraId="582A9286" w14:textId="58D3BBED" w:rsidR="006E6582" w:rsidRPr="006E6582" w:rsidRDefault="00550B0E" w:rsidP="006E6582">
      <w:pPr>
        <w:spacing w:after="0"/>
        <w:rPr>
          <w:rFonts w:ascii="Arial" w:hAnsi="Arial" w:cs="Arial"/>
        </w:rPr>
      </w:pPr>
      <w:r>
        <w:rPr>
          <w:rFonts w:ascii="Arial" w:hAnsi="Arial" w:cs="Arial"/>
        </w:rPr>
        <w:t xml:space="preserve">  </w:t>
      </w:r>
      <w:proofErr w:type="spellStart"/>
      <w:r w:rsidR="006E6582" w:rsidRPr="006E6582">
        <w:rPr>
          <w:rFonts w:ascii="Arial" w:hAnsi="Arial" w:cs="Arial"/>
        </w:rPr>
        <w:t>Jacobsmeier</w:t>
      </w:r>
      <w:proofErr w:type="spellEnd"/>
      <w:r w:rsidR="006E6582" w:rsidRPr="006E6582">
        <w:rPr>
          <w:rFonts w:ascii="Arial" w:hAnsi="Arial" w:cs="Arial"/>
        </w:rPr>
        <w:t xml:space="preserve">, Matthew L. 2014. “From Black and White to Left and Right: Race, Perceptions of Candidates’ Ideologies, and Voting </w:t>
      </w:r>
      <w:proofErr w:type="spellStart"/>
      <w:r w:rsidR="006E6582" w:rsidRPr="006E6582">
        <w:rPr>
          <w:rFonts w:ascii="Arial" w:hAnsi="Arial" w:cs="Arial"/>
        </w:rPr>
        <w:t>Behavior</w:t>
      </w:r>
      <w:proofErr w:type="spellEnd"/>
      <w:r w:rsidR="006E6582" w:rsidRPr="006E6582">
        <w:rPr>
          <w:rFonts w:ascii="Arial" w:hAnsi="Arial" w:cs="Arial"/>
        </w:rPr>
        <w:t xml:space="preserve"> in U.S. House Elections.” Political </w:t>
      </w:r>
      <w:proofErr w:type="spellStart"/>
      <w:r w:rsidR="006E6582" w:rsidRPr="006E6582">
        <w:rPr>
          <w:rFonts w:ascii="Arial" w:hAnsi="Arial" w:cs="Arial"/>
        </w:rPr>
        <w:t>Behavior</w:t>
      </w:r>
      <w:proofErr w:type="spellEnd"/>
      <w:r w:rsidR="006E6582" w:rsidRPr="006E6582">
        <w:rPr>
          <w:rFonts w:ascii="Arial" w:hAnsi="Arial" w:cs="Arial"/>
        </w:rPr>
        <w:t xml:space="preserve"> 37(3): 595–621. </w:t>
      </w:r>
    </w:p>
    <w:p w14:paraId="2D5F6D3E" w14:textId="3F953113" w:rsidR="006E6582" w:rsidRPr="006E6582" w:rsidRDefault="00550B0E" w:rsidP="006E6582">
      <w:pPr>
        <w:spacing w:after="0"/>
        <w:rPr>
          <w:rFonts w:ascii="Arial" w:hAnsi="Arial" w:cs="Arial"/>
        </w:rPr>
      </w:pPr>
      <w:r>
        <w:rPr>
          <w:rFonts w:ascii="Arial" w:hAnsi="Arial" w:cs="Arial"/>
        </w:rPr>
        <w:t xml:space="preserve">  </w:t>
      </w:r>
      <w:r w:rsidR="006E6582" w:rsidRPr="006E6582">
        <w:rPr>
          <w:rFonts w:ascii="Arial" w:hAnsi="Arial" w:cs="Arial"/>
        </w:rPr>
        <w:t>Martin, Nicole S, and Scott Blinder. 2020. “Biases at the Ballot Box: How Multiple Forms of Voter Discrimination Impede the Descriptive and Substantive Representation of Ethnic Minority Groups.” Political Behaviour 26(4).</w:t>
      </w:r>
    </w:p>
    <w:p w14:paraId="144F0EAA" w14:textId="62072B4F" w:rsidR="006E6582" w:rsidRPr="006E6582" w:rsidRDefault="00550B0E" w:rsidP="006E6582">
      <w:pPr>
        <w:spacing w:after="0"/>
        <w:rPr>
          <w:rFonts w:ascii="Arial" w:hAnsi="Arial" w:cs="Arial"/>
        </w:rPr>
      </w:pPr>
      <w:r>
        <w:rPr>
          <w:rFonts w:ascii="Arial" w:hAnsi="Arial" w:cs="Arial"/>
        </w:rPr>
        <w:t xml:space="preserve">  </w:t>
      </w:r>
      <w:r w:rsidR="006E6582" w:rsidRPr="006E6582">
        <w:rPr>
          <w:rFonts w:ascii="Arial" w:hAnsi="Arial" w:cs="Arial"/>
        </w:rPr>
        <w:t xml:space="preserve">Martinez i Coma, Ferran, and Alessandro Nai. 2017. “Ethnic Diversity Decreases Turnout. Comparative Evidence </w:t>
      </w:r>
      <w:proofErr w:type="gramStart"/>
      <w:r w:rsidR="006E6582" w:rsidRPr="006E6582">
        <w:rPr>
          <w:rFonts w:ascii="Arial" w:hAnsi="Arial" w:cs="Arial"/>
        </w:rPr>
        <w:t>From</w:t>
      </w:r>
      <w:proofErr w:type="gramEnd"/>
      <w:r w:rsidR="006E6582" w:rsidRPr="006E6582">
        <w:rPr>
          <w:rFonts w:ascii="Arial" w:hAnsi="Arial" w:cs="Arial"/>
        </w:rPr>
        <w:t xml:space="preserve"> Over 650 Elections Around the World.” Electoral Studies.</w:t>
      </w:r>
    </w:p>
    <w:p w14:paraId="481E3FC2" w14:textId="77FA6BE0" w:rsidR="005E27E8" w:rsidRPr="006E6582" w:rsidRDefault="00550B0E" w:rsidP="006E6582">
      <w:pPr>
        <w:spacing w:after="0"/>
        <w:rPr>
          <w:rFonts w:ascii="Arial" w:hAnsi="Arial" w:cs="Arial"/>
        </w:rPr>
      </w:pPr>
      <w:r>
        <w:rPr>
          <w:rFonts w:ascii="Arial" w:hAnsi="Arial" w:cs="Arial"/>
        </w:rPr>
        <w:t xml:space="preserve">  </w:t>
      </w:r>
      <w:r w:rsidR="006E6582" w:rsidRPr="006E6582">
        <w:rPr>
          <w:rFonts w:ascii="Arial" w:hAnsi="Arial" w:cs="Arial"/>
        </w:rPr>
        <w:t>Pérez, Efrén O. 2014. “Xenophobic Rhetoric and Its Political E</w:t>
      </w:r>
      <w:r w:rsidR="006E6582" w:rsidRPr="006E6582">
        <w:rPr>
          <w:rFonts w:ascii="Cambria Math" w:hAnsi="Cambria Math" w:cs="Cambria Math"/>
        </w:rPr>
        <w:t>ﬀ</w:t>
      </w:r>
      <w:r w:rsidR="006E6582" w:rsidRPr="006E6582">
        <w:rPr>
          <w:rFonts w:ascii="Arial" w:hAnsi="Arial" w:cs="Arial"/>
        </w:rPr>
        <w:t>ects on Immigrants and Their Co-Ethnics.” American Journal of Political Science 59(3): 549–64. </w:t>
      </w:r>
    </w:p>
    <w:p w14:paraId="5F245ECC" w14:textId="4C33E654" w:rsidR="006E6582" w:rsidRDefault="00550B0E" w:rsidP="006E6582">
      <w:pPr>
        <w:spacing w:after="0"/>
        <w:rPr>
          <w:rFonts w:ascii="Arial" w:hAnsi="Arial" w:cs="Arial"/>
        </w:rPr>
      </w:pPr>
      <w:r>
        <w:rPr>
          <w:rFonts w:ascii="Arial" w:hAnsi="Arial" w:cs="Arial"/>
        </w:rPr>
        <w:t xml:space="preserve">  </w:t>
      </w:r>
      <w:r w:rsidR="006E6582" w:rsidRPr="006E6582">
        <w:rPr>
          <w:rFonts w:ascii="Arial" w:hAnsi="Arial" w:cs="Arial"/>
        </w:rPr>
        <w:t>Sanders, David et al. 2013. “The Calculus of Ethnic Minority Voting in Britain.” Political Studies 62(2): 230-251.</w:t>
      </w:r>
    </w:p>
    <w:p w14:paraId="5A1BDF42" w14:textId="77777777" w:rsidR="008F3AC2" w:rsidRDefault="008F3AC2" w:rsidP="006E6582">
      <w:pPr>
        <w:spacing w:after="0"/>
        <w:rPr>
          <w:rFonts w:ascii="Arial" w:hAnsi="Arial" w:cs="Arial"/>
        </w:rPr>
      </w:pPr>
    </w:p>
    <w:p w14:paraId="0704C379" w14:textId="430BE4F9" w:rsidR="008F3AC2" w:rsidRPr="008F3AC2" w:rsidRDefault="008F3AC2" w:rsidP="006E6582">
      <w:pPr>
        <w:spacing w:after="0"/>
        <w:rPr>
          <w:rFonts w:ascii="Arial" w:hAnsi="Arial" w:cs="Arial"/>
          <w:highlight w:val="yellow"/>
        </w:rPr>
      </w:pPr>
      <w:r w:rsidRPr="008F3AC2">
        <w:rPr>
          <w:rFonts w:ascii="Arial" w:hAnsi="Arial" w:cs="Arial"/>
          <w:highlight w:val="yellow"/>
        </w:rPr>
        <w:t>Theoretical thread</w:t>
      </w:r>
      <w:r w:rsidR="00843699">
        <w:rPr>
          <w:rFonts w:ascii="Arial" w:hAnsi="Arial" w:cs="Arial"/>
          <w:highlight w:val="yellow"/>
        </w:rPr>
        <w:t>s</w:t>
      </w:r>
      <w:r w:rsidRPr="008F3AC2">
        <w:rPr>
          <w:rFonts w:ascii="Arial" w:hAnsi="Arial" w:cs="Arial"/>
          <w:highlight w:val="yellow"/>
        </w:rPr>
        <w:t xml:space="preserve"> could have been a bit clearer for overall framing</w:t>
      </w:r>
    </w:p>
    <w:p w14:paraId="6F557648" w14:textId="174070B3" w:rsidR="008F3AC2" w:rsidRPr="006E6582" w:rsidRDefault="008F3AC2" w:rsidP="006E6582">
      <w:pPr>
        <w:spacing w:after="0"/>
        <w:rPr>
          <w:rFonts w:ascii="Arial" w:hAnsi="Arial" w:cs="Arial"/>
        </w:rPr>
      </w:pPr>
      <w:r w:rsidRPr="008F3AC2">
        <w:rPr>
          <w:rFonts w:ascii="Arial" w:hAnsi="Arial" w:cs="Arial"/>
          <w:highlight w:val="yellow"/>
        </w:rPr>
        <w:t>Evidence jumps a bit from branch to branch, have clear hypotheses being tested</w:t>
      </w:r>
    </w:p>
    <w:sectPr w:rsidR="008F3AC2" w:rsidRPr="006E6582" w:rsidSect="002C0AF1">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ye Chang" w:date="2024-11-15T17:30:00Z" w:initials="FC">
    <w:p w14:paraId="7615CB74" w14:textId="77777777" w:rsidR="007E5C38" w:rsidRDefault="007E5C38" w:rsidP="007E5C38">
      <w:r>
        <w:rPr>
          <w:rStyle w:val="Verwijzingopmerking"/>
        </w:rPr>
        <w:annotationRef/>
      </w:r>
      <w:r>
        <w:rPr>
          <w:color w:val="000000"/>
          <w:sz w:val="20"/>
          <w:szCs w:val="20"/>
        </w:rPr>
        <w:t>Would probably draw a distinction between political vs social integration e.g. a fully, politically integrated ethnic minority might bring out ethnic minority issues more prevalently, and achieve policy change on them</w:t>
      </w:r>
    </w:p>
  </w:comment>
  <w:comment w:id="1" w:author="Faye Chang" w:date="2024-11-15T17:33:00Z" w:initials="FC">
    <w:p w14:paraId="7CAB94D5" w14:textId="77777777" w:rsidR="007E5C38" w:rsidRDefault="007E5C38" w:rsidP="007E5C38">
      <w:r>
        <w:rPr>
          <w:rStyle w:val="Verwijzingopmerking"/>
        </w:rPr>
        <w:annotationRef/>
      </w:r>
      <w:r>
        <w:rPr>
          <w:color w:val="000000"/>
          <w:sz w:val="20"/>
          <w:szCs w:val="20"/>
        </w:rPr>
        <w:t>For this descriptive data, be more specific about reference group: everyone in country, or citizens, or registered voters, or people who actually vote – different levels of political integration</w:t>
      </w:r>
    </w:p>
  </w:comment>
  <w:comment w:id="2" w:author="Faye Chang" w:date="2024-11-15T17:31:00Z" w:initials="FC">
    <w:p w14:paraId="0A7AC931" w14:textId="0A8A8168" w:rsidR="007E5C38" w:rsidRDefault="007E5C38" w:rsidP="007E5C38">
      <w:r>
        <w:rPr>
          <w:rStyle w:val="Verwijzingopmerking"/>
        </w:rPr>
        <w:annotationRef/>
      </w:r>
      <w:r>
        <w:rPr>
          <w:color w:val="000000"/>
          <w:sz w:val="20"/>
          <w:szCs w:val="20"/>
        </w:rPr>
        <w:t>In another para, discuss the political side of integration – participation itself, turnout, membership in parties, etc.</w:t>
      </w:r>
    </w:p>
  </w:comment>
  <w:comment w:id="3" w:author="Faye Chang" w:date="2024-11-15T17:31:00Z" w:initials="FC">
    <w:p w14:paraId="78E98707" w14:textId="77777777" w:rsidR="007E5C38" w:rsidRDefault="007E5C38" w:rsidP="007E5C38">
      <w:r>
        <w:rPr>
          <w:rStyle w:val="Verwijzingopmerking"/>
        </w:rPr>
        <w:annotationRef/>
      </w:r>
      <w:r>
        <w:rPr>
          <w:sz w:val="20"/>
          <w:szCs w:val="20"/>
        </w:rPr>
        <w:t xml:space="preserve">Grades to political integration: lack of turnout would be no integration, group voting for one party is partial integration, voting on non-racial basis would be full integration </w:t>
      </w:r>
    </w:p>
  </w:comment>
  <w:comment w:id="4" w:author="Faye Chang" w:date="2024-11-15T17:37:00Z" w:initials="FC">
    <w:p w14:paraId="5EFDA867" w14:textId="77777777" w:rsidR="008F3AC2" w:rsidRDefault="008F3AC2" w:rsidP="008F3AC2">
      <w:r>
        <w:rPr>
          <w:rStyle w:val="Verwijzingopmerking"/>
        </w:rPr>
        <w:annotationRef/>
      </w:r>
      <w:r>
        <w:rPr>
          <w:color w:val="000000"/>
          <w:sz w:val="20"/>
          <w:szCs w:val="20"/>
        </w:rPr>
        <w:t>Two sections could be blended a bit better; complicates the argument but in a good way, is still relevant to the rest of the paragraph</w:t>
      </w:r>
    </w:p>
  </w:comment>
  <w:comment w:id="5" w:author="Faye Chang" w:date="2024-11-15T17:38:00Z" w:initials="FC">
    <w:p w14:paraId="34D46863" w14:textId="77777777" w:rsidR="008F3AC2" w:rsidRDefault="008F3AC2" w:rsidP="008F3AC2">
      <w:r>
        <w:rPr>
          <w:rStyle w:val="Verwijzingopmerking"/>
        </w:rPr>
        <w:annotationRef/>
      </w:r>
      <w:r>
        <w:rPr>
          <w:color w:val="000000"/>
          <w:sz w:val="20"/>
          <w:szCs w:val="20"/>
        </w:rPr>
        <w:t>Examine how much of this is making them disengage in politics, how much of this is pushing them in a certain political direction</w:t>
      </w:r>
    </w:p>
  </w:comment>
  <w:comment w:id="6" w:author="Faye Chang" w:date="2024-11-15T17:40:00Z" w:initials="FC">
    <w:p w14:paraId="50ED0262" w14:textId="77777777" w:rsidR="008F3AC2" w:rsidRDefault="008F3AC2" w:rsidP="008F3AC2">
      <w:r>
        <w:rPr>
          <w:rStyle w:val="Verwijzingopmerking"/>
        </w:rPr>
        <w:annotationRef/>
      </w:r>
      <w:r>
        <w:rPr>
          <w:color w:val="000000"/>
          <w:sz w:val="20"/>
          <w:szCs w:val="20"/>
        </w:rPr>
        <w:t>Would have been helped by clearer definition of political interation</w:t>
      </w:r>
    </w:p>
  </w:comment>
  <w:comment w:id="7" w:author="Faye Chang" w:date="2024-11-15T17:44:00Z" w:initials="FC">
    <w:p w14:paraId="5D0A1638" w14:textId="77777777" w:rsidR="00436EDA" w:rsidRDefault="00436EDA" w:rsidP="00436EDA">
      <w:r>
        <w:rPr>
          <w:rStyle w:val="Verwijzingopmerking"/>
        </w:rPr>
        <w:annotationRef/>
      </w:r>
      <w:r>
        <w:rPr>
          <w:color w:val="000000"/>
          <w:sz w:val="20"/>
          <w:szCs w:val="20"/>
        </w:rPr>
        <w:t>This final para was also too long, could probably have expanded on laying out definitions at the beginning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15CB74" w15:done="0"/>
  <w15:commentEx w15:paraId="7CAB94D5" w15:done="0"/>
  <w15:commentEx w15:paraId="0A7AC931" w15:done="0"/>
  <w15:commentEx w15:paraId="78E98707" w15:paraIdParent="0A7AC931" w15:done="0"/>
  <w15:commentEx w15:paraId="5EFDA867" w15:done="0"/>
  <w15:commentEx w15:paraId="34D46863" w15:done="0"/>
  <w15:commentEx w15:paraId="50ED0262" w15:done="0"/>
  <w15:commentEx w15:paraId="5D0A1638" w15:paraIdParent="50ED02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DD8C14" w16cex:dateUtc="2024-11-15T17:30:00Z"/>
  <w16cex:commentExtensible w16cex:durableId="35A9E695" w16cex:dateUtc="2024-11-15T17:33:00Z"/>
  <w16cex:commentExtensible w16cex:durableId="0BF8EF2F" w16cex:dateUtc="2024-11-15T17:31:00Z"/>
  <w16cex:commentExtensible w16cex:durableId="02F08466" w16cex:dateUtc="2024-11-15T17:31:00Z"/>
  <w16cex:commentExtensible w16cex:durableId="3B24269A" w16cex:dateUtc="2024-11-15T17:37:00Z"/>
  <w16cex:commentExtensible w16cex:durableId="69CE0001" w16cex:dateUtc="2024-11-15T17:38:00Z"/>
  <w16cex:commentExtensible w16cex:durableId="64D33646" w16cex:dateUtc="2024-11-15T17:40:00Z"/>
  <w16cex:commentExtensible w16cex:durableId="6B93B36A" w16cex:dateUtc="2024-11-15T17: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15CB74" w16cid:durableId="3BDD8C14"/>
  <w16cid:commentId w16cid:paraId="7CAB94D5" w16cid:durableId="35A9E695"/>
  <w16cid:commentId w16cid:paraId="0A7AC931" w16cid:durableId="0BF8EF2F"/>
  <w16cid:commentId w16cid:paraId="78E98707" w16cid:durableId="02F08466"/>
  <w16cid:commentId w16cid:paraId="5EFDA867" w16cid:durableId="3B24269A"/>
  <w16cid:commentId w16cid:paraId="34D46863" w16cid:durableId="69CE0001"/>
  <w16cid:commentId w16cid:paraId="50ED0262" w16cid:durableId="64D33646"/>
  <w16cid:commentId w16cid:paraId="5D0A1638" w16cid:durableId="6B93B3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45BF"/>
    <w:multiLevelType w:val="hybridMultilevel"/>
    <w:tmpl w:val="A3A6C3AC"/>
    <w:lvl w:ilvl="0" w:tplc="7CEE1F42">
      <w:start w:val="30"/>
      <w:numFmt w:val="bullet"/>
      <w:lvlText w:val="-"/>
      <w:lvlJc w:val="left"/>
      <w:pPr>
        <w:ind w:left="720" w:hanging="360"/>
      </w:pPr>
      <w:rPr>
        <w:rFonts w:ascii="Arial" w:eastAsiaTheme="minorEastAsia" w:hAnsi="Arial" w:cs="Aria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7E029D"/>
    <w:multiLevelType w:val="hybridMultilevel"/>
    <w:tmpl w:val="DB200820"/>
    <w:lvl w:ilvl="0" w:tplc="622A6194">
      <w:start w:val="30"/>
      <w:numFmt w:val="bullet"/>
      <w:lvlText w:val="-"/>
      <w:lvlJc w:val="left"/>
      <w:pPr>
        <w:ind w:left="720" w:hanging="360"/>
      </w:pPr>
      <w:rPr>
        <w:rFonts w:ascii="Arial" w:eastAsiaTheme="minorEastAsia" w:hAnsi="Arial" w:cs="Aria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6334844">
    <w:abstractNumId w:val="0"/>
  </w:num>
  <w:num w:numId="2" w16cid:durableId="5540011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ye Chang">
    <w15:presenceInfo w15:providerId="Windows Live" w15:userId="d1fb1e0b93f44b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F8F"/>
    <w:rsid w:val="00025F8F"/>
    <w:rsid w:val="00061F4D"/>
    <w:rsid w:val="000F0B55"/>
    <w:rsid w:val="00131C97"/>
    <w:rsid w:val="00146552"/>
    <w:rsid w:val="0014725F"/>
    <w:rsid w:val="001473F4"/>
    <w:rsid w:val="00181C06"/>
    <w:rsid w:val="0019586F"/>
    <w:rsid w:val="001E2530"/>
    <w:rsid w:val="00296709"/>
    <w:rsid w:val="002C0AF1"/>
    <w:rsid w:val="002E1CAB"/>
    <w:rsid w:val="003310BC"/>
    <w:rsid w:val="003F14D2"/>
    <w:rsid w:val="00436EDA"/>
    <w:rsid w:val="00550B0E"/>
    <w:rsid w:val="00570D90"/>
    <w:rsid w:val="005B3DCC"/>
    <w:rsid w:val="005E27E8"/>
    <w:rsid w:val="005F2248"/>
    <w:rsid w:val="00617456"/>
    <w:rsid w:val="00677075"/>
    <w:rsid w:val="00683F4A"/>
    <w:rsid w:val="006E6582"/>
    <w:rsid w:val="007E5C38"/>
    <w:rsid w:val="007F1613"/>
    <w:rsid w:val="008103A9"/>
    <w:rsid w:val="00843699"/>
    <w:rsid w:val="008F3AC2"/>
    <w:rsid w:val="00903F87"/>
    <w:rsid w:val="00953076"/>
    <w:rsid w:val="009B4D0A"/>
    <w:rsid w:val="009E18A0"/>
    <w:rsid w:val="00C40085"/>
    <w:rsid w:val="00CB6A45"/>
    <w:rsid w:val="00D263F1"/>
    <w:rsid w:val="00E00D0D"/>
    <w:rsid w:val="00EE4D4B"/>
    <w:rsid w:val="00F3416C"/>
    <w:rsid w:val="00FF6B0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0E62193"/>
  <w15:chartTrackingRefBased/>
  <w15:docId w15:val="{D2D0F0AA-A884-8E4A-8291-54AFADC10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25F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025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25F8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25F8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25F8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25F8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25F8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25F8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25F8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25F8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025F8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25F8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25F8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25F8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25F8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25F8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25F8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25F8F"/>
    <w:rPr>
      <w:rFonts w:eastAsiaTheme="majorEastAsia" w:cstheme="majorBidi"/>
      <w:color w:val="272727" w:themeColor="text1" w:themeTint="D8"/>
    </w:rPr>
  </w:style>
  <w:style w:type="paragraph" w:styleId="Titel">
    <w:name w:val="Title"/>
    <w:basedOn w:val="Standaard"/>
    <w:next w:val="Standaard"/>
    <w:link w:val="TitelChar"/>
    <w:uiPriority w:val="10"/>
    <w:qFormat/>
    <w:rsid w:val="00025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25F8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25F8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25F8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25F8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25F8F"/>
    <w:rPr>
      <w:i/>
      <w:iCs/>
      <w:color w:val="404040" w:themeColor="text1" w:themeTint="BF"/>
    </w:rPr>
  </w:style>
  <w:style w:type="paragraph" w:styleId="Lijstalinea">
    <w:name w:val="List Paragraph"/>
    <w:basedOn w:val="Standaard"/>
    <w:uiPriority w:val="34"/>
    <w:qFormat/>
    <w:rsid w:val="00025F8F"/>
    <w:pPr>
      <w:ind w:left="720"/>
      <w:contextualSpacing/>
    </w:pPr>
  </w:style>
  <w:style w:type="character" w:styleId="Intensievebenadrukking">
    <w:name w:val="Intense Emphasis"/>
    <w:basedOn w:val="Standaardalinea-lettertype"/>
    <w:uiPriority w:val="21"/>
    <w:qFormat/>
    <w:rsid w:val="00025F8F"/>
    <w:rPr>
      <w:i/>
      <w:iCs/>
      <w:color w:val="0F4761" w:themeColor="accent1" w:themeShade="BF"/>
    </w:rPr>
  </w:style>
  <w:style w:type="paragraph" w:styleId="Duidelijkcitaat">
    <w:name w:val="Intense Quote"/>
    <w:basedOn w:val="Standaard"/>
    <w:next w:val="Standaard"/>
    <w:link w:val="DuidelijkcitaatChar"/>
    <w:uiPriority w:val="30"/>
    <w:qFormat/>
    <w:rsid w:val="00025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25F8F"/>
    <w:rPr>
      <w:i/>
      <w:iCs/>
      <w:color w:val="0F4761" w:themeColor="accent1" w:themeShade="BF"/>
    </w:rPr>
  </w:style>
  <w:style w:type="character" w:styleId="Intensieveverwijzing">
    <w:name w:val="Intense Reference"/>
    <w:basedOn w:val="Standaardalinea-lettertype"/>
    <w:uiPriority w:val="32"/>
    <w:qFormat/>
    <w:rsid w:val="00025F8F"/>
    <w:rPr>
      <w:b/>
      <w:bCs/>
      <w:smallCaps/>
      <w:color w:val="0F4761" w:themeColor="accent1" w:themeShade="BF"/>
      <w:spacing w:val="5"/>
    </w:rPr>
  </w:style>
  <w:style w:type="paragraph" w:styleId="Revisie">
    <w:name w:val="Revision"/>
    <w:hidden/>
    <w:uiPriority w:val="99"/>
    <w:semiHidden/>
    <w:rsid w:val="003310BC"/>
    <w:pPr>
      <w:spacing w:after="0" w:line="240" w:lineRule="auto"/>
    </w:pPr>
  </w:style>
  <w:style w:type="character" w:styleId="Verwijzingopmerking">
    <w:name w:val="annotation reference"/>
    <w:basedOn w:val="Standaardalinea-lettertype"/>
    <w:uiPriority w:val="99"/>
    <w:semiHidden/>
    <w:unhideWhenUsed/>
    <w:rsid w:val="007E5C38"/>
    <w:rPr>
      <w:sz w:val="16"/>
      <w:szCs w:val="16"/>
    </w:rPr>
  </w:style>
  <w:style w:type="paragraph" w:styleId="Tekstopmerking">
    <w:name w:val="annotation text"/>
    <w:basedOn w:val="Standaard"/>
    <w:link w:val="TekstopmerkingChar"/>
    <w:uiPriority w:val="99"/>
    <w:semiHidden/>
    <w:unhideWhenUsed/>
    <w:rsid w:val="007E5C38"/>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7E5C38"/>
    <w:rPr>
      <w:sz w:val="20"/>
      <w:szCs w:val="20"/>
    </w:rPr>
  </w:style>
  <w:style w:type="paragraph" w:styleId="Onderwerpvanopmerking">
    <w:name w:val="annotation subject"/>
    <w:basedOn w:val="Tekstopmerking"/>
    <w:next w:val="Tekstopmerking"/>
    <w:link w:val="OnderwerpvanopmerkingChar"/>
    <w:uiPriority w:val="99"/>
    <w:semiHidden/>
    <w:unhideWhenUsed/>
    <w:rsid w:val="007E5C38"/>
    <w:rPr>
      <w:b/>
      <w:bCs/>
    </w:rPr>
  </w:style>
  <w:style w:type="character" w:customStyle="1" w:styleId="OnderwerpvanopmerkingChar">
    <w:name w:val="Onderwerp van opmerking Char"/>
    <w:basedOn w:val="TekstopmerkingChar"/>
    <w:link w:val="Onderwerpvanopmerking"/>
    <w:uiPriority w:val="99"/>
    <w:semiHidden/>
    <w:rsid w:val="007E5C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0042">
      <w:bodyDiv w:val="1"/>
      <w:marLeft w:val="0"/>
      <w:marRight w:val="0"/>
      <w:marTop w:val="0"/>
      <w:marBottom w:val="0"/>
      <w:divBdr>
        <w:top w:val="none" w:sz="0" w:space="0" w:color="auto"/>
        <w:left w:val="none" w:sz="0" w:space="0" w:color="auto"/>
        <w:bottom w:val="none" w:sz="0" w:space="0" w:color="auto"/>
        <w:right w:val="none" w:sz="0" w:space="0" w:color="auto"/>
      </w:divBdr>
    </w:div>
    <w:div w:id="362902192">
      <w:bodyDiv w:val="1"/>
      <w:marLeft w:val="0"/>
      <w:marRight w:val="0"/>
      <w:marTop w:val="0"/>
      <w:marBottom w:val="0"/>
      <w:divBdr>
        <w:top w:val="none" w:sz="0" w:space="0" w:color="auto"/>
        <w:left w:val="none" w:sz="0" w:space="0" w:color="auto"/>
        <w:bottom w:val="none" w:sz="0" w:space="0" w:color="auto"/>
        <w:right w:val="none" w:sz="0" w:space="0" w:color="auto"/>
      </w:divBdr>
    </w:div>
    <w:div w:id="592973827">
      <w:bodyDiv w:val="1"/>
      <w:marLeft w:val="0"/>
      <w:marRight w:val="0"/>
      <w:marTop w:val="0"/>
      <w:marBottom w:val="0"/>
      <w:divBdr>
        <w:top w:val="none" w:sz="0" w:space="0" w:color="auto"/>
        <w:left w:val="none" w:sz="0" w:space="0" w:color="auto"/>
        <w:bottom w:val="none" w:sz="0" w:space="0" w:color="auto"/>
        <w:right w:val="none" w:sz="0" w:space="0" w:color="auto"/>
      </w:divBdr>
    </w:div>
    <w:div w:id="604927259">
      <w:bodyDiv w:val="1"/>
      <w:marLeft w:val="0"/>
      <w:marRight w:val="0"/>
      <w:marTop w:val="0"/>
      <w:marBottom w:val="0"/>
      <w:divBdr>
        <w:top w:val="none" w:sz="0" w:space="0" w:color="auto"/>
        <w:left w:val="none" w:sz="0" w:space="0" w:color="auto"/>
        <w:bottom w:val="none" w:sz="0" w:space="0" w:color="auto"/>
        <w:right w:val="none" w:sz="0" w:space="0" w:color="auto"/>
      </w:divBdr>
    </w:div>
    <w:div w:id="668949277">
      <w:bodyDiv w:val="1"/>
      <w:marLeft w:val="0"/>
      <w:marRight w:val="0"/>
      <w:marTop w:val="0"/>
      <w:marBottom w:val="0"/>
      <w:divBdr>
        <w:top w:val="none" w:sz="0" w:space="0" w:color="auto"/>
        <w:left w:val="none" w:sz="0" w:space="0" w:color="auto"/>
        <w:bottom w:val="none" w:sz="0" w:space="0" w:color="auto"/>
        <w:right w:val="none" w:sz="0" w:space="0" w:color="auto"/>
      </w:divBdr>
    </w:div>
    <w:div w:id="740711736">
      <w:bodyDiv w:val="1"/>
      <w:marLeft w:val="0"/>
      <w:marRight w:val="0"/>
      <w:marTop w:val="0"/>
      <w:marBottom w:val="0"/>
      <w:divBdr>
        <w:top w:val="none" w:sz="0" w:space="0" w:color="auto"/>
        <w:left w:val="none" w:sz="0" w:space="0" w:color="auto"/>
        <w:bottom w:val="none" w:sz="0" w:space="0" w:color="auto"/>
        <w:right w:val="none" w:sz="0" w:space="0" w:color="auto"/>
      </w:divBdr>
    </w:div>
    <w:div w:id="747309300">
      <w:bodyDiv w:val="1"/>
      <w:marLeft w:val="0"/>
      <w:marRight w:val="0"/>
      <w:marTop w:val="0"/>
      <w:marBottom w:val="0"/>
      <w:divBdr>
        <w:top w:val="none" w:sz="0" w:space="0" w:color="auto"/>
        <w:left w:val="none" w:sz="0" w:space="0" w:color="auto"/>
        <w:bottom w:val="none" w:sz="0" w:space="0" w:color="auto"/>
        <w:right w:val="none" w:sz="0" w:space="0" w:color="auto"/>
      </w:divBdr>
    </w:div>
    <w:div w:id="1158424578">
      <w:bodyDiv w:val="1"/>
      <w:marLeft w:val="0"/>
      <w:marRight w:val="0"/>
      <w:marTop w:val="0"/>
      <w:marBottom w:val="0"/>
      <w:divBdr>
        <w:top w:val="none" w:sz="0" w:space="0" w:color="auto"/>
        <w:left w:val="none" w:sz="0" w:space="0" w:color="auto"/>
        <w:bottom w:val="none" w:sz="0" w:space="0" w:color="auto"/>
        <w:right w:val="none" w:sz="0" w:space="0" w:color="auto"/>
      </w:divBdr>
    </w:div>
    <w:div w:id="1159927743">
      <w:bodyDiv w:val="1"/>
      <w:marLeft w:val="0"/>
      <w:marRight w:val="0"/>
      <w:marTop w:val="0"/>
      <w:marBottom w:val="0"/>
      <w:divBdr>
        <w:top w:val="none" w:sz="0" w:space="0" w:color="auto"/>
        <w:left w:val="none" w:sz="0" w:space="0" w:color="auto"/>
        <w:bottom w:val="none" w:sz="0" w:space="0" w:color="auto"/>
        <w:right w:val="none" w:sz="0" w:space="0" w:color="auto"/>
      </w:divBdr>
    </w:div>
    <w:div w:id="1162040192">
      <w:bodyDiv w:val="1"/>
      <w:marLeft w:val="0"/>
      <w:marRight w:val="0"/>
      <w:marTop w:val="0"/>
      <w:marBottom w:val="0"/>
      <w:divBdr>
        <w:top w:val="none" w:sz="0" w:space="0" w:color="auto"/>
        <w:left w:val="none" w:sz="0" w:space="0" w:color="auto"/>
        <w:bottom w:val="none" w:sz="0" w:space="0" w:color="auto"/>
        <w:right w:val="none" w:sz="0" w:space="0" w:color="auto"/>
      </w:divBdr>
    </w:div>
    <w:div w:id="1253245232">
      <w:bodyDiv w:val="1"/>
      <w:marLeft w:val="0"/>
      <w:marRight w:val="0"/>
      <w:marTop w:val="0"/>
      <w:marBottom w:val="0"/>
      <w:divBdr>
        <w:top w:val="none" w:sz="0" w:space="0" w:color="auto"/>
        <w:left w:val="none" w:sz="0" w:space="0" w:color="auto"/>
        <w:bottom w:val="none" w:sz="0" w:space="0" w:color="auto"/>
        <w:right w:val="none" w:sz="0" w:space="0" w:color="auto"/>
      </w:divBdr>
    </w:div>
    <w:div w:id="1576697275">
      <w:bodyDiv w:val="1"/>
      <w:marLeft w:val="0"/>
      <w:marRight w:val="0"/>
      <w:marTop w:val="0"/>
      <w:marBottom w:val="0"/>
      <w:divBdr>
        <w:top w:val="none" w:sz="0" w:space="0" w:color="auto"/>
        <w:left w:val="none" w:sz="0" w:space="0" w:color="auto"/>
        <w:bottom w:val="none" w:sz="0" w:space="0" w:color="auto"/>
        <w:right w:val="none" w:sz="0" w:space="0" w:color="auto"/>
      </w:divBdr>
    </w:div>
    <w:div w:id="1578250067">
      <w:bodyDiv w:val="1"/>
      <w:marLeft w:val="0"/>
      <w:marRight w:val="0"/>
      <w:marTop w:val="0"/>
      <w:marBottom w:val="0"/>
      <w:divBdr>
        <w:top w:val="none" w:sz="0" w:space="0" w:color="auto"/>
        <w:left w:val="none" w:sz="0" w:space="0" w:color="auto"/>
        <w:bottom w:val="none" w:sz="0" w:space="0" w:color="auto"/>
        <w:right w:val="none" w:sz="0" w:space="0" w:color="auto"/>
      </w:divBdr>
    </w:div>
    <w:div w:id="1813601259">
      <w:bodyDiv w:val="1"/>
      <w:marLeft w:val="0"/>
      <w:marRight w:val="0"/>
      <w:marTop w:val="0"/>
      <w:marBottom w:val="0"/>
      <w:divBdr>
        <w:top w:val="none" w:sz="0" w:space="0" w:color="auto"/>
        <w:left w:val="none" w:sz="0" w:space="0" w:color="auto"/>
        <w:bottom w:val="none" w:sz="0" w:space="0" w:color="auto"/>
        <w:right w:val="none" w:sz="0" w:space="0" w:color="auto"/>
      </w:divBdr>
    </w:div>
    <w:div w:id="1852404444">
      <w:bodyDiv w:val="1"/>
      <w:marLeft w:val="0"/>
      <w:marRight w:val="0"/>
      <w:marTop w:val="0"/>
      <w:marBottom w:val="0"/>
      <w:divBdr>
        <w:top w:val="none" w:sz="0" w:space="0" w:color="auto"/>
        <w:left w:val="none" w:sz="0" w:space="0" w:color="auto"/>
        <w:bottom w:val="none" w:sz="0" w:space="0" w:color="auto"/>
        <w:right w:val="none" w:sz="0" w:space="0" w:color="auto"/>
      </w:divBdr>
    </w:div>
    <w:div w:id="1942638897">
      <w:bodyDiv w:val="1"/>
      <w:marLeft w:val="0"/>
      <w:marRight w:val="0"/>
      <w:marTop w:val="0"/>
      <w:marBottom w:val="0"/>
      <w:divBdr>
        <w:top w:val="none" w:sz="0" w:space="0" w:color="auto"/>
        <w:left w:val="none" w:sz="0" w:space="0" w:color="auto"/>
        <w:bottom w:val="none" w:sz="0" w:space="0" w:color="auto"/>
        <w:right w:val="none" w:sz="0" w:space="0" w:color="auto"/>
      </w:divBdr>
    </w:div>
    <w:div w:id="2143304294">
      <w:bodyDiv w:val="1"/>
      <w:marLeft w:val="0"/>
      <w:marRight w:val="0"/>
      <w:marTop w:val="0"/>
      <w:marBottom w:val="0"/>
      <w:divBdr>
        <w:top w:val="none" w:sz="0" w:space="0" w:color="auto"/>
        <w:left w:val="none" w:sz="0" w:space="0" w:color="auto"/>
        <w:bottom w:val="none" w:sz="0" w:space="0" w:color="auto"/>
        <w:right w:val="none" w:sz="0" w:space="0" w:color="auto"/>
      </w:divBdr>
    </w:div>
    <w:div w:id="2144419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4</Pages>
  <Words>1815</Words>
  <Characters>10782</Characters>
  <Application>Microsoft Office Word</Application>
  <DocSecurity>0</DocSecurity>
  <Lines>192</Lines>
  <Paragraphs>110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Faye Chang</dc:creator>
  <cp:keywords/>
  <dc:description/>
  <cp:lastModifiedBy>Olivier Berg</cp:lastModifiedBy>
  <cp:revision>18</cp:revision>
  <dcterms:created xsi:type="dcterms:W3CDTF">2024-11-15T09:23:00Z</dcterms:created>
  <dcterms:modified xsi:type="dcterms:W3CDTF">2026-01-16T22:25:00Z</dcterms:modified>
</cp:coreProperties>
</file>