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7.1.2 Workflow Calibration Result of Stage 2</w:t>
      </w:r>
    </w:p>
    <w:p>
      <w:r>
        <w:t>Stage 2 calibration used the frozen maturity-scoring prompt as P0 and applied it to the indicator-defined V4 evidence bank. Five subsequent prompt variants were evaluated after targeted refinements. The comparison did not use the existing Togo maturity assessment as an optimisation target; instead, outputs were scored on procedural qualities required by the workflow: parseability, indicator coverage, evidence-ID traceability, phase-gate consistency, justification depth, treatment of contrary or limiting evidence, and specificity of the next-phase gap.</w:t>
      </w:r>
    </w:p>
    <w:tbl>
      <w:tblPr>
        <w:tblStyle w:val="TableGrid"/>
        <w:tblW w:type="auto" w:w="0"/>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616"/>
          </w:tcPr>
          <w:p>
            <w:pPr>
              <w:jc w:val="left"/>
            </w:pPr>
            <w:r/>
            <w:r>
              <w:rPr>
                <w:sz w:val="14"/>
              </w:rPr>
              <w:t>Prompt</w:t>
            </w:r>
          </w:p>
        </w:tc>
        <w:tc>
          <w:tcPr>
            <w:tcW w:type="dxa" w:w="1616"/>
          </w:tcPr>
          <w:p>
            <w:pPr>
              <w:jc w:val="left"/>
            </w:pPr>
            <w:r/>
            <w:r>
              <w:rPr>
                <w:sz w:val="14"/>
              </w:rPr>
              <w:t>Refinement</w:t>
            </w:r>
          </w:p>
        </w:tc>
        <w:tc>
          <w:tcPr>
            <w:tcW w:type="dxa" w:w="1616"/>
          </w:tcPr>
          <w:p>
            <w:pPr>
              <w:jc w:val="left"/>
            </w:pPr>
            <w:r/>
            <w:r>
              <w:rPr>
                <w:sz w:val="14"/>
              </w:rPr>
              <w:t>Score</w:t>
            </w:r>
          </w:p>
        </w:tc>
        <w:tc>
          <w:tcPr>
            <w:tcW w:type="dxa" w:w="1616"/>
          </w:tcPr>
          <w:p>
            <w:pPr>
              <w:jc w:val="left"/>
            </w:pPr>
            <w:r/>
            <w:r>
              <w:rPr>
                <w:sz w:val="14"/>
              </w:rPr>
              <w:t>Parse failures</w:t>
            </w:r>
          </w:p>
        </w:tc>
        <w:tc>
          <w:tcPr>
            <w:tcW w:type="dxa" w:w="1616"/>
          </w:tcPr>
          <w:p>
            <w:pPr>
              <w:jc w:val="left"/>
            </w:pPr>
            <w:r/>
            <w:r>
              <w:rPr>
                <w:sz w:val="14"/>
              </w:rPr>
              <w:t>Coverage</w:t>
            </w:r>
          </w:p>
        </w:tc>
        <w:tc>
          <w:tcPr>
            <w:tcW w:type="dxa" w:w="1616"/>
          </w:tcPr>
          <w:p>
            <w:pPr>
              <w:jc w:val="left"/>
            </w:pPr>
            <w:r/>
            <w:r>
              <w:rPr>
                <w:sz w:val="14"/>
              </w:rPr>
              <w:t>Unknown IDs</w:t>
            </w:r>
          </w:p>
        </w:tc>
        <w:tc>
          <w:tcPr>
            <w:tcW w:type="dxa" w:w="1616"/>
          </w:tcPr>
          <w:p>
            <w:pPr>
              <w:jc w:val="left"/>
            </w:pPr>
            <w:r/>
            <w:r>
              <w:rPr>
                <w:sz w:val="14"/>
              </w:rPr>
              <w:t>Gate failures</w:t>
            </w:r>
          </w:p>
        </w:tc>
        <w:tc>
          <w:tcPr>
            <w:tcW w:type="dxa" w:w="1616"/>
          </w:tcPr>
          <w:p>
            <w:pPr>
              <w:jc w:val="left"/>
            </w:pPr>
            <w:r/>
            <w:r>
              <w:rPr>
                <w:sz w:val="14"/>
              </w:rPr>
              <w:t>Thin reasoning</w:t>
            </w:r>
          </w:p>
        </w:tc>
        <w:tc>
          <w:tcPr>
            <w:tcW w:type="dxa" w:w="1616"/>
          </w:tcPr>
          <w:p>
            <w:pPr>
              <w:jc w:val="left"/>
            </w:pPr>
            <w:r/>
            <w:r>
              <w:rPr>
                <w:sz w:val="14"/>
              </w:rPr>
              <w:t>Weak gaps</w:t>
            </w:r>
          </w:p>
        </w:tc>
      </w:tr>
      <w:tr>
        <w:tc>
          <w:tcPr>
            <w:tcW w:type="dxa" w:w="1616"/>
          </w:tcPr>
          <w:p>
            <w:pPr>
              <w:jc w:val="left"/>
            </w:pPr>
            <w:r/>
            <w:r>
              <w:rPr>
                <w:sz w:val="14"/>
              </w:rPr>
              <w:t>P0</w:t>
            </w:r>
          </w:p>
        </w:tc>
        <w:tc>
          <w:tcPr>
            <w:tcW w:type="dxa" w:w="1616"/>
          </w:tcPr>
          <w:p>
            <w:pPr>
              <w:jc w:val="left"/>
            </w:pPr>
            <w:r/>
            <w:r>
              <w:rPr>
                <w:sz w:val="14"/>
              </w:rPr>
              <w:t>Frozen baseline prompt; no additional refinement.</w:t>
            </w:r>
          </w:p>
        </w:tc>
        <w:tc>
          <w:tcPr>
            <w:tcW w:type="dxa" w:w="1616"/>
          </w:tcPr>
          <w:p>
            <w:pPr>
              <w:jc w:val="left"/>
            </w:pPr>
            <w:r/>
            <w:r>
              <w:rPr>
                <w:sz w:val="14"/>
              </w:rPr>
              <w:t>203/217</w:t>
            </w:r>
          </w:p>
        </w:tc>
        <w:tc>
          <w:tcPr>
            <w:tcW w:type="dxa" w:w="1616"/>
          </w:tcPr>
          <w:p>
            <w:pPr>
              <w:jc w:val="left"/>
            </w:pPr>
            <w:r/>
            <w:r>
              <w:rPr>
                <w:sz w:val="14"/>
              </w:rPr>
              <w:t>0</w:t>
            </w:r>
          </w:p>
        </w:tc>
        <w:tc>
          <w:tcPr>
            <w:tcW w:type="dxa" w:w="1616"/>
          </w:tcPr>
          <w:p>
            <w:pPr>
              <w:jc w:val="left"/>
            </w:pPr>
            <w:r/>
            <w:r>
              <w:rPr>
                <w:sz w:val="14"/>
              </w:rPr>
              <w:t>Yes</w:t>
            </w:r>
          </w:p>
        </w:tc>
        <w:tc>
          <w:tcPr>
            <w:tcW w:type="dxa" w:w="1616"/>
          </w:tcPr>
          <w:p>
            <w:pPr>
              <w:jc w:val="left"/>
            </w:pPr>
            <w:r/>
            <w:r>
              <w:rPr>
                <w:sz w:val="14"/>
              </w:rPr>
              <w:t>1</w:t>
            </w:r>
          </w:p>
        </w:tc>
        <w:tc>
          <w:tcPr>
            <w:tcW w:type="dxa" w:w="1616"/>
          </w:tcPr>
          <w:p>
            <w:pPr>
              <w:jc w:val="left"/>
            </w:pPr>
            <w:r/>
            <w:r>
              <w:rPr>
                <w:sz w:val="14"/>
              </w:rPr>
              <w:t>0</w:t>
            </w:r>
          </w:p>
        </w:tc>
        <w:tc>
          <w:tcPr>
            <w:tcW w:type="dxa" w:w="1616"/>
          </w:tcPr>
          <w:p>
            <w:pPr>
              <w:jc w:val="left"/>
            </w:pPr>
            <w:r/>
            <w:r>
              <w:rPr>
                <w:sz w:val="14"/>
              </w:rPr>
              <w:t>9</w:t>
            </w:r>
          </w:p>
        </w:tc>
        <w:tc>
          <w:tcPr>
            <w:tcW w:type="dxa" w:w="1616"/>
          </w:tcPr>
          <w:p>
            <w:pPr>
              <w:jc w:val="left"/>
            </w:pPr>
            <w:r/>
            <w:r>
              <w:rPr>
                <w:sz w:val="14"/>
              </w:rPr>
              <w:t>3</w:t>
            </w:r>
          </w:p>
        </w:tc>
      </w:tr>
      <w:tr>
        <w:tc>
          <w:tcPr>
            <w:tcW w:type="dxa" w:w="1616"/>
          </w:tcPr>
          <w:p>
            <w:pPr>
              <w:jc w:val="left"/>
            </w:pPr>
            <w:r/>
            <w:r>
              <w:rPr>
                <w:sz w:val="14"/>
              </w:rPr>
              <w:t>P1</w:t>
            </w:r>
          </w:p>
        </w:tc>
        <w:tc>
          <w:tcPr>
            <w:tcW w:type="dxa" w:w="1616"/>
          </w:tcPr>
          <w:p>
            <w:pPr>
              <w:jc w:val="left"/>
            </w:pPr>
            <w:r/>
            <w:r>
              <w:rPr>
                <w:sz w:val="14"/>
              </w:rPr>
              <w:t>Direct-support evidence list restricted to IDs supporting the assigned phase.</w:t>
            </w:r>
          </w:p>
        </w:tc>
        <w:tc>
          <w:tcPr>
            <w:tcW w:type="dxa" w:w="1616"/>
          </w:tcPr>
          <w:p>
            <w:pPr>
              <w:jc w:val="left"/>
            </w:pPr>
            <w:r/>
            <w:r>
              <w:rPr>
                <w:sz w:val="14"/>
              </w:rPr>
              <w:t>206/217</w:t>
            </w:r>
          </w:p>
        </w:tc>
        <w:tc>
          <w:tcPr>
            <w:tcW w:type="dxa" w:w="1616"/>
          </w:tcPr>
          <w:p>
            <w:pPr>
              <w:jc w:val="left"/>
            </w:pPr>
            <w:r/>
            <w:r>
              <w:rPr>
                <w:sz w:val="14"/>
              </w:rPr>
              <w:t>0</w:t>
            </w:r>
          </w:p>
        </w:tc>
        <w:tc>
          <w:tcPr>
            <w:tcW w:type="dxa" w:w="1616"/>
          </w:tcPr>
          <w:p>
            <w:pPr>
              <w:jc w:val="left"/>
            </w:pPr>
            <w:r/>
            <w:r>
              <w:rPr>
                <w:sz w:val="14"/>
              </w:rPr>
              <w:t>Yes</w:t>
            </w:r>
          </w:p>
        </w:tc>
        <w:tc>
          <w:tcPr>
            <w:tcW w:type="dxa" w:w="1616"/>
          </w:tcPr>
          <w:p>
            <w:pPr>
              <w:jc w:val="left"/>
            </w:pPr>
            <w:r/>
            <w:r>
              <w:rPr>
                <w:sz w:val="14"/>
              </w:rPr>
              <w:t>2</w:t>
            </w:r>
          </w:p>
        </w:tc>
        <w:tc>
          <w:tcPr>
            <w:tcW w:type="dxa" w:w="1616"/>
          </w:tcPr>
          <w:p>
            <w:pPr>
              <w:jc w:val="left"/>
            </w:pPr>
            <w:r/>
            <w:r>
              <w:rPr>
                <w:sz w:val="14"/>
              </w:rPr>
              <w:t>2</w:t>
            </w:r>
          </w:p>
        </w:tc>
        <w:tc>
          <w:tcPr>
            <w:tcW w:type="dxa" w:w="1616"/>
          </w:tcPr>
          <w:p>
            <w:pPr>
              <w:jc w:val="left"/>
            </w:pPr>
            <w:r/>
            <w:r>
              <w:rPr>
                <w:sz w:val="14"/>
              </w:rPr>
              <w:t>6</w:t>
            </w:r>
          </w:p>
        </w:tc>
        <w:tc>
          <w:tcPr>
            <w:tcW w:type="dxa" w:w="1616"/>
          </w:tcPr>
          <w:p>
            <w:pPr>
              <w:jc w:val="left"/>
            </w:pPr>
            <w:r/>
            <w:r>
              <w:rPr>
                <w:sz w:val="14"/>
              </w:rPr>
              <w:t>1</w:t>
            </w:r>
          </w:p>
        </w:tc>
      </w:tr>
      <w:tr>
        <w:tc>
          <w:tcPr>
            <w:tcW w:type="dxa" w:w="1616"/>
          </w:tcPr>
          <w:p>
            <w:pPr>
              <w:jc w:val="left"/>
            </w:pPr>
            <w:r/>
            <w:r>
              <w:rPr>
                <w:sz w:val="14"/>
              </w:rPr>
              <w:t>P2</w:t>
            </w:r>
          </w:p>
        </w:tc>
        <w:tc>
          <w:tcPr>
            <w:tcW w:type="dxa" w:w="1616"/>
          </w:tcPr>
          <w:p>
            <w:pPr>
              <w:jc w:val="left"/>
            </w:pPr>
            <w:r/>
            <w:r>
              <w:rPr>
                <w:sz w:val="14"/>
              </w:rPr>
              <w:t>Scope-limiting and implementation-limiting evidence added to contrary/limiting logic.</w:t>
            </w:r>
          </w:p>
        </w:tc>
        <w:tc>
          <w:tcPr>
            <w:tcW w:type="dxa" w:w="1616"/>
          </w:tcPr>
          <w:p>
            <w:pPr>
              <w:jc w:val="left"/>
            </w:pPr>
            <w:r/>
            <w:r>
              <w:rPr>
                <w:sz w:val="14"/>
              </w:rPr>
              <w:t>200/217</w:t>
            </w:r>
          </w:p>
        </w:tc>
        <w:tc>
          <w:tcPr>
            <w:tcW w:type="dxa" w:w="1616"/>
          </w:tcPr>
          <w:p>
            <w:pPr>
              <w:jc w:val="left"/>
            </w:pPr>
            <w:r/>
            <w:r>
              <w:rPr>
                <w:sz w:val="14"/>
              </w:rPr>
              <w:t>0</w:t>
            </w:r>
          </w:p>
        </w:tc>
        <w:tc>
          <w:tcPr>
            <w:tcW w:type="dxa" w:w="1616"/>
          </w:tcPr>
          <w:p>
            <w:pPr>
              <w:jc w:val="left"/>
            </w:pPr>
            <w:r/>
            <w:r>
              <w:rPr>
                <w:sz w:val="14"/>
              </w:rPr>
              <w:t>Yes</w:t>
            </w:r>
          </w:p>
        </w:tc>
        <w:tc>
          <w:tcPr>
            <w:tcW w:type="dxa" w:w="1616"/>
          </w:tcPr>
          <w:p>
            <w:pPr>
              <w:jc w:val="left"/>
            </w:pPr>
            <w:r/>
            <w:r>
              <w:rPr>
                <w:sz w:val="14"/>
              </w:rPr>
              <w:t>1</w:t>
            </w:r>
          </w:p>
        </w:tc>
        <w:tc>
          <w:tcPr>
            <w:tcW w:type="dxa" w:w="1616"/>
          </w:tcPr>
          <w:p>
            <w:pPr>
              <w:jc w:val="left"/>
            </w:pPr>
            <w:r/>
            <w:r>
              <w:rPr>
                <w:sz w:val="14"/>
              </w:rPr>
              <w:t>0</w:t>
            </w:r>
          </w:p>
        </w:tc>
        <w:tc>
          <w:tcPr>
            <w:tcW w:type="dxa" w:w="1616"/>
          </w:tcPr>
          <w:p>
            <w:pPr>
              <w:jc w:val="left"/>
            </w:pPr>
            <w:r/>
            <w:r>
              <w:rPr>
                <w:sz w:val="14"/>
              </w:rPr>
              <w:t>15</w:t>
            </w:r>
          </w:p>
        </w:tc>
        <w:tc>
          <w:tcPr>
            <w:tcW w:type="dxa" w:w="1616"/>
          </w:tcPr>
          <w:p>
            <w:pPr>
              <w:jc w:val="left"/>
            </w:pPr>
            <w:r/>
            <w:r>
              <w:rPr>
                <w:sz w:val="14"/>
              </w:rPr>
              <w:t>1</w:t>
            </w:r>
          </w:p>
        </w:tc>
      </w:tr>
      <w:tr>
        <w:tc>
          <w:tcPr>
            <w:tcW w:type="dxa" w:w="1616"/>
          </w:tcPr>
          <w:p>
            <w:pPr>
              <w:jc w:val="left"/>
            </w:pPr>
            <w:r/>
            <w:r>
              <w:rPr>
                <w:sz w:val="14"/>
              </w:rPr>
              <w:t>P3</w:t>
            </w:r>
          </w:p>
        </w:tc>
        <w:tc>
          <w:tcPr>
            <w:tcW w:type="dxa" w:w="1616"/>
          </w:tcPr>
          <w:p>
            <w:pPr>
              <w:jc w:val="left"/>
            </w:pPr>
            <w:r/>
            <w:r>
              <w:rPr>
                <w:sz w:val="14"/>
              </w:rPr>
              <w:t>Next-phase gap required to name the exact unmet requirement and proof needed.</w:t>
            </w:r>
          </w:p>
        </w:tc>
        <w:tc>
          <w:tcPr>
            <w:tcW w:type="dxa" w:w="1616"/>
          </w:tcPr>
          <w:p>
            <w:pPr>
              <w:jc w:val="left"/>
            </w:pPr>
            <w:r/>
            <w:r>
              <w:rPr>
                <w:sz w:val="14"/>
              </w:rPr>
              <w:t>139/217</w:t>
            </w:r>
          </w:p>
        </w:tc>
        <w:tc>
          <w:tcPr>
            <w:tcW w:type="dxa" w:w="1616"/>
          </w:tcPr>
          <w:p>
            <w:pPr>
              <w:jc w:val="left"/>
            </w:pPr>
            <w:r/>
            <w:r>
              <w:rPr>
                <w:sz w:val="14"/>
              </w:rPr>
              <w:t>1</w:t>
            </w:r>
          </w:p>
        </w:tc>
        <w:tc>
          <w:tcPr>
            <w:tcW w:type="dxa" w:w="1616"/>
          </w:tcPr>
          <w:p>
            <w:pPr>
              <w:jc w:val="left"/>
            </w:pPr>
            <w:r/>
            <w:r>
              <w:rPr>
                <w:sz w:val="14"/>
              </w:rPr>
              <w:t>No</w:t>
            </w:r>
          </w:p>
        </w:tc>
        <w:tc>
          <w:tcPr>
            <w:tcW w:type="dxa" w:w="1616"/>
          </w:tcPr>
          <w:p>
            <w:pPr>
              <w:jc w:val="left"/>
            </w:pPr>
            <w:r/>
            <w:r>
              <w:rPr>
                <w:sz w:val="14"/>
              </w:rPr>
              <w:t>9</w:t>
            </w:r>
          </w:p>
        </w:tc>
        <w:tc>
          <w:tcPr>
            <w:tcW w:type="dxa" w:w="1616"/>
          </w:tcPr>
          <w:p>
            <w:pPr>
              <w:jc w:val="left"/>
            </w:pPr>
            <w:r/>
            <w:r>
              <w:rPr>
                <w:sz w:val="14"/>
              </w:rPr>
              <w:t>2</w:t>
            </w:r>
          </w:p>
        </w:tc>
        <w:tc>
          <w:tcPr>
            <w:tcW w:type="dxa" w:w="1616"/>
          </w:tcPr>
          <w:p>
            <w:pPr>
              <w:jc w:val="left"/>
            </w:pPr>
            <w:r/>
            <w:r>
              <w:rPr>
                <w:sz w:val="14"/>
              </w:rPr>
              <w:t>5</w:t>
            </w:r>
          </w:p>
        </w:tc>
        <w:tc>
          <w:tcPr>
            <w:tcW w:type="dxa" w:w="1616"/>
          </w:tcPr>
          <w:p>
            <w:pPr>
              <w:jc w:val="left"/>
            </w:pPr>
            <w:r/>
            <w:r>
              <w:rPr>
                <w:sz w:val="14"/>
              </w:rPr>
              <w:t>0</w:t>
            </w:r>
          </w:p>
        </w:tc>
      </w:tr>
      <w:tr>
        <w:tc>
          <w:tcPr>
            <w:tcW w:type="dxa" w:w="1616"/>
          </w:tcPr>
          <w:p>
            <w:pPr>
              <w:jc w:val="left"/>
            </w:pPr>
            <w:r/>
            <w:r>
              <w:rPr>
                <w:sz w:val="14"/>
              </w:rPr>
              <w:t>P4</w:t>
            </w:r>
          </w:p>
        </w:tc>
        <w:tc>
          <w:tcPr>
            <w:tcW w:type="dxa" w:w="1616"/>
          </w:tcPr>
          <w:p>
            <w:pPr>
              <w:jc w:val="left"/>
            </w:pPr>
            <w:r/>
            <w:r>
              <w:rPr>
                <w:sz w:val="14"/>
              </w:rPr>
              <w:t>Reasoning required to name concrete institutions, instruments, systems or practices.</w:t>
            </w:r>
          </w:p>
        </w:tc>
        <w:tc>
          <w:tcPr>
            <w:tcW w:type="dxa" w:w="1616"/>
          </w:tcPr>
          <w:p>
            <w:pPr>
              <w:jc w:val="left"/>
            </w:pPr>
            <w:r/>
            <w:r>
              <w:rPr>
                <w:sz w:val="14"/>
              </w:rPr>
              <w:t>212/217</w:t>
            </w:r>
          </w:p>
        </w:tc>
        <w:tc>
          <w:tcPr>
            <w:tcW w:type="dxa" w:w="1616"/>
          </w:tcPr>
          <w:p>
            <w:pPr>
              <w:jc w:val="left"/>
            </w:pPr>
            <w:r/>
            <w:r>
              <w:rPr>
                <w:sz w:val="14"/>
              </w:rPr>
              <w:t>0</w:t>
            </w:r>
          </w:p>
        </w:tc>
        <w:tc>
          <w:tcPr>
            <w:tcW w:type="dxa" w:w="1616"/>
          </w:tcPr>
          <w:p>
            <w:pPr>
              <w:jc w:val="left"/>
            </w:pPr>
            <w:r/>
            <w:r>
              <w:rPr>
                <w:sz w:val="14"/>
              </w:rPr>
              <w:t>Yes</w:t>
            </w:r>
          </w:p>
        </w:tc>
        <w:tc>
          <w:tcPr>
            <w:tcW w:type="dxa" w:w="1616"/>
          </w:tcPr>
          <w:p>
            <w:pPr>
              <w:jc w:val="left"/>
            </w:pPr>
            <w:r/>
            <w:r>
              <w:rPr>
                <w:sz w:val="14"/>
              </w:rPr>
              <w:t>0</w:t>
            </w:r>
          </w:p>
        </w:tc>
        <w:tc>
          <w:tcPr>
            <w:tcW w:type="dxa" w:w="1616"/>
          </w:tcPr>
          <w:p>
            <w:pPr>
              <w:jc w:val="left"/>
            </w:pPr>
            <w:r/>
            <w:r>
              <w:rPr>
                <w:sz w:val="14"/>
              </w:rPr>
              <w:t>1</w:t>
            </w:r>
          </w:p>
        </w:tc>
        <w:tc>
          <w:tcPr>
            <w:tcW w:type="dxa" w:w="1616"/>
          </w:tcPr>
          <w:p>
            <w:pPr>
              <w:jc w:val="left"/>
            </w:pPr>
            <w:r/>
            <w:r>
              <w:rPr>
                <w:sz w:val="14"/>
              </w:rPr>
              <w:t>4</w:t>
            </w:r>
          </w:p>
        </w:tc>
        <w:tc>
          <w:tcPr>
            <w:tcW w:type="dxa" w:w="1616"/>
          </w:tcPr>
          <w:p>
            <w:pPr>
              <w:jc w:val="left"/>
            </w:pPr>
            <w:r/>
            <w:r>
              <w:rPr>
                <w:sz w:val="14"/>
              </w:rPr>
              <w:t>0</w:t>
            </w:r>
          </w:p>
        </w:tc>
      </w:tr>
      <w:tr>
        <w:tc>
          <w:tcPr>
            <w:tcW w:type="dxa" w:w="1616"/>
          </w:tcPr>
          <w:p>
            <w:pPr>
              <w:jc w:val="left"/>
            </w:pPr>
            <w:r/>
            <w:r>
              <w:rPr>
                <w:sz w:val="14"/>
              </w:rPr>
              <w:t>P5</w:t>
            </w:r>
          </w:p>
        </w:tc>
        <w:tc>
          <w:tcPr>
            <w:tcW w:type="dxa" w:w="1616"/>
          </w:tcPr>
          <w:p>
            <w:pPr>
              <w:jc w:val="left"/>
            </w:pPr>
            <w:r/>
            <w:r>
              <w:rPr>
                <w:sz w:val="14"/>
              </w:rPr>
              <w:t>Final consistency audit across phase, requirement checks, limitations and gap.</w:t>
            </w:r>
          </w:p>
        </w:tc>
        <w:tc>
          <w:tcPr>
            <w:tcW w:type="dxa" w:w="1616"/>
          </w:tcPr>
          <w:p>
            <w:pPr>
              <w:jc w:val="left"/>
            </w:pPr>
            <w:r/>
            <w:r>
              <w:rPr>
                <w:sz w:val="14"/>
              </w:rPr>
              <w:t>212/217</w:t>
            </w:r>
          </w:p>
        </w:tc>
        <w:tc>
          <w:tcPr>
            <w:tcW w:type="dxa" w:w="1616"/>
          </w:tcPr>
          <w:p>
            <w:pPr>
              <w:jc w:val="left"/>
            </w:pPr>
            <w:r/>
            <w:r>
              <w:rPr>
                <w:sz w:val="14"/>
              </w:rPr>
              <w:t>0</w:t>
            </w:r>
          </w:p>
        </w:tc>
        <w:tc>
          <w:tcPr>
            <w:tcW w:type="dxa" w:w="1616"/>
          </w:tcPr>
          <w:p>
            <w:pPr>
              <w:jc w:val="left"/>
            </w:pPr>
            <w:r/>
            <w:r>
              <w:rPr>
                <w:sz w:val="14"/>
              </w:rPr>
              <w:t>Yes</w:t>
            </w:r>
          </w:p>
        </w:tc>
        <w:tc>
          <w:tcPr>
            <w:tcW w:type="dxa" w:w="1616"/>
          </w:tcPr>
          <w:p>
            <w:pPr>
              <w:jc w:val="left"/>
            </w:pPr>
            <w:r/>
            <w:r>
              <w:rPr>
                <w:sz w:val="14"/>
              </w:rPr>
              <w:t>0</w:t>
            </w:r>
          </w:p>
        </w:tc>
        <w:tc>
          <w:tcPr>
            <w:tcW w:type="dxa" w:w="1616"/>
          </w:tcPr>
          <w:p>
            <w:pPr>
              <w:jc w:val="left"/>
            </w:pPr>
            <w:r/>
            <w:r>
              <w:rPr>
                <w:sz w:val="14"/>
              </w:rPr>
              <w:t>0</w:t>
            </w:r>
          </w:p>
        </w:tc>
        <w:tc>
          <w:tcPr>
            <w:tcW w:type="dxa" w:w="1616"/>
          </w:tcPr>
          <w:p>
            <w:pPr>
              <w:jc w:val="left"/>
            </w:pPr>
            <w:r/>
            <w:r>
              <w:rPr>
                <w:sz w:val="14"/>
              </w:rPr>
              <w:t>5</w:t>
            </w:r>
          </w:p>
        </w:tc>
        <w:tc>
          <w:tcPr>
            <w:tcW w:type="dxa" w:w="1616"/>
          </w:tcPr>
          <w:p>
            <w:pPr>
              <w:jc w:val="left"/>
            </w:pPr>
            <w:r/>
            <w:r>
              <w:rPr>
                <w:sz w:val="14"/>
              </w:rPr>
              <w:t>0</w:t>
            </w:r>
          </w:p>
        </w:tc>
      </w:tr>
    </w:tbl>
    <w:p>
      <w:r>
        <w:t>Column definitions: Score is the composite procedural score out of 217. Parse failures count dimension-level outputs that could not be parsed as JSON. Coverage indicates whether all 31 expected indicators were returned exactly once. Unknown IDs count citations not present in the supplied evidence bank. Gate failures count indicators whose assigned-phase requirement checks were missing or not all SUPPORTED. Thin reasoning counts justifications below the minimum depth threshold. Weak gaps count next-phase-gap fields that were too generic or insufficiently evidence-sensitive.</w:t>
      </w:r>
    </w:p>
    <w:p>
      <w:r>
        <w:t>P5 was selected and frozen because it tied P4 on the aggregate score (212/217) while eliminating the remaining phase-gate failure. The frozen prompt hash is A3734A364931D5AAA90188C82EEE400B0812023A5D4DCB14DA70D917067669AF. This result supports a bounded workflow-calibration claim: the selected prompt showed the strongest procedural compliance in this Stage 2 calibration, but the substantive correctness of the resulting maturity phases remains dependent on expert review.</w:t>
      </w:r>
    </w:p>
    <w:p>
      <w:r>
        <w:t>Figure file: Figure_7_1_2_Full_Frozen_Stage2_Prompt_P5.png. This image renders the full frozen P5 prompt used after calibration.</w:t>
      </w:r>
    </w:p>
    <w:p/>
    <w:p>
      <w:r>
        <w:rPr>
          <w:b/>
        </w:rPr>
        <w:t>Figure 7.1.2a. Stage 2 calibration scores by seven procedural checks.</w:t>
      </w:r>
    </w:p>
    <w:p>
      <w:r>
        <w:drawing>
          <wp:inline xmlns:a="http://schemas.openxmlformats.org/drawingml/2006/main" xmlns:pic="http://schemas.openxmlformats.org/drawingml/2006/picture">
            <wp:extent cx="8686800" cy="3862274"/>
            <wp:docPr id="1" name="Picture 1"/>
            <wp:cNvGraphicFramePr>
              <a:graphicFrameLocks noChangeAspect="1"/>
            </wp:cNvGraphicFramePr>
            <a:graphic>
              <a:graphicData uri="http://schemas.openxmlformats.org/drawingml/2006/picture">
                <pic:pic>
                  <pic:nvPicPr>
                    <pic:cNvPr id="0" name="Figure_7_1_2_Stage2_Seven_Check_Scores.png"/>
                    <pic:cNvPicPr/>
                  </pic:nvPicPr>
                  <pic:blipFill>
                    <a:blip r:embed="rId9"/>
                    <a:stretch>
                      <a:fillRect/>
                    </a:stretch>
                  </pic:blipFill>
                  <pic:spPr>
                    <a:xfrm>
                      <a:off x="0" y="0"/>
                      <a:ext cx="8686800" cy="3862274"/>
                    </a:xfrm>
                    <a:prstGeom prst="rect"/>
                  </pic:spPr>
                </pic:pic>
              </a:graphicData>
            </a:graphic>
          </wp:inline>
        </w:drawing>
      </w:r>
    </w:p>
    <w:p>
      <w:r>
        <w:t>Each bar group shows the points awarded to a prompt version for the seven output-quality checks. Each check contributes up to 31 points, corresponding to the 31 DEMA indicators. Labels above the groups show the total procedural score out of 217.</w:t>
      </w:r>
    </w:p>
    <w:p/>
    <w:p>
      <w:r>
        <w:rPr>
          <w:b/>
        </w:rPr>
        <w:t>Figure 7.1.2b. Example Stage 2 output for one indicator.</w:t>
      </w:r>
    </w:p>
    <w:p>
      <w:r>
        <w:drawing>
          <wp:inline xmlns:a="http://schemas.openxmlformats.org/drawingml/2006/main" xmlns:pic="http://schemas.openxmlformats.org/drawingml/2006/picture">
            <wp:extent cx="8412480" cy="6309360"/>
            <wp:docPr id="2" name="Picture 2"/>
            <wp:cNvGraphicFramePr>
              <a:graphicFrameLocks noChangeAspect="1"/>
            </wp:cNvGraphicFramePr>
            <a:graphic>
              <a:graphicData uri="http://schemas.openxmlformats.org/drawingml/2006/picture">
                <pic:pic>
                  <pic:nvPicPr>
                    <pic:cNvPr id="0" name="Figure_7_1_2_Example_Stage2_Output_A_1_1.png"/>
                    <pic:cNvPicPr/>
                  </pic:nvPicPr>
                  <pic:blipFill>
                    <a:blip r:embed="rId10"/>
                    <a:stretch>
                      <a:fillRect/>
                    </a:stretch>
                  </pic:blipFill>
                  <pic:spPr>
                    <a:xfrm>
                      <a:off x="0" y="0"/>
                      <a:ext cx="8412480" cy="6309360"/>
                    </a:xfrm>
                    <a:prstGeom prst="rect"/>
                  </pic:spPr>
                </pic:pic>
              </a:graphicData>
            </a:graphic>
          </wp:inline>
        </w:drawing>
      </w:r>
    </w:p>
    <w:p>
      <w:r>
        <w:t>The example shows the selected P5 prompt's JSON structure for one indicator, including the assigned phase, supporting evidence IDs, limiting evidence, next-phase gap and assigned-phase requirement checks.</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