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F3864"/>
          <w:sz w:val="48"/>
          <w:szCs w:val="48"/>
        </w:rPr>
        <w:t xml:space="preserve">Power BI</w:t>
      </w:r>
    </w:p>
    <w:p>
      <w:pPr>
        <w:spacing w:after="200" w:before="200"/>
        <w:jc w:val="center"/>
      </w:pPr>
      <w:r>
        <w:rPr>
          <w:rFonts w:ascii="Arial" w:cs="Arial" w:eastAsia="Arial" w:hAnsi="Arial"/>
          <w:b/>
          <w:bCs/>
          <w:color w:val="1F3864"/>
          <w:sz w:val="60"/>
          <w:szCs w:val="60"/>
        </w:rPr>
        <w:t xml:space="preserve">Expertise DAX</w:t>
      </w:r>
    </w:p>
    <w:p>
      <w:pPr>
        <w:spacing w:after="600" w:before="0"/>
        <w:jc w:val="center"/>
      </w:pPr>
      <w:r>
        <w:rPr>
          <w:rFonts w:ascii="Arial" w:cs="Arial" w:eastAsia="Arial" w:hAnsi="Arial"/>
          <w:i/>
          <w:iCs/>
          <w:color w:val="2E74B5"/>
          <w:sz w:val="36"/>
          <w:szCs w:val="36"/>
        </w:rPr>
        <w:t xml:space="preserve">Contextes, patterns et calculs industrialisés</w:t>
      </w:r>
    </w:p>
    <w:p>
      <w:pPr>
        <w:pBdr>
          <w:bottom w:val="single" w:color="ED7D31" w:sz="6"/>
        </w:pBdr>
        <w:spacing w:after="400"/>
        <w:jc w:val="center"/>
      </w:pPr>
      <w:r>
        <w:t xml:space="preserve"/>
      </w:r>
    </w:p>
    <w:p>
      <w:pPr>
        <w:spacing w:after="80" w:before="300"/>
        <w:jc w:val="center"/>
      </w:pPr>
      <w:r>
        <w:rPr>
          <w:rFonts w:ascii="Arial" w:cs="Arial" w:eastAsia="Arial" w:hAnsi="Arial"/>
          <w:color w:val="555555"/>
          <w:sz w:val="26"/>
          <w:szCs w:val="26"/>
        </w:rPr>
        <w:t xml:space="preserve">Manuel utilisateur — Formation PBI-DAX</w:t>
      </w:r>
    </w:p>
    <w:p>
      <w:pPr>
        <w:spacing w:after="80"/>
        <w:jc w:val="center"/>
      </w:pPr>
      <w:r>
        <w:rPr>
          <w:rFonts w:ascii="Arial" w:cs="Arial" w:eastAsia="Arial" w:hAnsi="Arial"/>
          <w:b/>
          <w:bCs/>
          <w:color w:val="2E74B5"/>
          <w:sz w:val="24"/>
          <w:szCs w:val="24"/>
        </w:rPr>
        <w:t xml:space="preserve">M2i Formation</w:t>
      </w:r>
    </w:p>
    <w:p>
      <w:pPr>
        <w:spacing w:after="80"/>
        <w:jc w:val="center"/>
      </w:pPr>
      <w:r>
        <w:rPr>
          <w:rFonts w:ascii="Arial" w:cs="Arial" w:eastAsia="Arial" w:hAnsi="Arial"/>
          <w:color w:val="777777"/>
          <w:sz w:val="22"/>
          <w:szCs w:val="22"/>
        </w:rPr>
        <w:t xml:space="preserve">1 jour (7h00) — Niveau Expert</w:t>
      </w:r>
    </w:p>
    <w:p>
      <w:r>
        <w:br w:type="page"/>
      </w:r>
    </w:p>
    <w:p>
      <w:pPr>
        <w:pStyle w:val="Heading1"/>
        <w:pageBreakBefore/>
      </w:pPr>
      <w:r>
        <w:rPr>
          <w:rFonts w:ascii="Arial" w:cs="Arial" w:eastAsia="Arial" w:hAnsi="Arial"/>
          <w:b/>
          <w:bCs/>
          <w:color w:val="1F3864"/>
          <w:sz w:val="36"/>
          <w:szCs w:val="36"/>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pageBreakBefore/>
        <w:numPr>
          <w:ilvl w:val="0"/>
          <w:numId w:val="2"/>
        </w:numPr>
      </w:pPr>
      <w:r>
        <w:rPr>
          <w:rFonts w:ascii="Arial" w:cs="Arial" w:eastAsia="Arial" w:hAnsi="Arial"/>
          <w:b/>
          <w:bCs/>
          <w:color w:val="1F3864"/>
          <w:sz w:val="36"/>
          <w:szCs w:val="36"/>
        </w:rPr>
        <w:t xml:space="preserve">Les contextes DAX</w:t>
      </w:r>
    </w:p>
    <w:p>
      <w:pPr>
        <w:spacing w:after="80" w:before="80"/>
      </w:pPr>
      <w:r>
        <w:rPr>
          <w:rFonts w:ascii="Arial" w:cs="Arial" w:eastAsia="Arial" w:hAnsi="Arial"/>
          <w:sz w:val="22"/>
          <w:szCs w:val="22"/>
        </w:rPr>
        <w:t xml:space="preserve">Les contextes d’évaluation sont le cœur du moteur DAX. Comprendre leur fonctionnement est indispensable pour écrire des mesures correctes, prévisibles et maintenables.</w:t>
      </w:r>
    </w:p>
    <w:p>
      <w:r>
        <w:t xml:space="preserve"/>
      </w:r>
    </w:p>
    <w:p>
      <w:pPr>
        <w:pStyle w:val="Heading2"/>
        <w:numPr>
          <w:ilvl w:val="1"/>
          <w:numId w:val="2"/>
        </w:numPr>
      </w:pPr>
      <w:r>
        <w:rPr>
          <w:rFonts w:ascii="Arial" w:cs="Arial" w:eastAsia="Arial" w:hAnsi="Arial"/>
          <w:b/>
          <w:bCs/>
          <w:color w:val="2E74B5"/>
          <w:sz w:val="28"/>
          <w:szCs w:val="28"/>
        </w:rPr>
        <w:t xml:space="preserve">Rappels : contexte de ligne vs contexte de filtre</w:t>
      </w:r>
    </w:p>
    <w:p>
      <w:pPr>
        <w:pStyle w:val="Heading3"/>
        <w:numPr>
          <w:ilvl w:val="2"/>
          <w:numId w:val="2"/>
        </w:numPr>
      </w:pPr>
      <w:r>
        <w:rPr>
          <w:rFonts w:ascii="Arial" w:cs="Arial" w:eastAsia="Arial" w:hAnsi="Arial"/>
          <w:b/>
          <w:bCs/>
          <w:color w:val="2E74B5"/>
          <w:sz w:val="24"/>
          <w:szCs w:val="24"/>
        </w:rPr>
        <w:t xml:space="preserve">Contexte de ligne</w:t>
      </w:r>
    </w:p>
    <w:p>
      <w:pPr>
        <w:spacing w:after="80" w:before="80"/>
      </w:pPr>
      <w:r>
        <w:rPr>
          <w:rFonts w:ascii="Arial" w:cs="Arial" w:eastAsia="Arial" w:hAnsi="Arial"/>
          <w:sz w:val="22"/>
          <w:szCs w:val="22"/>
        </w:rPr>
        <w:t xml:space="preserve">Le contexte de ligne est créé automatiquement lors de l’itération ligne par ligne d’une table. Il est actif dans :</w:t>
      </w:r>
    </w:p>
    <w:p>
      <w:pPr>
        <w:pStyle w:val="ListParagraph"/>
        <w:numPr>
          <w:ilvl w:val="0"/>
          <w:numId w:val="3"/>
        </w:numPr>
        <w:spacing w:after="40" w:before="40"/>
      </w:pPr>
      <w:r>
        <w:rPr>
          <w:rFonts w:ascii="Arial" w:cs="Arial" w:eastAsia="Arial" w:hAnsi="Arial"/>
          <w:sz w:val="22"/>
          <w:szCs w:val="22"/>
        </w:rPr>
        <w:t xml:space="preserve">les colonnes calculées</w:t>
      </w:r>
    </w:p>
    <w:p>
      <w:pPr>
        <w:pStyle w:val="ListParagraph"/>
        <w:numPr>
          <w:ilvl w:val="0"/>
          <w:numId w:val="3"/>
        </w:numPr>
        <w:spacing w:after="40" w:before="40"/>
      </w:pPr>
      <w:r>
        <w:rPr>
          <w:rFonts w:ascii="Arial" w:cs="Arial" w:eastAsia="Arial" w:hAnsi="Arial"/>
          <w:sz w:val="22"/>
          <w:szCs w:val="22"/>
        </w:rPr>
        <w:t xml:space="preserve">les fonctions itératives : SUMX, AVERAGEX, MAXX, MINX, FILTER, ADDCOLUMNS…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Dans un contexte de ligne, DAX « voit » la valeur de chaque colonne de la ligne courante. Il ne filtre PAS la table.</w:t>
            </w:r>
          </w:p>
        </w:tc>
      </w:tr>
    </w:tbl>
    <w:p>
      <w:r>
        <w:t xml:space="preserve"/>
      </w:r>
    </w:p>
    <w:p>
      <w:pPr>
        <w:spacing w:after="80" w:before="80"/>
      </w:pPr>
      <w:r>
        <w:rPr>
          <w:rFonts w:ascii="Arial" w:cs="Arial" w:eastAsia="Arial" w:hAnsi="Arial"/>
          <w:sz w:val="22"/>
          <w:szCs w:val="22"/>
        </w:rPr>
        <w:t xml:space="preserve">Exemple — colonne calculée dans la table FactVENTES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Montant HT = FactVENTES[Quantité] * FactVENTES[UnitPriceEUR]</w:t>
      </w:r>
    </w:p>
    <w:p>
      <w:pPr>
        <w:spacing w:after="80" w:before="80"/>
      </w:pPr>
      <w:r>
        <w:rPr>
          <w:rFonts w:ascii="Arial" w:cs="Arial" w:eastAsia="Arial" w:hAnsi="Arial"/>
          <w:sz w:val="22"/>
          <w:szCs w:val="22"/>
        </w:rPr>
        <w:t xml:space="preserve">DAX itère chaque ligne et accède à Quantité et UnitPriceEUR de cette ligne spécifique.</w:t>
      </w:r>
    </w:p>
    <w:p>
      <w:pPr>
        <w:spacing w:after="80" w:before="80"/>
      </w:pPr>
      <w:r>
        <w:rPr>
          <w:rFonts w:ascii="Arial" w:cs="Arial" w:eastAsia="Arial" w:hAnsi="Arial"/>
          <w:sz w:val="22"/>
          <w:szCs w:val="22"/>
        </w:rPr>
        <w:t xml:space="preserve">Une mesure peut calculer la même chose mais avec une formule itérative, en l’occurrence un SUMX — voir ci-après.</w:t>
      </w:r>
    </w:p>
    <w:p>
      <w:r>
        <w:t xml:space="preserve"/>
      </w:r>
    </w:p>
    <w:p>
      <w:pPr>
        <w:pStyle w:val="Heading3"/>
        <w:numPr>
          <w:ilvl w:val="2"/>
          <w:numId w:val="2"/>
        </w:numPr>
      </w:pPr>
      <w:r>
        <w:rPr>
          <w:rFonts w:ascii="Arial" w:cs="Arial" w:eastAsia="Arial" w:hAnsi="Arial"/>
          <w:b/>
          <w:bCs/>
          <w:color w:val="2E74B5"/>
          <w:sz w:val="24"/>
          <w:szCs w:val="24"/>
        </w:rPr>
        <w:t xml:space="preserve">Contexte de filtre</w:t>
      </w:r>
    </w:p>
    <w:p>
      <w:pPr>
        <w:spacing w:after="80" w:before="80"/>
      </w:pPr>
      <w:r>
        <w:rPr>
          <w:rFonts w:ascii="Arial" w:cs="Arial" w:eastAsia="Arial" w:hAnsi="Arial"/>
          <w:sz w:val="22"/>
          <w:szCs w:val="22"/>
        </w:rPr>
        <w:t xml:space="preserve">Le contexte de filtre est créé par :</w:t>
      </w:r>
    </w:p>
    <w:p>
      <w:pPr>
        <w:pStyle w:val="ListParagraph"/>
        <w:numPr>
          <w:ilvl w:val="0"/>
          <w:numId w:val="3"/>
        </w:numPr>
        <w:spacing w:after="40" w:before="40"/>
      </w:pPr>
      <w:r>
        <w:rPr>
          <w:rFonts w:ascii="Arial" w:cs="Arial" w:eastAsia="Arial" w:hAnsi="Arial"/>
          <w:sz w:val="22"/>
          <w:szCs w:val="22"/>
        </w:rPr>
        <w:t xml:space="preserve">les slicers/segments et filtres du rapport</w:t>
      </w:r>
    </w:p>
    <w:p>
      <w:pPr>
        <w:pStyle w:val="ListParagraph"/>
        <w:numPr>
          <w:ilvl w:val="0"/>
          <w:numId w:val="3"/>
        </w:numPr>
        <w:spacing w:after="40" w:before="40"/>
      </w:pPr>
      <w:r>
        <w:rPr>
          <w:rFonts w:ascii="Arial" w:cs="Arial" w:eastAsia="Arial" w:hAnsi="Arial"/>
          <w:sz w:val="22"/>
          <w:szCs w:val="22"/>
        </w:rPr>
        <w:t xml:space="preserve">les en-têtes de lignes/colonnes d’un visuel matriciel</w:t>
      </w:r>
    </w:p>
    <w:p>
      <w:pPr>
        <w:pStyle w:val="ListParagraph"/>
        <w:numPr>
          <w:ilvl w:val="0"/>
          <w:numId w:val="3"/>
        </w:numPr>
        <w:spacing w:after="40" w:before="40"/>
      </w:pPr>
      <w:r>
        <w:rPr>
          <w:rFonts w:ascii="Arial" w:cs="Arial" w:eastAsia="Arial" w:hAnsi="Arial"/>
          <w:sz w:val="22"/>
          <w:szCs w:val="22"/>
        </w:rPr>
        <w:t xml:space="preserve">la fonction CALCULATE (explicitement)</w:t>
      </w:r>
    </w:p>
    <w:p>
      <w:r>
        <w:t xml:space="preserve"/>
      </w:r>
    </w:p>
    <w:p>
      <w:pPr>
        <w:spacing w:after="80" w:before="80"/>
      </w:pPr>
      <w:r>
        <w:rPr>
          <w:rFonts w:ascii="Arial" w:cs="Arial" w:eastAsia="Arial" w:hAnsi="Arial"/>
          <w:sz w:val="22"/>
          <w:szCs w:val="22"/>
        </w:rPr>
        <w:t xml:space="preserve">Il définit le sous-ensemble de données visible par une mesure au moment de son évaluation.</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Total CA = SUM(FactVENTES[NetPriceEUR])</w:t>
      </w:r>
    </w:p>
    <w:p>
      <w:pPr>
        <w:spacing w:after="80" w:before="80"/>
      </w:pPr>
      <w:r>
        <w:rPr>
          <w:rFonts w:ascii="Arial" w:cs="Arial" w:eastAsia="Arial" w:hAnsi="Arial"/>
          <w:sz w:val="22"/>
          <w:szCs w:val="22"/>
        </w:rPr>
        <w:t xml:space="preserve">La même mesure retournera des résultats différents selon le contexte de filtre actif (année, catégorie, magasin…).</w:t>
      </w:r>
    </w:p>
    <w:p>
      <w:r>
        <w:t xml:space="preserve"/>
      </w:r>
    </w:p>
    <w:p>
      <w:pPr>
        <w:pStyle w:val="Heading3"/>
        <w:numPr>
          <w:ilvl w:val="2"/>
          <w:numId w:val="2"/>
        </w:numPr>
      </w:pPr>
      <w:r>
        <w:rPr>
          <w:rFonts w:ascii="Arial" w:cs="Arial" w:eastAsia="Arial" w:hAnsi="Arial"/>
          <w:b/>
          <w:bCs/>
          <w:color w:val="2E74B5"/>
          <w:sz w:val="24"/>
          <w:szCs w:val="24"/>
        </w:rPr>
        <w:t xml:space="preserve">Tableau comparatif des 2 contextes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34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Contexte de ligne</w:t>
            </w:r>
          </w:p>
        </w:tc>
        <w:tc>
          <w:tcPr>
            <w:tcW w:type="dxa" w:w="34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Contexte de filtre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Créé par</w:t>
            </w:r>
          </w:p>
        </w:tc>
        <w:tc>
          <w:tcPr>
            <w:tcW w:type="dxa" w:w="3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Itérateurs / colonnes calculées</w:t>
            </w:r>
          </w:p>
        </w:tc>
        <w:tc>
          <w:tcPr>
            <w:tcW w:type="dxa" w:w="3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Visuels, segments, CALCULATE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Porte sur</w:t>
            </w:r>
          </w:p>
        </w:tc>
        <w:tc>
          <w:tcPr>
            <w:tcW w:type="dxa" w:w="34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Ligne courante</w:t>
            </w:r>
          </w:p>
        </w:tc>
        <w:tc>
          <w:tcPr>
            <w:tcW w:type="dxa" w:w="34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Sous-ensemble de la table (un pays, une catégorie, une année…)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Accès aux colonnes</w:t>
            </w:r>
          </w:p>
        </w:tc>
        <w:tc>
          <w:tcPr>
            <w:tcW w:type="dxa" w:w="3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directement</w:t>
            </w:r>
          </w:p>
        </w:tc>
        <w:tc>
          <w:tcPr>
            <w:tcW w:type="dxa" w:w="34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(besoin d’agrégation) — cf illustration ci-dessous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Propagation</w:t>
            </w:r>
          </w:p>
        </w:tc>
        <w:tc>
          <w:tcPr>
            <w:tcW w:type="dxa" w:w="34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Non automatique</w:t>
            </w:r>
          </w:p>
        </w:tc>
        <w:tc>
          <w:tcPr>
            <w:tcW w:type="dxa" w:w="34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Via relations du modèle</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Un besoin d’agrégation dans une mesure… Ne serait-ce pas ce que nous dit ce message que vous avez pu rencontrer dans Power BI ?</w:t>
            </w:r>
          </w:p>
        </w:tc>
      </w:tr>
    </w:tbl>
    <w:p>
      <w:r>
        <w:t xml:space="preserve"/>
      </w:r>
    </w:p>
    <w:p>
      <w:pPr>
        <w:pStyle w:val="Heading3"/>
        <w:numPr>
          <w:ilvl w:val="2"/>
          <w:numId w:val="2"/>
        </w:numPr>
      </w:pPr>
      <w:r>
        <w:rPr>
          <w:rFonts w:ascii="Arial" w:cs="Arial" w:eastAsia="Arial" w:hAnsi="Arial"/>
          <w:b/>
          <w:bCs/>
          <w:color w:val="2E74B5"/>
          <w:sz w:val="24"/>
          <w:szCs w:val="24"/>
        </w:rPr>
        <w:t xml:space="preserve">Cas réel : pourquoi SUMX et pas SUM × SUM ?</w:t>
      </w:r>
    </w:p>
    <w:p>
      <w:pPr>
        <w:spacing w:after="80" w:before="80"/>
      </w:pPr>
      <w:r>
        <w:rPr>
          <w:rFonts w:ascii="Arial" w:cs="Arial" w:eastAsia="Arial" w:hAnsi="Arial"/>
          <w:sz w:val="22"/>
          <w:szCs w:val="22"/>
        </w:rPr>
        <w:t xml:space="preserve">Erreur classique en DAX : multiplier deux SUM au lieu d’itérer ligne par ligne avec SUMX.</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INCORRECT : multiplie la somme totale des coûts par la somme totale des quantités
Cout Total FAUX = SUM( FactVENTES[UnitCostEUR] ) * SUM( FactVENTES[Quantité] )
-- Le résultat est faux car on calcule : (coût moyen * total lignes) * (qte totale)</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CORRECT : SUMX itère chaque ligne et calcule le produit ligne par ligne
Cout Total =
SUMX(
    FactVENTES,                            -- itération sur chaque ligne de ventes
    FactVENTES[UnitCostEUR] * FactVENTES[Quantité]
    -- coût unitaire de CETTE ligne x quantité de CETTE ligne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Règle : dès que deux colonnes d’une même ligne sont combinées par une opération (multiplication, division…), utiliser SUMX. SUM n’a accès qu’à une colonne à la fois.</w:t>
            </w:r>
          </w:p>
        </w:tc>
      </w:tr>
    </w:tbl>
    <w:p>
      <w:r>
        <w:t xml:space="preserve"/>
      </w:r>
    </w:p>
    <w:p>
      <w:pPr>
        <w:pStyle w:val="Heading2"/>
        <w:numPr>
          <w:ilvl w:val="1"/>
          <w:numId w:val="2"/>
        </w:numPr>
      </w:pPr>
      <w:r>
        <w:rPr>
          <w:rFonts w:ascii="Arial" w:cs="Arial" w:eastAsia="Arial" w:hAnsi="Arial"/>
          <w:b/>
          <w:bCs/>
          <w:color w:val="2E74B5"/>
          <w:sz w:val="28"/>
          <w:szCs w:val="28"/>
        </w:rPr>
        <w:t xml:space="preserve">Transition de contexte</w:t>
      </w:r>
    </w:p>
    <w:p>
      <w:pPr>
        <w:spacing w:after="80" w:before="80"/>
      </w:pPr>
      <w:r>
        <w:rPr>
          <w:rFonts w:ascii="Arial" w:cs="Arial" w:eastAsia="Arial" w:hAnsi="Arial"/>
          <w:sz w:val="22"/>
          <w:szCs w:val="22"/>
        </w:rPr>
        <w:t xml:space="preserve">La transition de contexte est la conversion automatique d’un contexte de ligne en contexte de filtre lorsque CALCULATE est appelé à l’intérieur d’un itérateur.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C’est l’une des sources d’erreurs les plus fréquentes chez les développeurs DAX intermédiaires. Toutes les mesures contiennent un CALCULATE (invisible mais présent) — c’est l’une des raisons pour lesquelles il faut toujours privilégier les mesures explicites (créées par le développeur) aux mesures implicites (colonne placée directement dans un visuel pour effectuer un calcul).</w:t>
            </w:r>
          </w:p>
        </w:tc>
      </w:tr>
    </w:tbl>
    <w:p>
      <w:r>
        <w:t xml:space="preserve"/>
      </w:r>
    </w:p>
    <w:p>
      <w:pPr>
        <w:pStyle w:val="Heading3"/>
        <w:numPr>
          <w:ilvl w:val="2"/>
          <w:numId w:val="2"/>
        </w:numPr>
      </w:pPr>
      <w:r>
        <w:rPr>
          <w:rFonts w:ascii="Arial" w:cs="Arial" w:eastAsia="Arial" w:hAnsi="Arial"/>
          <w:b/>
          <w:bCs/>
          <w:color w:val="2E74B5"/>
          <w:sz w:val="24"/>
          <w:szCs w:val="24"/>
        </w:rPr>
        <w:t xml:space="preserve">Mécanisme</w:t>
      </w:r>
    </w:p>
    <w:p>
      <w:pPr>
        <w:spacing w:after="80" w:before="80"/>
      </w:pPr>
      <w:r>
        <w:rPr>
          <w:rFonts w:ascii="Arial" w:cs="Arial" w:eastAsia="Arial" w:hAnsi="Arial"/>
          <w:sz w:val="22"/>
          <w:szCs w:val="22"/>
        </w:rPr>
        <w:t xml:space="preserve">Lors d’une itération, si une mesure (qui contient implicitement CALCULATE) est évaluée :</w:t>
      </w:r>
    </w:p>
    <w:p>
      <w:pPr>
        <w:pStyle w:val="ListParagraph"/>
        <w:numPr>
          <w:ilvl w:val="0"/>
          <w:numId w:val="4"/>
        </w:numPr>
        <w:spacing w:after="40" w:before="40"/>
      </w:pPr>
      <w:r>
        <w:rPr>
          <w:rFonts w:ascii="Arial" w:cs="Arial" w:eastAsia="Arial" w:hAnsi="Arial"/>
          <w:sz w:val="22"/>
          <w:szCs w:val="22"/>
        </w:rPr>
        <w:t xml:space="preserve">DAX crée un contexte de filtre équivalent à la ligne courante</w:t>
      </w:r>
    </w:p>
    <w:p>
      <w:pPr>
        <w:pStyle w:val="ListParagraph"/>
        <w:numPr>
          <w:ilvl w:val="0"/>
          <w:numId w:val="4"/>
        </w:numPr>
        <w:spacing w:after="40" w:before="40"/>
      </w:pPr>
      <w:r>
        <w:rPr>
          <w:rFonts w:ascii="Arial" w:cs="Arial" w:eastAsia="Arial" w:hAnsi="Arial"/>
          <w:sz w:val="22"/>
          <w:szCs w:val="22"/>
        </w:rPr>
        <w:t xml:space="preserve">Il filtre chaque table du modèle sur les valeurs de cette ligne</w:t>
      </w:r>
    </w:p>
    <w:p>
      <w:pPr>
        <w:pStyle w:val="ListParagraph"/>
        <w:numPr>
          <w:ilvl w:val="0"/>
          <w:numId w:val="4"/>
        </w:numPr>
        <w:spacing w:after="40" w:before="40"/>
      </w:pPr>
      <w:r>
        <w:rPr>
          <w:rFonts w:ascii="Arial" w:cs="Arial" w:eastAsia="Arial" w:hAnsi="Arial"/>
          <w:sz w:val="22"/>
          <w:szCs w:val="22"/>
        </w:rPr>
        <w:t xml:space="preserve">La mesure est évaluée dans ce nouveau contexte de filtre</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Mesure dans une table itérée
CA Par Catégorie = SUMX(DimProduits, [Total CA])</w:t>
      </w:r>
    </w:p>
    <w:p>
      <w:pPr>
        <w:spacing w:after="80" w:before="80"/>
      </w:pPr>
      <w:r>
        <w:rPr>
          <w:rFonts w:ascii="Arial" w:cs="Arial" w:eastAsia="Arial" w:hAnsi="Arial"/>
          <w:sz w:val="22"/>
          <w:szCs w:val="22"/>
        </w:rPr>
        <w:t xml:space="preserve">Ici, [Total CA] est une mesure. Pour chaque ligne de DimProduits, la transition de contexte filtre les ventes sur cette catégorie spécifique.</w:t>
      </w:r>
    </w:p>
    <w:p>
      <w:r>
        <w:t xml:space="preserve"/>
      </w:r>
    </w:p>
    <w:p>
      <w:pPr>
        <w:pStyle w:val="Heading3"/>
        <w:numPr>
          <w:ilvl w:val="2"/>
          <w:numId w:val="2"/>
        </w:numPr>
      </w:pPr>
      <w:r>
        <w:rPr>
          <w:rFonts w:ascii="Arial" w:cs="Arial" w:eastAsia="Arial" w:hAnsi="Arial"/>
          <w:b/>
          <w:bCs/>
          <w:color w:val="2E74B5"/>
          <w:sz w:val="24"/>
          <w:szCs w:val="24"/>
        </w:rPr>
        <w:t xml:space="preserve">Erreurs courantes</w:t>
      </w:r>
    </w:p>
    <w:p>
      <w:pPr>
        <w:spacing w:after="80" w:before="80"/>
      </w:pPr>
      <w:r>
        <w:rPr>
          <w:rFonts w:ascii="Arial" w:cs="Arial" w:eastAsia="Arial" w:hAnsi="Arial"/>
          <w:sz w:val="22"/>
          <w:szCs w:val="22"/>
        </w:rPr>
        <w:t xml:space="preserve">Cas 1 — Mesure qui « semble fonctionner » mais retourne des totaux faux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INCORRECT dans une colonne calculée
Ratio = FactVENTES[NetPriceEUR] / SUM(FactVENTES[NetPriceEUR])</w:t>
      </w:r>
    </w:p>
    <w:p>
      <w:pPr>
        <w:spacing w:after="80" w:before="80"/>
      </w:pPr>
      <w:r>
        <w:rPr>
          <w:rFonts w:ascii="Arial" w:cs="Arial" w:eastAsia="Arial" w:hAnsi="Arial"/>
          <w:sz w:val="22"/>
          <w:szCs w:val="22"/>
        </w:rPr>
        <w:t xml:space="preserve">SUM dans une colonne calculée ignore le contexte de ligne — il additionne TOUTE la table. Le ratio est donc 1 pour toutes les lignes, ou des résultats incohérents.</w:t>
      </w:r>
    </w:p>
    <w:p>
      <w:r>
        <w:t xml:space="preserve"/>
      </w:r>
    </w:p>
    <w:p>
      <w:pPr>
        <w:spacing w:after="80" w:before="80"/>
      </w:pPr>
      <w:r>
        <w:rPr>
          <w:rFonts w:ascii="Arial" w:cs="Arial" w:eastAsia="Arial" w:hAnsi="Arial"/>
          <w:sz w:val="22"/>
          <w:szCs w:val="22"/>
        </w:rPr>
        <w:t xml:space="preserve">Cas 2 — Utiliser une mesure dans FILTER sans comprendre la transition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Attention : [Total CA] déclenche une transition de contexte
FILTER(DimClients, [Total CA] &gt; 10000)</w:t>
      </w:r>
    </w:p>
    <w:p>
      <w:pPr>
        <w:spacing w:after="80" w:before="80"/>
      </w:pPr>
      <w:r>
        <w:rPr>
          <w:rFonts w:ascii="Arial" w:cs="Arial" w:eastAsia="Arial" w:hAnsi="Arial"/>
          <w:sz w:val="22"/>
          <w:szCs w:val="22"/>
        </w:rPr>
        <w:t xml:space="preserve">Cela fonctionne, mais peut être coûteux en performance. Préférer une colonne ou une variable.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Règle d’or : utilisez des mesures dans des mesures. Ne mélangez pas colonnes et mesures sans maîtriser la transition de contexte.</w:t>
            </w:r>
          </w:p>
        </w:tc>
      </w:tr>
    </w:tbl>
    <w:p>
      <w:r>
        <w:t xml:space="preserve"/>
      </w:r>
    </w:p>
    <w:p>
      <w:pPr>
        <w:pStyle w:val="Heading2"/>
        <w:numPr>
          <w:ilvl w:val="1"/>
          <w:numId w:val="2"/>
        </w:numPr>
      </w:pPr>
      <w:r>
        <w:rPr>
          <w:rFonts w:ascii="Arial" w:cs="Arial" w:eastAsia="Arial" w:hAnsi="Arial"/>
          <w:b/>
          <w:bCs/>
          <w:color w:val="2E74B5"/>
          <w:sz w:val="28"/>
          <w:szCs w:val="28"/>
        </w:rPr>
        <w:t xml:space="preserve">Travaux pratiques</w:t>
      </w:r>
    </w:p>
    <w:p>
      <w:pPr>
        <w:spacing w:after="80" w:before="80"/>
      </w:pPr>
      <w:r>
        <w:rPr>
          <w:rFonts w:ascii="Arial" w:cs="Arial" w:eastAsia="Arial" w:hAnsi="Arial"/>
          <w:sz w:val="22"/>
          <w:szCs w:val="22"/>
        </w:rPr>
        <w:t xml:space="preserve">Fichier utilisé : Demo_Contoso_10M_M2i_PBI-DAX.pbix</w:t>
      </w:r>
    </w:p>
    <w:p>
      <w:r>
        <w:t xml:space="preserve"/>
      </w:r>
    </w:p>
    <w:p>
      <w:pPr>
        <w:pStyle w:val="ListParagraph"/>
        <w:numPr>
          <w:ilvl w:val="0"/>
          <w:numId w:val="3"/>
        </w:numPr>
        <w:spacing w:after="40" w:before="40"/>
      </w:pPr>
      <w:r>
        <w:rPr>
          <w:rFonts w:ascii="Arial" w:cs="Arial" w:eastAsia="Arial" w:hAnsi="Arial"/>
          <w:sz w:val="22"/>
          <w:szCs w:val="22"/>
        </w:rPr>
        <w:t xml:space="preserve">Analyser une mesure existante qui retourne des totaux incohérents</w:t>
      </w:r>
    </w:p>
    <w:p>
      <w:pPr>
        <w:pStyle w:val="ListParagraph"/>
        <w:numPr>
          <w:ilvl w:val="0"/>
          <w:numId w:val="3"/>
        </w:numPr>
        <w:spacing w:after="40" w:before="40"/>
      </w:pPr>
      <w:r>
        <w:rPr>
          <w:rFonts w:ascii="Arial" w:cs="Arial" w:eastAsia="Arial" w:hAnsi="Arial"/>
          <w:sz w:val="22"/>
          <w:szCs w:val="22"/>
        </w:rPr>
        <w:t xml:space="preserve">Identifier si le problème vient d’un contexte de ligne ou d’une mauvaise utilisation de CALCULATE</w:t>
      </w:r>
    </w:p>
    <w:p>
      <w:pPr>
        <w:pStyle w:val="ListParagraph"/>
        <w:numPr>
          <w:ilvl w:val="0"/>
          <w:numId w:val="3"/>
        </w:numPr>
        <w:spacing w:after="40" w:before="40"/>
      </w:pPr>
      <w:r>
        <w:rPr>
          <w:rFonts w:ascii="Arial" w:cs="Arial" w:eastAsia="Arial" w:hAnsi="Arial"/>
          <w:sz w:val="22"/>
          <w:szCs w:val="22"/>
        </w:rPr>
        <w:t xml:space="preserve">Corriger la mesure et vérifier le résultat dans un tableau croisé</w:t>
      </w:r>
    </w:p>
    <w:p>
      <w:r>
        <w:t xml:space="preserve"/>
      </w:r>
    </w:p>
    <w:p>
      <w:pPr>
        <w:pStyle w:val="Heading1"/>
        <w:pageBreakBefore/>
        <w:numPr>
          <w:ilvl w:val="0"/>
          <w:numId w:val="2"/>
        </w:numPr>
      </w:pPr>
      <w:r>
        <w:rPr>
          <w:rFonts w:ascii="Arial" w:cs="Arial" w:eastAsia="Arial" w:hAnsi="Arial"/>
          <w:b/>
          <w:bCs/>
          <w:color w:val="1F3864"/>
          <w:sz w:val="36"/>
          <w:szCs w:val="36"/>
        </w:rPr>
        <w:t xml:space="preserve">Maîtriser CALCULATE et le filtrage</w:t>
      </w:r>
    </w:p>
    <w:p>
      <w:pPr>
        <w:spacing w:after="80" w:before="80"/>
      </w:pPr>
      <w:r>
        <w:rPr>
          <w:rFonts w:ascii="Arial" w:cs="Arial" w:eastAsia="Arial" w:hAnsi="Arial"/>
          <w:sz w:val="22"/>
          <w:szCs w:val="22"/>
        </w:rPr>
        <w:t xml:space="preserve">CALCULATE est la fonction la plus puissante de DAX. Elle permet de modifier le contexte de filtre à la demande, ouvrant la voie à tous les calculs avancés.</w:t>
      </w:r>
    </w:p>
    <w:p>
      <w:r>
        <w:t xml:space="preserve"/>
      </w:r>
    </w:p>
    <w:p>
      <w:pPr>
        <w:pStyle w:val="Heading2"/>
        <w:numPr>
          <w:ilvl w:val="1"/>
          <w:numId w:val="2"/>
        </w:numPr>
      </w:pPr>
      <w:r>
        <w:rPr>
          <w:rFonts w:ascii="Arial" w:cs="Arial" w:eastAsia="Arial" w:hAnsi="Arial"/>
          <w:b/>
          <w:bCs/>
          <w:color w:val="2E74B5"/>
          <w:sz w:val="28"/>
          <w:szCs w:val="28"/>
        </w:rPr>
        <w:t xml:space="preserve">Fonctionnement réel de CALCULATE</w:t>
      </w:r>
    </w:p>
    <w:p>
      <w:pPr>
        <w:spacing w:after="80" w:before="80"/>
      </w:pPr>
      <w:r>
        <w:rPr>
          <w:rFonts w:ascii="Arial" w:cs="Arial" w:eastAsia="Arial" w:hAnsi="Arial"/>
          <w:sz w:val="22"/>
          <w:szCs w:val="22"/>
        </w:rPr>
        <w:t xml:space="preserve">Syntaxe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CALCULATE(&lt;Expression&gt;, [&lt;Filtre1&gt;], [&lt;Filtre2&gt;], ...)</w:t>
      </w:r>
    </w:p>
    <w:p>
      <w:r>
        <w:t xml:space="preserve"/>
      </w:r>
    </w:p>
    <w:p>
      <w:pPr>
        <w:spacing w:after="80" w:before="80"/>
      </w:pPr>
      <w:r>
        <w:rPr>
          <w:rFonts w:ascii="Arial" w:cs="Arial" w:eastAsia="Arial" w:hAnsi="Arial"/>
          <w:sz w:val="22"/>
          <w:szCs w:val="22"/>
        </w:rPr>
        <w:t xml:space="preserve">CALCULATE exécute les opérations suivantes, dans l’ordre :</w:t>
      </w:r>
    </w:p>
    <w:p>
      <w:pPr>
        <w:pStyle w:val="ListParagraph"/>
        <w:numPr>
          <w:ilvl w:val="0"/>
          <w:numId w:val="4"/>
        </w:numPr>
        <w:spacing w:after="40" w:before="40"/>
      </w:pPr>
      <w:r>
        <w:rPr>
          <w:rFonts w:ascii="Arial" w:cs="Arial" w:eastAsia="Arial" w:hAnsi="Arial"/>
          <w:sz w:val="22"/>
          <w:szCs w:val="22"/>
        </w:rPr>
        <w:t xml:space="preserve">Prends en compte le contexte de filtre externe</w:t>
      </w:r>
    </w:p>
    <w:p>
      <w:pPr>
        <w:pStyle w:val="ListParagraph"/>
        <w:numPr>
          <w:ilvl w:val="0"/>
          <w:numId w:val="4"/>
        </w:numPr>
        <w:spacing w:after="40" w:before="40"/>
      </w:pPr>
      <w:r>
        <w:rPr>
          <w:rFonts w:ascii="Arial" w:cs="Arial" w:eastAsia="Arial" w:hAnsi="Arial"/>
          <w:sz w:val="22"/>
          <w:szCs w:val="22"/>
        </w:rPr>
        <w:t xml:space="preserve">Applique la transition de contexte (si appelée dans un itérateur)</w:t>
      </w:r>
    </w:p>
    <w:p>
      <w:pPr>
        <w:pStyle w:val="ListParagraph"/>
        <w:numPr>
          <w:ilvl w:val="0"/>
          <w:numId w:val="4"/>
        </w:numPr>
        <w:spacing w:after="40" w:before="40"/>
      </w:pPr>
      <w:r>
        <w:rPr>
          <w:rFonts w:ascii="Arial" w:cs="Arial" w:eastAsia="Arial" w:hAnsi="Arial"/>
          <w:sz w:val="22"/>
          <w:szCs w:val="22"/>
        </w:rPr>
        <w:t xml:space="preserve">Applique les modificateurs de filtre (ALL, REMOVEFILTERS…)</w:t>
      </w:r>
    </w:p>
    <w:p>
      <w:pPr>
        <w:pStyle w:val="ListParagraph"/>
        <w:numPr>
          <w:ilvl w:val="0"/>
          <w:numId w:val="4"/>
        </w:numPr>
        <w:spacing w:after="40" w:before="40"/>
      </w:pPr>
      <w:r>
        <w:rPr>
          <w:rFonts w:ascii="Arial" w:cs="Arial" w:eastAsia="Arial" w:hAnsi="Arial"/>
          <w:sz w:val="22"/>
          <w:szCs w:val="22"/>
        </w:rPr>
        <w:t xml:space="preserve">Évalue l’expression dans le nouveau contexte résultant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CALCULATE ne « s’empile » pas : un filtre sur la même colonne remplace l’existant (il ne s’ajoute pas au filtre précédent, sauf si on utilise KEEPFILTERS).</w:t>
            </w:r>
          </w:p>
        </w:tc>
      </w:tr>
    </w:tbl>
    <w:p>
      <w:r>
        <w:t xml:space="preserve"/>
      </w:r>
    </w:p>
    <w:p>
      <w:pPr>
        <w:pStyle w:val="Heading2"/>
        <w:numPr>
          <w:ilvl w:val="1"/>
          <w:numId w:val="2"/>
        </w:numPr>
      </w:pPr>
      <w:r>
        <w:rPr>
          <w:rFonts w:ascii="Arial" w:cs="Arial" w:eastAsia="Arial" w:hAnsi="Arial"/>
          <w:b/>
          <w:bCs/>
          <w:color w:val="2E74B5"/>
          <w:sz w:val="28"/>
          <w:szCs w:val="28"/>
        </w:rPr>
        <w:t xml:space="preserve">Fonctions clés de modification de filtre</w:t>
      </w:r>
    </w:p>
    <w:p>
      <w:pPr>
        <w:pStyle w:val="Heading3"/>
        <w:numPr>
          <w:ilvl w:val="2"/>
          <w:numId w:val="2"/>
        </w:numPr>
      </w:pPr>
      <w:r>
        <w:rPr>
          <w:rFonts w:ascii="Arial" w:cs="Arial" w:eastAsia="Arial" w:hAnsi="Arial"/>
          <w:b/>
          <w:bCs/>
          <w:color w:val="2E74B5"/>
          <w:sz w:val="24"/>
          <w:szCs w:val="24"/>
        </w:rPr>
        <w:t xml:space="preserve">ALL et ses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13"/>
        <w:gridCol w:w="2613"/>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Fonction</w:t>
            </w:r>
          </w:p>
        </w:tc>
        <w:tc>
          <w:tcPr>
            <w:tcW w:type="dxa" w:w="36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Rôle</w:t>
            </w:r>
          </w:p>
        </w:tc>
        <w:tc>
          <w:tcPr>
            <w:tcW w:type="dxa" w:w="26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Exemple d’usage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ALL(table)</w:t>
            </w:r>
          </w:p>
        </w:tc>
        <w:tc>
          <w:tcPr>
            <w:tcW w:type="dxa" w:w="36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Supprime tous les filtres de la table</w:t>
            </w:r>
          </w:p>
        </w:tc>
        <w:tc>
          <w:tcPr>
            <w:tcW w:type="dxa" w:w="26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 de marché</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ALL(col1, col2)</w:t>
            </w:r>
          </w:p>
        </w:tc>
        <w:tc>
          <w:tcPr>
            <w:tcW w:type="dxa" w:w="36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Supprime les filtres sur ces colonnes seulement</w:t>
            </w:r>
          </w:p>
        </w:tc>
        <w:tc>
          <w:tcPr>
            <w:tcW w:type="dxa" w:w="26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Ratio catégorie/total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ALLSELECTED()</w:t>
            </w:r>
          </w:p>
        </w:tc>
        <w:tc>
          <w:tcPr>
            <w:tcW w:type="dxa" w:w="36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Conserve les filtres des slicers/segments externes (pas ceux du visuel)</w:t>
            </w:r>
          </w:p>
        </w:tc>
        <w:tc>
          <w:tcPr>
            <w:tcW w:type="dxa" w:w="26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sur sélection</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REMOVEFILTERS()</w:t>
            </w:r>
          </w:p>
        </w:tc>
        <w:tc>
          <w:tcPr>
            <w:tcW w:type="dxa" w:w="36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Alias de ALL, plus explicite</w:t>
            </w:r>
          </w:p>
        </w:tc>
        <w:tc>
          <w:tcPr>
            <w:tcW w:type="dxa" w:w="26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Code lisible</w:t>
            </w:r>
          </w:p>
        </w:tc>
      </w:tr>
    </w:tbl>
    <w:p>
      <w:r>
        <w:t xml:space="preserve"/>
      </w:r>
    </w:p>
    <w:p>
      <w:pPr>
        <w:spacing w:after="80" w:before="80"/>
      </w:pPr>
      <w:r>
        <w:rPr>
          <w:rFonts w:ascii="Arial" w:cs="Arial" w:eastAsia="Arial" w:hAnsi="Arial"/>
          <w:sz w:val="22"/>
          <w:szCs w:val="22"/>
        </w:rPr>
        <w:t xml:space="preserve">Exemple — Part du CA par catégorie sur le total toutes catégories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 Catégorie =
VAR CAToutesCategories =
    CALCULATE( [Total CA], ALL( DimProduits[Catégorie] ) )
    -- CA sans filtre sur la catégorie : total de toutes les catégories
RETURN
    DIVIDE( [Total CA], CAToutesCategories )
    -- Dans un visuel par catégorie : retourne la part de chaque ligne</w:t>
      </w:r>
    </w:p>
    <w:p>
      <w:r>
        <w:t xml:space="preserve"/>
      </w:r>
    </w:p>
    <w:p>
      <w:pPr>
        <w:pStyle w:val="Heading3"/>
        <w:numPr>
          <w:ilvl w:val="2"/>
          <w:numId w:val="2"/>
        </w:numPr>
      </w:pPr>
      <w:r>
        <w:rPr>
          <w:rFonts w:ascii="Arial" w:cs="Arial" w:eastAsia="Arial" w:hAnsi="Arial"/>
          <w:b/>
          <w:bCs/>
          <w:color w:val="2E74B5"/>
          <w:sz w:val="24"/>
          <w:szCs w:val="24"/>
        </w:rPr>
        <w:t xml:space="preserve">VALUES et SELECTEDVALUE</w:t>
      </w:r>
    </w:p>
    <w:p>
      <w:pPr>
        <w:spacing w:after="80" w:before="80"/>
      </w:pPr>
      <w:r>
        <w:rPr>
          <w:rFonts w:ascii="Arial" w:cs="Arial" w:eastAsia="Arial" w:hAnsi="Arial"/>
          <w:sz w:val="22"/>
          <w:szCs w:val="22"/>
        </w:rPr>
        <w:t xml:space="preserve">VALUES(colonne) retourne une table à une colonne contenant les valeurs distinctes visibles dans le contexte de filtre courant, plus une ligne BLANK si des lignes orphelines existent.</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Année Texte =
VAR AnneeSelectionnee = SELECTEDVALUE( DimDates[Année], "Toutes" )
    -- Valeur unique du slicer, ou "Toutes" si plusieurs années sélectionnées
RETURN
    "Année : " &amp; AnneeSelectionnee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SELECTEDVALUE(col, valeur_defaut) est un raccourci pour IF(HASONEVALUE(col), VALUES(col), valeur_defaut). Utiliser de préférence SELECTEDVALUE pour la lisibilité.</w:t>
            </w:r>
          </w:p>
        </w:tc>
      </w:tr>
    </w:tbl>
    <w:p>
      <w:r>
        <w:t xml:space="preserve"/>
      </w:r>
    </w:p>
    <w:p>
      <w:pPr>
        <w:pStyle w:val="Heading3"/>
        <w:numPr>
          <w:ilvl w:val="2"/>
          <w:numId w:val="2"/>
        </w:numPr>
      </w:pPr>
      <w:r>
        <w:rPr>
          <w:rFonts w:ascii="Arial" w:cs="Arial" w:eastAsia="Arial" w:hAnsi="Arial"/>
          <w:b/>
          <w:bCs/>
          <w:color w:val="2E74B5"/>
          <w:sz w:val="24"/>
          <w:szCs w:val="24"/>
        </w:rPr>
        <w:t xml:space="preserve">KEEPFILTERS et REMOVEFILTERS</w:t>
      </w:r>
    </w:p>
    <w:p>
      <w:pPr>
        <w:spacing w:after="80" w:before="80"/>
      </w:pPr>
      <w:r>
        <w:rPr>
          <w:rFonts w:ascii="Arial" w:cs="Arial" w:eastAsia="Arial" w:hAnsi="Arial"/>
          <w:sz w:val="22"/>
          <w:szCs w:val="22"/>
        </w:rPr>
        <w:t xml:space="preserve">Par défaut, un filtre dans CALCULATE remplace le filtre existant sur la même colonne. KEEPFILTERS préserve le filtre actif et y ajoute la condition en ET logique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Sans KEEPFILTERS : remplace le filtre Catégorie actif
CA Computers =
CALCULATE( [Total CA], DimProduits[Catégorie] = "Computers" )
-- Si un slicer filtre sur "TV&amp;Video", CALCULATE REMPLACE ce filtre par "Computers"</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Avec KEEPFILTERS : s’ajoute en ET au filtre actif
CA Computers Seulement =
CALCULATE(
    [Total CA],
    KEEPFILTERS( DimProduits[Catégorie] = "Computers" )
    -- Si le slicer filtre déjà sur "TV&amp;Video" → résultat = BLANK (ET impossible)</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REMOVEFILTERS : alias explicite de ALL, supprime le filtre sur une colonne
CA Toutes Catégories =
CALCULATE(
    [Total CA],
    REMOVEFILTERS( DimProduits[Catégorie] )
    -- Ignore le filtre catégorie : retourne le total toutes catégories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Préférer REMOVEFILTERS à ALL lorsque l’intention est de supprimer un filtre : le nom est plus explicite. ALL a un usage plus large (retourner une table sans filtre).</w:t>
            </w:r>
          </w:p>
        </w:tc>
      </w:tr>
    </w:tbl>
    <w:p>
      <w:r>
        <w:t xml:space="preserve"/>
      </w:r>
    </w:p>
    <w:p>
      <w:pPr>
        <w:pStyle w:val="Heading2"/>
        <w:numPr>
          <w:ilvl w:val="1"/>
          <w:numId w:val="2"/>
        </w:numPr>
      </w:pPr>
      <w:r>
        <w:rPr>
          <w:rFonts w:ascii="Arial" w:cs="Arial" w:eastAsia="Arial" w:hAnsi="Arial"/>
          <w:b/>
          <w:bCs/>
          <w:color w:val="2E74B5"/>
          <w:sz w:val="28"/>
          <w:szCs w:val="28"/>
        </w:rPr>
        <w:t xml:space="preserve">Utilisation avancée de FILTER()</w:t>
      </w:r>
    </w:p>
    <w:p>
      <w:pPr>
        <w:spacing w:after="80" w:before="80"/>
      </w:pPr>
      <w:r>
        <w:rPr>
          <w:rFonts w:ascii="Arial" w:cs="Arial" w:eastAsia="Arial" w:hAnsi="Arial"/>
          <w:sz w:val="22"/>
          <w:szCs w:val="22"/>
        </w:rPr>
        <w:t xml:space="preserve">FILTER itère une table et retourne les lignes satisfaisant une condition. Elle crée une table virtuelle utilisée comme argument de filtre dans CALCULATE.</w:t>
      </w:r>
    </w:p>
    <w:p>
      <w:r>
        <w:t xml:space="preserve"/>
      </w:r>
    </w:p>
    <w:p>
      <w:pPr>
        <w:spacing w:after="80" w:before="80"/>
      </w:pPr>
      <w:r>
        <w:rPr>
          <w:rFonts w:ascii="Arial" w:cs="Arial" w:eastAsia="Arial" w:hAnsi="Arial"/>
          <w:sz w:val="22"/>
          <w:szCs w:val="22"/>
        </w:rPr>
        <w:t xml:space="preserve">Lorsque CALCULATE reçoit plusieurs conditions séparées par une virgule, elles agissent comme des filtres indépendants (ET logique). C’est la syntaxe à privilégier pour des colonnes différentes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Exemple avec 2 filtres : catégorie ET prix unitaire
CA Ordinateurs Premiums =
CALCULATE(
    [Total CA],
    DimProduits[Catégorie] = "Computers",
    FactVENTES[UnitPriceEUR] &gt; 900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FILTER itère ligne par ligne : sur de grandes tables, privilégier un filtre direct sur une colonne (comme ci-dessus) plutôt qu’un FILTER global. Le moteur VertiPaq optimise nativement les filtres directs sur colonnes.</w:t>
            </w:r>
          </w:p>
        </w:tc>
      </w:tr>
    </w:tbl>
    <w:p>
      <w:r>
        <w:t xml:space="preserve"/>
      </w:r>
    </w:p>
    <w:p>
      <w:pPr>
        <w:spacing w:after="80" w:before="80"/>
      </w:pPr>
      <w:r>
        <w:rPr>
          <w:rFonts w:ascii="Arial" w:cs="Arial" w:eastAsia="Arial" w:hAnsi="Arial"/>
          <w:sz w:val="22"/>
          <w:szCs w:val="22"/>
        </w:rPr>
        <w:t xml:space="preserve">FILTER est indispensable quand la condition porte sur une mesure (qui nécessite une transition de contexte)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Clients ayant passé plus de 5 factures
Nb Clients Actifs =
CALCULATE(
    DISTINCTCOUNT( FactVENTES[IDClient] ),
    FILTER(
        DimClients,
        CALCULATE( COUNTROWS( FactVENTES ) ) &gt; 5
    )
)</w:t>
      </w:r>
    </w:p>
    <w:p>
      <w:r>
        <w:t xml:space="preserve"/>
      </w:r>
    </w:p>
    <w:p>
      <w:pPr>
        <w:pStyle w:val="Heading2"/>
        <w:numPr>
          <w:ilvl w:val="1"/>
          <w:numId w:val="2"/>
        </w:numPr>
      </w:pPr>
      <w:r>
        <w:rPr>
          <w:rFonts w:ascii="Arial" w:cs="Arial" w:eastAsia="Arial" w:hAnsi="Arial"/>
          <w:b/>
          <w:bCs/>
          <w:color w:val="2E74B5"/>
          <w:sz w:val="28"/>
          <w:szCs w:val="28"/>
        </w:rPr>
        <w:t xml:space="preserve">Travaux pratiques</w:t>
      </w:r>
    </w:p>
    <w:p>
      <w:pPr>
        <w:spacing w:after="80" w:before="80"/>
      </w:pPr>
      <w:r>
        <w:rPr>
          <w:rFonts w:ascii="Arial" w:cs="Arial" w:eastAsia="Arial" w:hAnsi="Arial"/>
          <w:sz w:val="22"/>
          <w:szCs w:val="22"/>
        </w:rPr>
        <w:t xml:space="preserve">Fichier utilisé : Demo_Contoso_10M_M2i_PBI-DAX.pbix</w:t>
      </w:r>
    </w:p>
    <w:p>
      <w:r>
        <w:t xml:space="preserve"/>
      </w:r>
    </w:p>
    <w:p>
      <w:pPr>
        <w:pStyle w:val="ListParagraph"/>
        <w:numPr>
          <w:ilvl w:val="0"/>
          <w:numId w:val="3"/>
        </w:numPr>
        <w:spacing w:after="40" w:before="40"/>
      </w:pPr>
      <w:r>
        <w:rPr>
          <w:rFonts w:ascii="Arial" w:cs="Arial" w:eastAsia="Arial" w:hAnsi="Arial"/>
          <w:sz w:val="22"/>
          <w:szCs w:val="22"/>
        </w:rPr>
        <w:t xml:space="preserve">Créer une mesure de % du total utilisant ALLSELECTED</w:t>
      </w:r>
    </w:p>
    <w:p>
      <w:pPr>
        <w:pStyle w:val="ListParagraph"/>
        <w:numPr>
          <w:ilvl w:val="0"/>
          <w:numId w:val="3"/>
        </w:numPr>
        <w:spacing w:after="40" w:before="40"/>
      </w:pPr>
      <w:r>
        <w:rPr>
          <w:rFonts w:ascii="Arial" w:cs="Arial" w:eastAsia="Arial" w:hAnsi="Arial"/>
          <w:sz w:val="22"/>
          <w:szCs w:val="22"/>
        </w:rPr>
        <w:t xml:space="preserve">Comparer les résultats de ALL vs ALLSELECTED dans un rapport avec un slicer/segment</w:t>
      </w:r>
    </w:p>
    <w:p>
      <w:pPr>
        <w:pStyle w:val="ListParagraph"/>
        <w:numPr>
          <w:ilvl w:val="0"/>
          <w:numId w:val="3"/>
        </w:numPr>
        <w:spacing w:after="40" w:before="40"/>
      </w:pPr>
      <w:r>
        <w:rPr>
          <w:rFonts w:ascii="Arial" w:cs="Arial" w:eastAsia="Arial" w:hAnsi="Arial"/>
          <w:sz w:val="22"/>
          <w:szCs w:val="22"/>
        </w:rPr>
        <w:t xml:space="preserve">Implémenter une mesure utilisant FILTER sur une condition composée</w:t>
      </w:r>
    </w:p>
    <w:p>
      <w:r>
        <w:t xml:space="preserve"/>
      </w:r>
    </w:p>
    <w:p>
      <w:pPr>
        <w:pStyle w:val="Heading1"/>
        <w:pageBreakBefore/>
        <w:numPr>
          <w:ilvl w:val="0"/>
          <w:numId w:val="2"/>
        </w:numPr>
      </w:pPr>
      <w:r>
        <w:rPr>
          <w:rFonts w:ascii="Arial" w:cs="Arial" w:eastAsia="Arial" w:hAnsi="Arial"/>
          <w:b/>
          <w:bCs/>
          <w:color w:val="1F3864"/>
          <w:sz w:val="36"/>
          <w:szCs w:val="36"/>
        </w:rPr>
        <w:t xml:space="preserve">Relations et CROSSFILTER</w:t>
      </w:r>
    </w:p>
    <w:p>
      <w:pPr>
        <w:spacing w:after="80" w:before="80"/>
      </w:pPr>
      <w:r>
        <w:rPr>
          <w:rFonts w:ascii="Arial" w:cs="Arial" w:eastAsia="Arial" w:hAnsi="Arial"/>
          <w:sz w:val="22"/>
          <w:szCs w:val="22"/>
        </w:rPr>
        <w:t xml:space="preserve">Par défaut, les relations dans Power BI filtrent dans un seul sens (de la table de dimensions vers la table de faits). CROSSFILTER permet de modifier ce comportement temporairement dans une mesure DAX.</w:t>
      </w:r>
    </w:p>
    <w:p>
      <w:r>
        <w:t xml:space="preserve"/>
      </w:r>
    </w:p>
    <w:p>
      <w:pPr>
        <w:pStyle w:val="Heading2"/>
        <w:numPr>
          <w:ilvl w:val="1"/>
          <w:numId w:val="2"/>
        </w:numPr>
      </w:pPr>
      <w:r>
        <w:rPr>
          <w:rFonts w:ascii="Arial" w:cs="Arial" w:eastAsia="Arial" w:hAnsi="Arial"/>
          <w:b/>
          <w:bCs/>
          <w:color w:val="2E74B5"/>
          <w:sz w:val="28"/>
          <w:szCs w:val="28"/>
        </w:rPr>
        <w:t xml:space="preserve">Rappel sur les relations</w:t>
      </w:r>
    </w:p>
    <w:p>
      <w:pPr>
        <w:spacing w:after="80" w:before="80"/>
      </w:pPr>
      <w:r>
        <w:rPr>
          <w:rFonts w:ascii="Arial" w:cs="Arial" w:eastAsia="Arial" w:hAnsi="Arial"/>
          <w:sz w:val="22"/>
          <w:szCs w:val="22"/>
        </w:rPr>
        <w:t xml:space="preserve">Dans un modèle en étoile, les relations sont généralement :</w:t>
      </w:r>
    </w:p>
    <w:p>
      <w:pPr>
        <w:pStyle w:val="ListParagraph"/>
        <w:numPr>
          <w:ilvl w:val="0"/>
          <w:numId w:val="3"/>
        </w:numPr>
        <w:spacing w:after="40" w:before="40"/>
      </w:pPr>
      <w:r>
        <w:rPr>
          <w:rFonts w:ascii="Arial" w:cs="Arial" w:eastAsia="Arial" w:hAnsi="Arial"/>
          <w:sz w:val="22"/>
          <w:szCs w:val="22"/>
        </w:rPr>
        <w:t xml:space="preserve">De type 1-à-plusieurs (de la dimension vers le fait)</w:t>
      </w:r>
    </w:p>
    <w:p>
      <w:pPr>
        <w:pStyle w:val="ListParagraph"/>
        <w:numPr>
          <w:ilvl w:val="0"/>
          <w:numId w:val="3"/>
        </w:numPr>
        <w:spacing w:after="40" w:before="40"/>
      </w:pPr>
      <w:r>
        <w:rPr>
          <w:rFonts w:ascii="Arial" w:cs="Arial" w:eastAsia="Arial" w:hAnsi="Arial"/>
          <w:sz w:val="22"/>
          <w:szCs w:val="22"/>
        </w:rPr>
        <w:t xml:space="preserve">Actives (une seule active entre deux tables) ou inactives</w:t>
      </w:r>
    </w:p>
    <w:p>
      <w:pPr>
        <w:pStyle w:val="ListParagraph"/>
        <w:numPr>
          <w:ilvl w:val="0"/>
          <w:numId w:val="3"/>
        </w:numPr>
        <w:spacing w:after="40" w:before="40"/>
      </w:pPr>
      <w:r>
        <w:rPr>
          <w:rFonts w:ascii="Arial" w:cs="Arial" w:eastAsia="Arial" w:hAnsi="Arial"/>
          <w:sz w:val="22"/>
          <w:szCs w:val="22"/>
        </w:rPr>
        <w:t xml:space="preserve">Unidirectionnelles par défaut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Les relations bidirectionnelles automatiques sont déconseillées dans les modèles complexes : elles créent des ambiguïtés et dégradent les performances. Préférer CROSSFILTER dans les mesures pour l’activer uniquement sur les calculs nécessaires.</w:t>
            </w:r>
          </w:p>
        </w:tc>
      </w:tr>
    </w:tbl>
    <w:p>
      <w:r>
        <w:t xml:space="preserve"/>
      </w:r>
    </w:p>
    <w:p>
      <w:pPr>
        <w:pStyle w:val="Heading2"/>
        <w:numPr>
          <w:ilvl w:val="1"/>
          <w:numId w:val="2"/>
        </w:numPr>
      </w:pPr>
      <w:r>
        <w:rPr>
          <w:rFonts w:ascii="Arial" w:cs="Arial" w:eastAsia="Arial" w:hAnsi="Arial"/>
          <w:b/>
          <w:bCs/>
          <w:color w:val="2E74B5"/>
          <w:sz w:val="28"/>
          <w:szCs w:val="28"/>
        </w:rPr>
        <w:t xml:space="preserve">Fonction CROSSFILTER</w:t>
      </w:r>
    </w:p>
    <w:p>
      <w:pPr>
        <w:spacing w:after="80" w:before="80"/>
      </w:pPr>
      <w:r>
        <w:rPr>
          <w:rFonts w:ascii="Arial" w:cs="Arial" w:eastAsia="Arial" w:hAnsi="Arial"/>
          <w:sz w:val="22"/>
          <w:szCs w:val="22"/>
        </w:rPr>
        <w:t xml:space="preserve">Syntaxe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CROSSFILTER(&lt;colonne1&gt;, &lt;colonne2&gt;, &lt;direction&gt;)</w:t>
      </w:r>
    </w:p>
    <w:p>
      <w:r>
        <w:t xml:space="preserve"/>
      </w:r>
    </w:p>
    <w:p>
      <w:pPr>
        <w:spacing w:after="80" w:before="80"/>
      </w:pPr>
      <w:r>
        <w:rPr>
          <w:rFonts w:ascii="Arial" w:cs="Arial" w:eastAsia="Arial" w:hAnsi="Arial"/>
          <w:sz w:val="22"/>
          <w:szCs w:val="22"/>
        </w:rPr>
        <w:t xml:space="preserve">Paramètre direction :</w:t>
      </w:r>
    </w:p>
    <w:p>
      <w:pPr>
        <w:pStyle w:val="ListParagraph"/>
        <w:numPr>
          <w:ilvl w:val="0"/>
          <w:numId w:val="3"/>
        </w:numPr>
        <w:spacing w:after="40" w:before="40"/>
      </w:pPr>
      <w:r>
        <w:rPr>
          <w:rFonts w:ascii="Arial" w:cs="Arial" w:eastAsia="Arial" w:hAnsi="Arial"/>
          <w:sz w:val="22"/>
          <w:szCs w:val="22"/>
        </w:rPr>
        <w:t xml:space="preserve">NONE — désactive la relation</w:t>
      </w:r>
    </w:p>
    <w:p>
      <w:pPr>
        <w:pStyle w:val="ListParagraph"/>
        <w:numPr>
          <w:ilvl w:val="0"/>
          <w:numId w:val="3"/>
        </w:numPr>
        <w:spacing w:after="40" w:before="40"/>
      </w:pPr>
      <w:r>
        <w:rPr>
          <w:rFonts w:ascii="Arial" w:cs="Arial" w:eastAsia="Arial" w:hAnsi="Arial"/>
          <w:sz w:val="22"/>
          <w:szCs w:val="22"/>
        </w:rPr>
        <w:t xml:space="preserve">ONEWAY — filtre dans le sens standard (1 vers N)</w:t>
      </w:r>
    </w:p>
    <w:p>
      <w:pPr>
        <w:pStyle w:val="ListParagraph"/>
        <w:numPr>
          <w:ilvl w:val="0"/>
          <w:numId w:val="3"/>
        </w:numPr>
        <w:spacing w:after="40" w:before="40"/>
      </w:pPr>
      <w:r>
        <w:rPr>
          <w:rFonts w:ascii="Arial" w:cs="Arial" w:eastAsia="Arial" w:hAnsi="Arial"/>
          <w:sz w:val="22"/>
          <w:szCs w:val="22"/>
        </w:rPr>
        <w:t xml:space="preserve">BOTH — filtre dans les deux sens</w:t>
      </w:r>
    </w:p>
    <w:p>
      <w:r>
        <w:t xml:space="preserve"/>
      </w:r>
    </w:p>
    <w:p>
      <w:pPr>
        <w:pStyle w:val="Heading3"/>
        <w:numPr>
          <w:ilvl w:val="2"/>
          <w:numId w:val="2"/>
        </w:numPr>
      </w:pPr>
      <w:r>
        <w:rPr>
          <w:rFonts w:ascii="Arial" w:cs="Arial" w:eastAsia="Arial" w:hAnsi="Arial"/>
          <w:b/>
          <w:bCs/>
          <w:color w:val="2E74B5"/>
          <w:sz w:val="24"/>
          <w:szCs w:val="24"/>
        </w:rPr>
        <w:t xml:space="preserve">Cas d’usage 1 — Comptage via relation inverse</w:t>
      </w:r>
    </w:p>
    <w:p>
      <w:pPr>
        <w:spacing w:after="80" w:before="80"/>
      </w:pPr>
      <w:r>
        <w:rPr>
          <w:rFonts w:ascii="Arial" w:cs="Arial" w:eastAsia="Arial" w:hAnsi="Arial"/>
          <w:sz w:val="22"/>
          <w:szCs w:val="22"/>
        </w:rPr>
        <w:t xml:space="preserve">Nombre de références produits distinctes effectivement vendues (sens inverse : FactVENTES vers DimProduits)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Nb Produits Vendus = 
CALCULATE(
    DISTINCTCOUNT(DimProduits[IDProduit]),
    CROSSFILTER(FactVENTES[IDProduit], DimProduits[IDProduit], BOTH)
)</w:t>
      </w:r>
    </w:p>
    <w:p>
      <w:r>
        <w:t xml:space="preserve"/>
      </w:r>
    </w:p>
    <w:p>
      <w:pPr>
        <w:pStyle w:val="Heading3"/>
        <w:numPr>
          <w:ilvl w:val="2"/>
          <w:numId w:val="2"/>
        </w:numPr>
      </w:pPr>
      <w:r>
        <w:rPr>
          <w:rFonts w:ascii="Arial" w:cs="Arial" w:eastAsia="Arial" w:hAnsi="Arial"/>
          <w:b/>
          <w:bCs/>
          <w:color w:val="2E74B5"/>
          <w:sz w:val="24"/>
          <w:szCs w:val="24"/>
        </w:rPr>
        <w:t xml:space="preserve">Cas d’usage 2 — Relation inactive</w:t>
      </w:r>
    </w:p>
    <w:p>
      <w:pPr>
        <w:spacing w:after="80" w:before="80"/>
      </w:pPr>
      <w:r>
        <w:rPr>
          <w:rFonts w:ascii="Arial" w:cs="Arial" w:eastAsia="Arial" w:hAnsi="Arial"/>
          <w:sz w:val="22"/>
          <w:szCs w:val="22"/>
        </w:rPr>
        <w:t xml:space="preserve">Dans Demo_Contoso, FactVENTES possède deux clés de date : DateVente (active) et DateLivraison (inactive). USERELATIONSHIP active la relation de livraison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Livraison = 
CALCULATE(
    [Total CA],
    USERELATIONSHIP(FactVENTES[DateLivraison], DimDates[Date])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USERELATIONSHIP désactive automatiquement la relation active entre les mêmes tables le temps du calcul.</w:t>
            </w:r>
          </w:p>
        </w:tc>
      </w:tr>
    </w:tbl>
    <w:p>
      <w:r>
        <w:t xml:space="preserve"/>
      </w:r>
    </w:p>
    <w:p>
      <w:pPr>
        <w:pStyle w:val="Heading3"/>
        <w:numPr>
          <w:ilvl w:val="2"/>
          <w:numId w:val="2"/>
        </w:numPr>
      </w:pPr>
      <w:r>
        <w:rPr>
          <w:rFonts w:ascii="Arial" w:cs="Arial" w:eastAsia="Arial" w:hAnsi="Arial"/>
          <w:b/>
          <w:bCs/>
          <w:color w:val="2E74B5"/>
          <w:sz w:val="24"/>
          <w:szCs w:val="24"/>
        </w:rPr>
        <w:t xml:space="preserve">Cas d’usage 3 — Désactiver une relation</w:t>
      </w:r>
    </w:p>
    <w:p>
      <w:pPr>
        <w:spacing w:after="80" w:before="80"/>
      </w:pPr>
      <w:r>
        <w:rPr>
          <w:rFonts w:ascii="Arial" w:cs="Arial" w:eastAsia="Arial" w:hAnsi="Arial"/>
          <w:sz w:val="22"/>
          <w:szCs w:val="22"/>
        </w:rPr>
        <w:t xml:space="preserve">Désactiver temporairement la relation de date pour obtenir un total indépendant de tout filtre temporel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Hors Période = 
CALCULATE(
    [Total CA],
    CROSSFILTER(FactVENTES[DateVente], DimDates[Date], NONE)
)</w:t>
      </w:r>
    </w:p>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Identifier la relation inactive FactVENTES[DateLivraison] → DimDates[Date] dans le modèle</w:t>
      </w:r>
    </w:p>
    <w:p>
      <w:pPr>
        <w:pStyle w:val="ListParagraph"/>
        <w:numPr>
          <w:ilvl w:val="0"/>
          <w:numId w:val="3"/>
        </w:numPr>
        <w:spacing w:after="40" w:before="40"/>
      </w:pPr>
      <w:r>
        <w:rPr>
          <w:rFonts w:ascii="Arial" w:cs="Arial" w:eastAsia="Arial" w:hAnsi="Arial"/>
          <w:sz w:val="22"/>
          <w:szCs w:val="22"/>
        </w:rPr>
        <w:t xml:space="preserve">Comparer [Total CA] et [CA Livraison] sur un graphique par mois pour visualiser l’écart</w:t>
      </w:r>
    </w:p>
    <w:p>
      <w:pPr>
        <w:pStyle w:val="ListParagraph"/>
        <w:numPr>
          <w:ilvl w:val="0"/>
          <w:numId w:val="3"/>
        </w:numPr>
        <w:spacing w:after="40" w:before="40"/>
      </w:pPr>
      <w:r>
        <w:rPr>
          <w:rFonts w:ascii="Arial" w:cs="Arial" w:eastAsia="Arial" w:hAnsi="Arial"/>
          <w:sz w:val="22"/>
          <w:szCs w:val="22"/>
        </w:rPr>
        <w:t xml:space="preserve">Créer une mesure Marge Brute Livraison avec USERELATIONSHIP</w:t>
      </w:r>
    </w:p>
    <w:p>
      <w:r>
        <w:t xml:space="preserve"/>
      </w:r>
    </w:p>
    <w:p>
      <w:pPr>
        <w:pStyle w:val="Heading1"/>
        <w:pageBreakBefore/>
        <w:numPr>
          <w:ilvl w:val="0"/>
          <w:numId w:val="2"/>
        </w:numPr>
      </w:pPr>
      <w:r>
        <w:rPr>
          <w:rFonts w:ascii="Arial" w:cs="Arial" w:eastAsia="Arial" w:hAnsi="Arial"/>
          <w:b/>
          <w:bCs/>
          <w:color w:val="1F3864"/>
          <w:sz w:val="36"/>
          <w:szCs w:val="36"/>
        </w:rPr>
        <w:t xml:space="preserve">Time Intelligence avancée</w:t>
      </w:r>
    </w:p>
    <w:p>
      <w:pPr>
        <w:spacing w:after="80" w:before="80"/>
      </w:pPr>
      <w:r>
        <w:rPr>
          <w:rFonts w:ascii="Arial" w:cs="Arial" w:eastAsia="Arial" w:hAnsi="Arial"/>
          <w:sz w:val="22"/>
          <w:szCs w:val="22"/>
        </w:rPr>
        <w:t xml:space="preserve">Les fonctions de Time Intelligence permettent d’effectuer des calculs sur des périodes temporelles. Au-delà des fonctions standards (TOTALYTD, SAMEPERIODLASTYEAR), DAX offre des fonctions à la granularité fine.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Prérequis : le modèle doit posséder une table de dates marquée (Mark as Date Table — Marquer comme Table de Dates) avec une colonne de type Date sans discontinuité (dates contiguës et continues).</w:t>
            </w:r>
          </w:p>
        </w:tc>
      </w:tr>
    </w:tbl>
    <w:p>
      <w:r>
        <w:t xml:space="preserve"/>
      </w:r>
    </w:p>
    <w:p>
      <w:pPr>
        <w:pStyle w:val="Heading2"/>
        <w:numPr>
          <w:ilvl w:val="1"/>
          <w:numId w:val="2"/>
        </w:numPr>
      </w:pPr>
      <w:r>
        <w:rPr>
          <w:rFonts w:ascii="Arial" w:cs="Arial" w:eastAsia="Arial" w:hAnsi="Arial"/>
          <w:b/>
          <w:bCs/>
          <w:color w:val="2E74B5"/>
          <w:sz w:val="28"/>
          <w:szCs w:val="28"/>
        </w:rPr>
        <w:t xml:space="preserve">Limites des fonctions standards</w:t>
      </w:r>
    </w:p>
    <w:p>
      <w:pPr>
        <w:spacing w:after="80" w:before="80"/>
      </w:pPr>
      <w:r>
        <w:rPr>
          <w:rFonts w:ascii="Arial" w:cs="Arial" w:eastAsia="Arial" w:hAnsi="Arial"/>
          <w:sz w:val="22"/>
          <w:szCs w:val="22"/>
        </w:rPr>
        <w:t xml:space="preserve">Les fonctions comme TOTALYTD ou SAMEPERIODLASTYEAR sont pratiques mais rigides :</w:t>
      </w:r>
    </w:p>
    <w:p>
      <w:pPr>
        <w:pStyle w:val="ListParagraph"/>
        <w:numPr>
          <w:ilvl w:val="0"/>
          <w:numId w:val="3"/>
        </w:numPr>
        <w:spacing w:after="40" w:before="40"/>
      </w:pPr>
      <w:r>
        <w:rPr>
          <w:rFonts w:ascii="Arial" w:cs="Arial" w:eastAsia="Arial" w:hAnsi="Arial"/>
          <w:sz w:val="22"/>
          <w:szCs w:val="22"/>
        </w:rPr>
        <w:t xml:space="preserve">Basées sur l’année civile (ou une date de fin d’exercice fixe)</w:t>
      </w:r>
    </w:p>
    <w:p>
      <w:pPr>
        <w:pStyle w:val="ListParagraph"/>
        <w:numPr>
          <w:ilvl w:val="0"/>
          <w:numId w:val="3"/>
        </w:numPr>
        <w:spacing w:after="40" w:before="40"/>
      </w:pPr>
      <w:r>
        <w:rPr>
          <w:rFonts w:ascii="Arial" w:cs="Arial" w:eastAsia="Arial" w:hAnsi="Arial"/>
          <w:sz w:val="22"/>
          <w:szCs w:val="22"/>
        </w:rPr>
        <w:t xml:space="preserve">Ne permettent pas de périodes glissantes personnalisées</w:t>
      </w:r>
    </w:p>
    <w:p>
      <w:pPr>
        <w:pStyle w:val="ListParagraph"/>
        <w:numPr>
          <w:ilvl w:val="0"/>
          <w:numId w:val="3"/>
        </w:numPr>
        <w:spacing w:after="40" w:before="40"/>
      </w:pPr>
      <w:r>
        <w:rPr>
          <w:rFonts w:ascii="Arial" w:cs="Arial" w:eastAsia="Arial" w:hAnsi="Arial"/>
          <w:sz w:val="22"/>
          <w:szCs w:val="22"/>
        </w:rPr>
        <w:t xml:space="preserve">Ne gèrent pas facilement les calendriers fiscaux décalés complexes (préférer des colonnes dans la table de dates)</w:t>
      </w:r>
    </w:p>
    <w:p>
      <w:r>
        <w:t xml:space="preserve"/>
      </w:r>
    </w:p>
    <w:p>
      <w:pPr>
        <w:pStyle w:val="Heading2"/>
        <w:numPr>
          <w:ilvl w:val="1"/>
          <w:numId w:val="2"/>
        </w:numPr>
      </w:pPr>
      <w:r>
        <w:rPr>
          <w:rFonts w:ascii="Arial" w:cs="Arial" w:eastAsia="Arial" w:hAnsi="Arial"/>
          <w:b/>
          <w:bCs/>
          <w:color w:val="2E74B5"/>
          <w:sz w:val="28"/>
          <w:szCs w:val="28"/>
        </w:rPr>
        <w:t xml:space="preserve">Fonctions avancées</w:t>
      </w:r>
    </w:p>
    <w:p>
      <w:pPr>
        <w:pStyle w:val="Heading3"/>
        <w:numPr>
          <w:ilvl w:val="2"/>
          <w:numId w:val="2"/>
        </w:numPr>
      </w:pPr>
      <w:r>
        <w:rPr>
          <w:rFonts w:ascii="Arial" w:cs="Arial" w:eastAsia="Arial" w:hAnsi="Arial"/>
          <w:b/>
          <w:bCs/>
          <w:color w:val="2E74B5"/>
          <w:sz w:val="24"/>
          <w:szCs w:val="24"/>
        </w:rPr>
        <w:t xml:space="preserve">DATESBETWEEN</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DATESBETWEEN(&lt;colonne_date&gt;, &lt;date_début&gt;, &lt;date_fin&gt;)</w:t>
      </w:r>
    </w:p>
    <w:p>
      <w:pPr>
        <w:spacing w:after="80" w:before="80"/>
      </w:pPr>
      <w:r>
        <w:rPr>
          <w:rFonts w:ascii="Arial" w:cs="Arial" w:eastAsia="Arial" w:hAnsi="Arial"/>
          <w:sz w:val="22"/>
          <w:szCs w:val="22"/>
        </w:rPr>
        <w:t xml:space="preserve">Retourne une table de dates dans l’intervalle spécifié. Idéale pour des périodes métier non standards.</w:t>
      </w:r>
    </w:p>
    <w:p>
      <w:r>
        <w:t xml:space="preserve"/>
      </w:r>
    </w:p>
    <w:p>
      <w:pPr>
        <w:spacing w:after="80" w:before="80"/>
      </w:pPr>
      <w:r>
        <w:rPr>
          <w:rFonts w:ascii="Arial" w:cs="Arial" w:eastAsia="Arial" w:hAnsi="Arial"/>
          <w:sz w:val="22"/>
          <w:szCs w:val="22"/>
        </w:rPr>
        <w:t xml:space="preserve">Exemple — Ventes sur les 12 derniers mois glissants à partir de la dernière date disponible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12M Glissants =
VAR DerniereDate = LASTDATE( DimDates[Date] )
    -- LASTDATE : respecte les modificateurs de time intelligence (meilleur que MAX)
VAR DateDebut = DATE( YEAR( DerniereDate ), MONTH( DerniereDate ) - 11, 1 )
    -- 1er du mois 11 mois en arriere : avec DerniereDate = dec 2024 → jan 2024
RETURN
    CALCULATE(
        [Total CA],
        DATESBETWEEN( DimDates[Date], DateDebut, DerniereDate )
    )</w:t>
      </w:r>
    </w:p>
    <w:p>
      <w:r>
        <w:t xml:space="preserve"/>
      </w:r>
    </w:p>
    <w:p>
      <w:pPr>
        <w:pStyle w:val="Heading3"/>
        <w:numPr>
          <w:ilvl w:val="2"/>
          <w:numId w:val="2"/>
        </w:numPr>
      </w:pPr>
      <w:r>
        <w:rPr>
          <w:rFonts w:ascii="Arial" w:cs="Arial" w:eastAsia="Arial" w:hAnsi="Arial"/>
          <w:b/>
          <w:bCs/>
          <w:color w:val="2E74B5"/>
          <w:sz w:val="24"/>
          <w:szCs w:val="24"/>
        </w:rPr>
        <w:t xml:space="preserve">DATESINPERIOD</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DATESINPERIOD(&lt;colonne_date&gt;, &lt;date_départ&gt;, &lt;nombre&gt;, &lt;intervalle&gt;)</w:t>
      </w:r>
    </w:p>
    <w:p>
      <w:pPr>
        <w:spacing w:after="80" w:before="80"/>
      </w:pPr>
      <w:r>
        <w:rPr>
          <w:rFonts w:ascii="Arial" w:cs="Arial" w:eastAsia="Arial" w:hAnsi="Arial"/>
          <w:sz w:val="22"/>
          <w:szCs w:val="22"/>
        </w:rPr>
        <w:t xml:space="preserve">Intervalle : DAY, MONTH, QUARTER, YEAR</w:t>
      </w:r>
    </w:p>
    <w:p>
      <w:r>
        <w:t xml:space="preserve"/>
      </w:r>
    </w:p>
    <w:p>
      <w:pPr>
        <w:spacing w:after="80" w:before="80"/>
      </w:pPr>
      <w:r>
        <w:rPr>
          <w:rFonts w:ascii="Arial" w:cs="Arial" w:eastAsia="Arial" w:hAnsi="Arial"/>
          <w:sz w:val="22"/>
          <w:szCs w:val="22"/>
        </w:rPr>
        <w:t xml:space="preserve">Exemple — Moyenne mobile sur 3 mois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Moyenne Mobile CA 3M =
VAR CA3DerniersMois =
    CALCULATE(
        [Total CA],
        DATESINPERIOD( DimDates[Date], LASTDATE( DimDates[Date] ), -3, MONTH )
    )
    -- CA cumulé sur la fenêtre glissante de 3 mois en arrière
RETURN
    DIVIDE( CA3DerniersMois, 3 )</w:t>
      </w:r>
    </w:p>
    <w:p>
      <w:r>
        <w:t xml:space="preserve"/>
      </w:r>
    </w:p>
    <w:p>
      <w:pPr>
        <w:pStyle w:val="Heading3"/>
        <w:numPr>
          <w:ilvl w:val="2"/>
          <w:numId w:val="2"/>
        </w:numPr>
      </w:pPr>
      <w:r>
        <w:rPr>
          <w:rFonts w:ascii="Arial" w:cs="Arial" w:eastAsia="Arial" w:hAnsi="Arial"/>
          <w:b/>
          <w:bCs/>
          <w:color w:val="2E74B5"/>
          <w:sz w:val="24"/>
          <w:szCs w:val="24"/>
        </w:rPr>
        <w:t xml:space="preserve">DATEADD</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DATEADD(&lt;colonne_date&gt;, &lt;nb_intervalles&gt;, &lt;intervalle&gt;)</w:t>
      </w:r>
    </w:p>
    <w:p>
      <w:pPr>
        <w:spacing w:after="80" w:before="80"/>
      </w:pPr>
      <w:r>
        <w:rPr>
          <w:rFonts w:ascii="Arial" w:cs="Arial" w:eastAsia="Arial" w:hAnsi="Arial"/>
          <w:sz w:val="22"/>
          <w:szCs w:val="22"/>
        </w:rPr>
        <w:t xml:space="preserve">Décale une période. Plus flexible que SAMEPERIODLASTYEAR.</w:t>
      </w:r>
    </w:p>
    <w:p>
      <w:r>
        <w:t xml:space="preserve"/>
      </w:r>
    </w:p>
    <w:p>
      <w:pPr>
        <w:spacing w:after="80" w:before="80"/>
      </w:pPr>
      <w:r>
        <w:rPr>
          <w:rFonts w:ascii="Arial" w:cs="Arial" w:eastAsia="Arial" w:hAnsi="Arial"/>
          <w:sz w:val="22"/>
          <w:szCs w:val="22"/>
        </w:rPr>
        <w:t xml:space="preserve">Exemple — Ventes année précédente à la même période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N-1 = CALCULATE([Total CA], DATEADD(DimDates[Date], -1, YEAR))</w:t>
      </w:r>
    </w:p>
    <w:p>
      <w:r>
        <w:t xml:space="preserve"/>
      </w:r>
    </w:p>
    <w:p>
      <w:pPr>
        <w:pStyle w:val="Heading3"/>
        <w:numPr>
          <w:ilvl w:val="2"/>
          <w:numId w:val="2"/>
        </w:numPr>
      </w:pPr>
      <w:r>
        <w:rPr>
          <w:rFonts w:ascii="Arial" w:cs="Arial" w:eastAsia="Arial" w:hAnsi="Arial"/>
          <w:b/>
          <w:bCs/>
          <w:color w:val="2E74B5"/>
          <w:sz w:val="24"/>
          <w:szCs w:val="24"/>
        </w:rPr>
        <w:t xml:space="preserve">PARALLELPERIOD</w:t>
      </w:r>
    </w:p>
    <w:p>
      <w:pPr>
        <w:spacing w:after="80" w:before="80"/>
      </w:pPr>
      <w:r>
        <w:rPr>
          <w:rFonts w:ascii="Arial" w:cs="Arial" w:eastAsia="Arial" w:hAnsi="Arial"/>
          <w:sz w:val="22"/>
          <w:szCs w:val="22"/>
        </w:rPr>
        <w:t xml:space="preserve">Similaire à DATEADD, mais décale une période complète (le mois entier, pas juste les jours sélectionnés).</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Mois Précédent =
CALCULATE( [Total CA], PARALLELPERIOD( DimDates[Date], -1, MONTH )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PARALLELPERIOD fonctionne sur la période de regroupement du visuel. Dans un visuel par mois, PARALLELPERIOD(DimDates[Date], -12, MONTH) retourne le même mois 1 an avant. Mais PARALLELPERIOD(DimDates[Date], -1, YEAR) retourne le résultat de l’année entière 1 an avant sur chaque ligne. Éviter les confusions en validant avec un tableau.</w:t>
            </w:r>
          </w:p>
        </w:tc>
      </w:tr>
    </w:tbl>
    <w:p>
      <w:r>
        <w:t xml:space="preserve"/>
      </w:r>
    </w:p>
    <w:p>
      <w:pPr>
        <w:pStyle w:val="Heading3"/>
        <w:numPr>
          <w:ilvl w:val="2"/>
          <w:numId w:val="2"/>
        </w:numPr>
      </w:pPr>
      <w:r>
        <w:rPr>
          <w:rFonts w:ascii="Arial" w:cs="Arial" w:eastAsia="Arial" w:hAnsi="Arial"/>
          <w:b/>
          <w:bCs/>
          <w:color w:val="2E74B5"/>
          <w:sz w:val="24"/>
          <w:szCs w:val="24"/>
        </w:rPr>
        <w:t xml:space="preserve">Tableau comparatif des fonctions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26"/>
        <w:gridCol w:w="320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Fonction</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Usage</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Particularité</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DATESBETWEEN</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Période exacte (début/fin)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flexible, manuel</w:t>
            </w:r>
          </w:p>
        </w:tc>
      </w:tr>
      <w:tr>
        <w:tc>
          <w:tcPr>
            <w:tcW w:type="dxa" w:w="2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DATESINPERIOD</w:t>
            </w:r>
          </w:p>
        </w:tc>
        <w:tc>
          <w:tcPr>
            <w:tcW w:type="dxa" w:w="322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Période glissante N jours/mois</w:t>
            </w:r>
          </w:p>
        </w:tc>
        <w:tc>
          <w:tcPr>
            <w:tcW w:type="dxa" w:w="3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Idéal pour moyennes mobiles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DATEADD</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Décalage relatif</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Période sélectionnée seulement</w:t>
            </w:r>
          </w:p>
        </w:tc>
      </w:tr>
      <w:tr>
        <w:tc>
          <w:tcPr>
            <w:tcW w:type="dxa" w:w="2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PARALLELPERIOD</w:t>
            </w:r>
          </w:p>
        </w:tc>
        <w:tc>
          <w:tcPr>
            <w:tcW w:type="dxa" w:w="322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Période complète décalée</w:t>
            </w:r>
          </w:p>
        </w:tc>
        <w:tc>
          <w:tcPr>
            <w:tcW w:type="dxa" w:w="3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Période entière (mois complet)</w:t>
            </w:r>
          </w:p>
        </w:tc>
      </w:tr>
    </w:tbl>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Créer une mesure de Ventes 12 mois glissants</w:t>
      </w:r>
    </w:p>
    <w:p>
      <w:pPr>
        <w:pStyle w:val="ListParagraph"/>
        <w:numPr>
          <w:ilvl w:val="0"/>
          <w:numId w:val="3"/>
        </w:numPr>
        <w:spacing w:after="40" w:before="40"/>
      </w:pPr>
      <w:r>
        <w:rPr>
          <w:rFonts w:ascii="Arial" w:cs="Arial" w:eastAsia="Arial" w:hAnsi="Arial"/>
          <w:sz w:val="22"/>
          <w:szCs w:val="22"/>
        </w:rPr>
        <w:t xml:space="preserve">Implémenter une moyenne mobile sur 3 mois</w:t>
      </w:r>
    </w:p>
    <w:p>
      <w:pPr>
        <w:pStyle w:val="ListParagraph"/>
        <w:numPr>
          <w:ilvl w:val="0"/>
          <w:numId w:val="3"/>
        </w:numPr>
        <w:spacing w:after="40" w:before="40"/>
      </w:pPr>
      <w:r>
        <w:rPr>
          <w:rFonts w:ascii="Arial" w:cs="Arial" w:eastAsia="Arial" w:hAnsi="Arial"/>
          <w:sz w:val="22"/>
          <w:szCs w:val="22"/>
        </w:rPr>
        <w:t xml:space="preserve">Comparer N vs N-1 avec DATEADD et PARALLELPERIOD sur un même graphique</w:t>
      </w:r>
    </w:p>
    <w:p>
      <w:r>
        <w:t xml:space="preserve"/>
      </w:r>
    </w:p>
    <w:p>
      <w:pPr>
        <w:pStyle w:val="Heading1"/>
        <w:pageBreakBefore/>
        <w:numPr>
          <w:ilvl w:val="0"/>
          <w:numId w:val="2"/>
        </w:numPr>
      </w:pPr>
      <w:r>
        <w:rPr>
          <w:rFonts w:ascii="Arial" w:cs="Arial" w:eastAsia="Arial" w:hAnsi="Arial"/>
          <w:b/>
          <w:bCs/>
          <w:color w:val="1F3864"/>
          <w:sz w:val="36"/>
          <w:szCs w:val="36"/>
        </w:rPr>
        <w:t xml:space="preserve">Patterns DAX avancés</w:t>
      </w:r>
    </w:p>
    <w:p>
      <w:pPr>
        <w:spacing w:after="80" w:before="80"/>
      </w:pPr>
      <w:r>
        <w:rPr>
          <w:rFonts w:ascii="Arial" w:cs="Arial" w:eastAsia="Arial" w:hAnsi="Arial"/>
          <w:sz w:val="22"/>
          <w:szCs w:val="22"/>
        </w:rPr>
        <w:t xml:space="preserve">Les patterns DAX sont des structures de mesures réutilisables répondant à des besoins métier fréquents. Maîtriser ces patterns permet de répondre rapidement à des demandes complexes.</w:t>
      </w:r>
    </w:p>
    <w:p>
      <w:r>
        <w:t xml:space="preserve"/>
      </w:r>
    </w:p>
    <w:p>
      <w:pPr>
        <w:pStyle w:val="Heading2"/>
        <w:numPr>
          <w:ilvl w:val="1"/>
          <w:numId w:val="2"/>
        </w:numPr>
      </w:pPr>
      <w:r>
        <w:rPr>
          <w:rFonts w:ascii="Arial" w:cs="Arial" w:eastAsia="Arial" w:hAnsi="Arial"/>
          <w:b/>
          <w:bCs/>
          <w:color w:val="2E74B5"/>
          <w:sz w:val="28"/>
          <w:szCs w:val="28"/>
        </w:rPr>
        <w:t xml:space="preserve">Comparaison N / N-1</w:t>
      </w:r>
    </w:p>
    <w:p>
      <w:pPr>
        <w:spacing w:after="80" w:before="80"/>
      </w:pPr>
      <w:r>
        <w:rPr>
          <w:rFonts w:ascii="Arial" w:cs="Arial" w:eastAsia="Arial" w:hAnsi="Arial"/>
          <w:sz w:val="22"/>
          <w:szCs w:val="22"/>
        </w:rPr>
        <w:t xml:space="preserve">Variation absolue — les deux mesures sont calculées une seule fois grâce aux variables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Var N-1 =
VAR CAActuel = [Total CA]
VAR CAN1    = [CA N-1]
    -- Variables : évite de recalculer deux fois les mêmes mesures
RETURN
    IF( NOT ISBLANK( CAN1 ), CAActuel - CAN1 )
    -- Retourne BLANK si l'année N-1 n'existe pas (donnée absente)</w:t>
      </w:r>
    </w:p>
    <w:p>
      <w:r>
        <w:t xml:space="preserve"/>
      </w:r>
    </w:p>
    <w:p>
      <w:pPr>
        <w:spacing w:after="80" w:before="80"/>
      </w:pPr>
      <w:r>
        <w:rPr>
          <w:rFonts w:ascii="Arial" w:cs="Arial" w:eastAsia="Arial" w:hAnsi="Arial"/>
          <w:sz w:val="22"/>
          <w:szCs w:val="22"/>
        </w:rPr>
        <w:t xml:space="preserve">Variation en pourcentage — DIVIDE gère seul la division par zéro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Var% N-1 =
VAR CAActuel = [Total CA]
VAR CAN1    = [CA N-1]
RETURN
    DIVIDE( CAActuel - CAN1, CAN1 )
    -- 3e argument de DIVIDE optionnel : BLANK si omis, 0 ou texte si besoin
    -- Ex : DIVIDE( CAActuel - CAN1, CAN1, 0 )  retourne 0 si division impossible
    -- Ex : DIVIDE( CAActuel - CAN1, CAN1, "N/D" ) retourne N/D</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Toujours utiliser DIVIDE (et non l’opérateur /) pour gérer les divisions par zéro. DIVIDE retourne BLANK par défaut — c’est généralement le comportement le plus propre dans un visuel.</w:t>
            </w:r>
          </w:p>
        </w:tc>
      </w:tr>
    </w:tbl>
    <w:p>
      <w:r>
        <w:t xml:space="preserve"/>
      </w:r>
    </w:p>
    <w:p>
      <w:pPr>
        <w:pStyle w:val="Heading2"/>
        <w:numPr>
          <w:ilvl w:val="1"/>
          <w:numId w:val="2"/>
        </w:numPr>
      </w:pPr>
      <w:r>
        <w:rPr>
          <w:rFonts w:ascii="Arial" w:cs="Arial" w:eastAsia="Arial" w:hAnsi="Arial"/>
          <w:b/>
          <w:bCs/>
          <w:color w:val="2E74B5"/>
          <w:sz w:val="28"/>
          <w:szCs w:val="28"/>
        </w:rPr>
        <w:t xml:space="preserve">Part de total dynamique</w:t>
      </w:r>
    </w:p>
    <w:p>
      <w:pPr>
        <w:spacing w:after="80" w:before="80"/>
      </w:pPr>
      <w:r>
        <w:rPr>
          <w:rFonts w:ascii="Arial" w:cs="Arial" w:eastAsia="Arial" w:hAnsi="Arial"/>
          <w:sz w:val="22"/>
          <w:szCs w:val="22"/>
        </w:rPr>
        <w:t xml:space="preserve">Part par catégorie sur le total général — ALL supprime TOUS les filtres de la table DimProduits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 Total =
VAR CATousProduits =
    CALCULATE( [Total CA], ALL( DimProduits ) )
    -- ALL(table) : supprime tous les filtres sur cette table
RETURN
    DIVIDE( [Total CA], CATousProduits )</w:t>
      </w:r>
    </w:p>
    <w:p>
      <w:r>
        <w:t xml:space="preserve"/>
      </w:r>
    </w:p>
    <w:p>
      <w:pPr>
        <w:spacing w:after="80" w:before="80"/>
      </w:pPr>
      <w:r>
        <w:rPr>
          <w:rFonts w:ascii="Arial" w:cs="Arial" w:eastAsia="Arial" w:hAnsi="Arial"/>
          <w:sz w:val="22"/>
          <w:szCs w:val="22"/>
        </w:rPr>
        <w:t xml:space="preserve">Part sur le total de la sélection — ALLSELECTED conserve les slicers/segments mais ignore le filtre interne du visuel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CA % Sélection =
VAR CASelectionTotale =
    CALCULATE( [Total CA], ALLSELECTED( DimProduits[Catégorie] ) )
    -- ALLSELECTED : ignore le filtre catégorie du visuel, conserve les slicers
RETURN
    DIVIDE( [Total CA], CASelectionTotale )</w:t>
      </w:r>
    </w:p>
    <w:p>
      <w:r>
        <w:t xml:space="preserve"/>
      </w:r>
    </w:p>
    <w:p>
      <w:pPr>
        <w:pStyle w:val="Heading2"/>
        <w:numPr>
          <w:ilvl w:val="1"/>
          <w:numId w:val="2"/>
        </w:numPr>
      </w:pPr>
      <w:r>
        <w:rPr>
          <w:rFonts w:ascii="Arial" w:cs="Arial" w:eastAsia="Arial" w:hAnsi="Arial"/>
          <w:b/>
          <w:bCs/>
          <w:color w:val="2E74B5"/>
          <w:sz w:val="28"/>
          <w:szCs w:val="28"/>
        </w:rPr>
        <w:t xml:space="preserve">Classements évolutifs avec RANKX</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RANKX(&lt;table&gt;, &lt;expression&gt;, [&lt;valeur&gt;], [&lt;ordre&gt;], [&lt;liens&gt;])</w:t>
      </w:r>
    </w:p>
    <w:p>
      <w:r>
        <w:t xml:space="preserve"/>
      </w:r>
    </w:p>
    <w:p>
      <w:pPr>
        <w:spacing w:after="80" w:before="80"/>
      </w:pPr>
      <w:r>
        <w:rPr>
          <w:rFonts w:ascii="Arial" w:cs="Arial" w:eastAsia="Arial" w:hAnsi="Arial"/>
          <w:sz w:val="22"/>
          <w:szCs w:val="22"/>
        </w:rPr>
        <w:t xml:space="preserve">Classement des catégories par CA — rang 1 = valeur la plus haute (DESC par défaut)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Rang Catégorie CA =
RANKX(
    ALL( DimProduits[Catégorie] ),
    [Total CA]
)
-- DESC et Skip ties par défaut : pas d'arguments supplémentaires nécessaires</w:t>
      </w:r>
    </w:p>
    <w:p>
      <w:r>
        <w:t xml:space="preserve"/>
      </w:r>
    </w:p>
    <w:p>
      <w:pPr>
        <w:spacing w:after="80" w:before="80"/>
      </w:pPr>
      <w:r>
        <w:rPr>
          <w:rFonts w:ascii="Arial" w:cs="Arial" w:eastAsia="Arial" w:hAnsi="Arial"/>
          <w:sz w:val="22"/>
          <w:szCs w:val="22"/>
        </w:rPr>
        <w:t xml:space="preserve">Pour obtenir des rangs sans saut (Dense), on doit spécifier ordre ET liens. La syntaxe DAX exige de sauter l’argument Value avec une virgule vide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Rang Dense =
RANKX(
    ALL( DimProduits[Catégorie] ),
    [Total CA],
    ,   -- argument Value sauté (obligatoire pour atteindre les suivants)
    DESC,
    Dense
)</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RANKX avec ALL parcourt toutes les catégories du modèle, même les filtrées. Pour un classement limité à la sélection active, utiliser ALLSELECTED.</w:t>
            </w:r>
          </w:p>
        </w:tc>
      </w:tr>
    </w:tbl>
    <w:p>
      <w:r>
        <w:t xml:space="preserve"/>
      </w:r>
    </w:p>
    <w:p>
      <w:pPr>
        <w:pStyle w:val="Heading2"/>
        <w:numPr>
          <w:ilvl w:val="1"/>
          <w:numId w:val="2"/>
        </w:numPr>
      </w:pPr>
      <w:r>
        <w:rPr>
          <w:rFonts w:ascii="Arial" w:cs="Arial" w:eastAsia="Arial" w:hAnsi="Arial"/>
          <w:b/>
          <w:bCs/>
          <w:color w:val="2E74B5"/>
          <w:sz w:val="28"/>
          <w:szCs w:val="28"/>
        </w:rPr>
        <w:t xml:space="preserve">Gestion des totaux et sous-totaux</w:t>
      </w:r>
    </w:p>
    <w:p>
      <w:pPr>
        <w:spacing w:after="80" w:before="80"/>
      </w:pPr>
      <w:r>
        <w:rPr>
          <w:rFonts w:ascii="Arial" w:cs="Arial" w:eastAsia="Arial" w:hAnsi="Arial"/>
          <w:sz w:val="22"/>
          <w:szCs w:val="22"/>
        </w:rPr>
        <w:t xml:space="preserve">Les totaux dans Power BI évaluent la mesure avec le contexte de filtre du niveau supérieur — pas la somme des lignes. Cela provoque parfois des résultats inattendus.</w:t>
      </w:r>
    </w:p>
    <w:p>
      <w:r>
        <w:t xml:space="preserve"/>
      </w:r>
    </w:p>
    <w:p>
      <w:pPr>
        <w:spacing w:after="80" w:before="80"/>
      </w:pPr>
      <w:r>
        <w:rPr>
          <w:rFonts w:ascii="Arial" w:cs="Arial" w:eastAsia="Arial" w:hAnsi="Arial"/>
          <w:sz w:val="22"/>
          <w:szCs w:val="22"/>
        </w:rPr>
        <w:t xml:space="preserve">Exemple problématique : un ratio calculé ligne par ligne ne doit pas être additionné au niveau du total.</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Mauvaise approche : le total additionnerait des ratios
Panier Ligne = DIVIDE(FactVENTES[NetPriceEUR], FactVENTES[Quantité])</w:t>
      </w:r>
    </w:p>
    <w:p>
      <w:r>
        <w:t xml:space="preserve"/>
      </w:r>
    </w:p>
    <w:p>
      <w:pPr>
        <w:spacing w:after="80" w:before="80"/>
      </w:pPr>
      <w:r>
        <w:rPr>
          <w:rFonts w:ascii="Arial" w:cs="Arial" w:eastAsia="Arial" w:hAnsi="Arial"/>
          <w:sz w:val="22"/>
          <w:szCs w:val="22"/>
        </w:rPr>
        <w:t xml:space="preserve">Correction avec ISINSCOPE : n’afficher le ratio qu’au niveau catégorie, pas en total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Panier Moyen Correct =
IF(
    ISINSCOPE( DimProduits[Catégorie] ),
    DIVIDE( [Total CA], [Quantite] )
    -- BLANK() implicite si condition FALSE : inutile de l'écrire
)</w:t>
      </w:r>
    </w:p>
    <w:p>
      <w:r>
        <w:t xml:space="preserve"/>
      </w:r>
    </w:p>
    <w:p>
      <w:pPr>
        <w:pStyle w:val="Heading2"/>
        <w:numPr>
          <w:ilvl w:val="1"/>
          <w:numId w:val="2"/>
        </w:numPr>
      </w:pPr>
      <w:r>
        <w:rPr>
          <w:rFonts w:ascii="Arial" w:cs="Arial" w:eastAsia="Arial" w:hAnsi="Arial"/>
          <w:b/>
          <w:bCs/>
          <w:color w:val="2E74B5"/>
          <w:sz w:val="28"/>
          <w:szCs w:val="28"/>
        </w:rPr>
        <w:t xml:space="preserve">ISINSCOPE — adapter le calcul au niveau d’analyse</w:t>
      </w:r>
    </w:p>
    <w:p>
      <w:pPr>
        <w:spacing w:after="80" w:before="80"/>
      </w:pPr>
      <w:r>
        <w:rPr>
          <w:rFonts w:ascii="Arial" w:cs="Arial" w:eastAsia="Arial" w:hAnsi="Arial"/>
          <w:sz w:val="22"/>
          <w:szCs w:val="22"/>
        </w:rPr>
        <w:t xml:space="preserve">ISINSCOPE(colonne) retourne TRUE si la colonne est actuellement utilisée comme niveau de regroupement dans un visuel (en-tête actif).</w:t>
      </w:r>
    </w:p>
    <w:p>
      <w:r>
        <w:t xml:space="preserve"/>
      </w:r>
    </w:p>
    <w:p>
      <w:pPr>
        <w:spacing w:after="80" w:before="80"/>
      </w:pPr>
      <w:r>
        <w:rPr>
          <w:rFonts w:ascii="Arial" w:cs="Arial" w:eastAsia="Arial" w:hAnsi="Arial"/>
          <w:sz w:val="22"/>
          <w:szCs w:val="22"/>
        </w:rPr>
        <w:t xml:space="preserve">Exemple — afficher un libellé différent selon le niveau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Libellé Niveau =
SWITCH(
    TRUE(),
    ISINSCOPE( DimDates[Mois] ),   "Détail mois",
    ISINSCOPE( DimDates[Année] ),  "Total année",
    "Total général"   -- valeur par défaut si aucun en-tête actif
)</w:t>
      </w:r>
    </w:p>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Créer un classement Top 10 produits avec RANKX et ALLSELECTED</w:t>
      </w:r>
    </w:p>
    <w:p>
      <w:pPr>
        <w:pStyle w:val="ListParagraph"/>
        <w:numPr>
          <w:ilvl w:val="0"/>
          <w:numId w:val="3"/>
        </w:numPr>
        <w:spacing w:after="40" w:before="40"/>
      </w:pPr>
      <w:r>
        <w:rPr>
          <w:rFonts w:ascii="Arial" w:cs="Arial" w:eastAsia="Arial" w:hAnsi="Arial"/>
          <w:sz w:val="22"/>
          <w:szCs w:val="22"/>
        </w:rPr>
        <w:t xml:space="preserve">Implémenter une mesure de part de total dynamique réagissant aux slicers/segments</w:t>
      </w:r>
    </w:p>
    <w:p>
      <w:pPr>
        <w:pStyle w:val="ListParagraph"/>
        <w:numPr>
          <w:ilvl w:val="0"/>
          <w:numId w:val="3"/>
        </w:numPr>
        <w:spacing w:after="40" w:before="40"/>
      </w:pPr>
      <w:r>
        <w:rPr>
          <w:rFonts w:ascii="Arial" w:cs="Arial" w:eastAsia="Arial" w:hAnsi="Arial"/>
          <w:sz w:val="22"/>
          <w:szCs w:val="22"/>
        </w:rPr>
        <w:t xml:space="preserve">Corriger une mesure de ratio avec ISINSCOPE pour masquer le total</w:t>
      </w:r>
    </w:p>
    <w:p>
      <w:r>
        <w:t xml:space="preserve"/>
      </w:r>
    </w:p>
    <w:p>
      <w:pPr>
        <w:pStyle w:val="Heading1"/>
        <w:pageBreakBefore/>
        <w:numPr>
          <w:ilvl w:val="0"/>
          <w:numId w:val="2"/>
        </w:numPr>
      </w:pPr>
      <w:r>
        <w:rPr>
          <w:rFonts w:ascii="Arial" w:cs="Arial" w:eastAsia="Arial" w:hAnsi="Arial"/>
          <w:b/>
          <w:bCs/>
          <w:color w:val="1F3864"/>
          <w:sz w:val="36"/>
          <w:szCs w:val="36"/>
        </w:rPr>
        <w:t xml:space="preserve">Calculation Groups</w:t>
      </w:r>
    </w:p>
    <w:p>
      <w:pPr>
        <w:spacing w:after="80" w:before="80"/>
      </w:pPr>
      <w:r>
        <w:rPr>
          <w:rFonts w:ascii="Arial" w:cs="Arial" w:eastAsia="Arial" w:hAnsi="Arial"/>
          <w:sz w:val="22"/>
          <w:szCs w:val="22"/>
        </w:rPr>
        <w:t xml:space="preserve">Les Calculation Groups (groupes de calculs) permettent de centraliser des variations de calculs (Time Intelligence, scénarios…) et de les appliquer à n’importe quelle mesure existante, sans dupliquer le code.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Les Calculation Groups sont incompatibles avec les mesures implicites (colonnes posées directement dans un visuel sans passer par une mesure). Si votre modèle en contient, remplacez-les par des mesures explicites avant d’activer les Calculation Groups.</w:t>
            </w:r>
          </w:p>
        </w:tc>
      </w:tr>
    </w:tbl>
    <w:p>
      <w:r>
        <w:t xml:space="preserve"/>
      </w:r>
    </w:p>
    <w:p>
      <w:pPr>
        <w:pStyle w:val="Heading2"/>
        <w:numPr>
          <w:ilvl w:val="1"/>
          <w:numId w:val="2"/>
        </w:numPr>
      </w:pPr>
      <w:r>
        <w:rPr>
          <w:rFonts w:ascii="Arial" w:cs="Arial" w:eastAsia="Arial" w:hAnsi="Arial"/>
          <w:b/>
          <w:bCs/>
          <w:color w:val="2E74B5"/>
          <w:sz w:val="28"/>
          <w:szCs w:val="28"/>
        </w:rPr>
        <w:t xml:space="preserve">Principe et intérêts</w:t>
      </w:r>
    </w:p>
    <w:p>
      <w:pPr>
        <w:spacing w:after="80" w:before="80"/>
      </w:pPr>
      <w:r>
        <w:rPr>
          <w:rFonts w:ascii="Arial" w:cs="Arial" w:eastAsia="Arial" w:hAnsi="Arial"/>
          <w:sz w:val="22"/>
          <w:szCs w:val="22"/>
        </w:rPr>
        <w:t xml:space="preserve">Problème sans Calculation Groups : pour chaque mesure (CA, Marge, Quantité…), on crée des variantes N-1, YTD, MTD… × nombre de mesures = explosion du nombre de mesures.</w:t>
      </w:r>
    </w:p>
    <w:p>
      <w:r>
        <w:t xml:space="preserve"/>
      </w:r>
    </w:p>
    <w:p>
      <w:pPr>
        <w:spacing w:after="80" w:before="80"/>
      </w:pPr>
      <w:r>
        <w:rPr>
          <w:rFonts w:ascii="Arial" w:cs="Arial" w:eastAsia="Arial" w:hAnsi="Arial"/>
          <w:sz w:val="22"/>
          <w:szCs w:val="22"/>
        </w:rPr>
        <w:t xml:space="preserve">Avec un Calculation Group :</w:t>
      </w:r>
    </w:p>
    <w:p>
      <w:pPr>
        <w:pStyle w:val="ListParagraph"/>
        <w:numPr>
          <w:ilvl w:val="0"/>
          <w:numId w:val="3"/>
        </w:numPr>
        <w:spacing w:after="40" w:before="40"/>
      </w:pPr>
      <w:r>
        <w:rPr>
          <w:rFonts w:ascii="Arial" w:cs="Arial" w:eastAsia="Arial" w:hAnsi="Arial"/>
          <w:sz w:val="22"/>
          <w:szCs w:val="22"/>
        </w:rPr>
        <w:t xml:space="preserve">On définit une fois les variations (YTD, N-1, Glissant 3M…)</w:t>
      </w:r>
    </w:p>
    <w:p>
      <w:pPr>
        <w:pStyle w:val="ListParagraph"/>
        <w:numPr>
          <w:ilvl w:val="0"/>
          <w:numId w:val="3"/>
        </w:numPr>
        <w:spacing w:after="40" w:before="40"/>
      </w:pPr>
      <w:r>
        <w:rPr>
          <w:rFonts w:ascii="Arial" w:cs="Arial" w:eastAsia="Arial" w:hAnsi="Arial"/>
          <w:sz w:val="22"/>
          <w:szCs w:val="22"/>
        </w:rPr>
        <w:t xml:space="preserve">Le Calculation Group s’applique à TOUTES les mesures sélectionnées</w:t>
      </w:r>
    </w:p>
    <w:p>
      <w:pPr>
        <w:pStyle w:val="ListParagraph"/>
        <w:numPr>
          <w:ilvl w:val="0"/>
          <w:numId w:val="3"/>
        </w:numPr>
        <w:spacing w:after="40" w:before="40"/>
      </w:pPr>
      <w:r>
        <w:rPr>
          <w:rFonts w:ascii="Arial" w:cs="Arial" w:eastAsia="Arial" w:hAnsi="Arial"/>
          <w:sz w:val="22"/>
          <w:szCs w:val="22"/>
        </w:rPr>
        <w:t xml:space="preserve">Un slicer/segment permet à l’utilisateur de choisir la variation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Les Calculation Groups sont disponibles dans Power BI Desktop standard, via Tabular Editor (outil tiers gratuit) ou par édition directe des fichiers TMDL.</w:t>
            </w:r>
          </w:p>
        </w:tc>
      </w:tr>
    </w:tbl>
    <w:p>
      <w:r>
        <w:t xml:space="preserve"/>
      </w:r>
    </w:p>
    <w:p>
      <w:pPr>
        <w:pStyle w:val="Heading2"/>
        <w:numPr>
          <w:ilvl w:val="1"/>
          <w:numId w:val="2"/>
        </w:numPr>
      </w:pPr>
      <w:r>
        <w:rPr>
          <w:rFonts w:ascii="Arial" w:cs="Arial" w:eastAsia="Arial" w:hAnsi="Arial"/>
          <w:b/>
          <w:bCs/>
          <w:color w:val="2E74B5"/>
          <w:sz w:val="28"/>
          <w:szCs w:val="28"/>
        </w:rPr>
        <w:t xml:space="preserve">Structure d’un Calculation Group</w:t>
      </w:r>
    </w:p>
    <w:p>
      <w:pPr>
        <w:spacing w:after="80" w:before="80"/>
      </w:pPr>
      <w:r>
        <w:rPr>
          <w:rFonts w:ascii="Arial" w:cs="Arial" w:eastAsia="Arial" w:hAnsi="Arial"/>
          <w:sz w:val="22"/>
          <w:szCs w:val="22"/>
        </w:rPr>
        <w:t xml:space="preserve">Un Calculation Group contient :</w:t>
      </w:r>
    </w:p>
    <w:p>
      <w:pPr>
        <w:pStyle w:val="ListParagraph"/>
        <w:numPr>
          <w:ilvl w:val="0"/>
          <w:numId w:val="3"/>
        </w:numPr>
        <w:spacing w:after="40" w:before="40"/>
      </w:pPr>
      <w:r>
        <w:rPr>
          <w:rFonts w:ascii="Arial" w:cs="Arial" w:eastAsia="Arial" w:hAnsi="Arial"/>
          <w:sz w:val="22"/>
          <w:szCs w:val="22"/>
        </w:rPr>
        <w:t xml:space="preserve">Une table de calcul (avec une colonne Nom et une colonne Ordinal)</w:t>
      </w:r>
    </w:p>
    <w:p>
      <w:pPr>
        <w:pStyle w:val="ListParagraph"/>
        <w:numPr>
          <w:ilvl w:val="0"/>
          <w:numId w:val="3"/>
        </w:numPr>
        <w:spacing w:after="40" w:before="40"/>
      </w:pPr>
      <w:r>
        <w:rPr>
          <w:rFonts w:ascii="Arial" w:cs="Arial" w:eastAsia="Arial" w:hAnsi="Arial"/>
          <w:sz w:val="22"/>
          <w:szCs w:val="22"/>
        </w:rPr>
        <w:t xml:space="preserve">Des éléments de calcul (Calculation Items), chacun avec une expression DAX utilisant SELECTEDMEASURE()</w:t>
      </w:r>
    </w:p>
    <w:p>
      <w:r>
        <w:t xml:space="preserve"/>
      </w:r>
    </w:p>
    <w:p>
      <w:pPr>
        <w:spacing w:after="80" w:before="80"/>
      </w:pPr>
      <w:r>
        <w:rPr>
          <w:rFonts w:ascii="Arial" w:cs="Arial" w:eastAsia="Arial" w:hAnsi="Arial"/>
          <w:sz w:val="22"/>
          <w:szCs w:val="22"/>
        </w:rPr>
        <w:t xml:space="preserve">SELECTEDMEASURE() représente la mesure actuellement évaluée par le Calculation Group.</w:t>
      </w:r>
    </w:p>
    <w:p>
      <w:r>
        <w:t xml:space="preserve"/>
      </w:r>
    </w:p>
    <w:p>
      <w:pPr>
        <w:pStyle w:val="Heading3"/>
        <w:numPr>
          <w:ilvl w:val="2"/>
          <w:numId w:val="2"/>
        </w:numPr>
      </w:pPr>
      <w:r>
        <w:rPr>
          <w:rFonts w:ascii="Arial" w:cs="Arial" w:eastAsia="Arial" w:hAnsi="Arial"/>
          <w:b/>
          <w:bCs/>
          <w:color w:val="2E74B5"/>
          <w:sz w:val="24"/>
          <w:szCs w:val="24"/>
        </w:rPr>
        <w:t xml:space="preserve">Exemple — Calculation Group Time Intelligence</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Élément : Valeur Actuelle
SELECTEDMEASURE()</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Élément : Année en cours (YTD)
CALCULATE(
    SELECTEDMEASURE(),
    DATESYTD( DimDates[Date] )
)</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Élément : Année précédente (N-1)
CALCULATE(
    SELECTEDMEASURE(),
    DATEADD( DimDates[Date], -1, YEAR )
)</w:t>
      </w:r>
    </w:p>
    <w:p>
      <w:r>
        <w:t xml:space="preserve"/>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 Élément : Variation % N-1
VAR ValActuelle = SELECTEDMEASURE()
VAR ValN1       = CALCULATE( SELECTEDMEASURE(), DATEADD( DimDates[Date], -1, YEAR ) )
RETURN
    DIVIDE( ValActuelle - ValN1, ValN1 )</w:t>
      </w:r>
    </w:p>
    <w:p>
      <w:r>
        <w:t xml:space="preserve"/>
      </w:r>
    </w:p>
    <w:p>
      <w:pPr>
        <w:pStyle w:val="Heading2"/>
        <w:numPr>
          <w:ilvl w:val="1"/>
          <w:numId w:val="2"/>
        </w:numPr>
      </w:pPr>
      <w:r>
        <w:rPr>
          <w:rFonts w:ascii="Arial" w:cs="Arial" w:eastAsia="Arial" w:hAnsi="Arial"/>
          <w:b/>
          <w:bCs/>
          <w:color w:val="2E74B5"/>
          <w:sz w:val="28"/>
          <w:szCs w:val="28"/>
        </w:rPr>
        <w:t xml:space="preserve">Cas d’usage avancés</w:t>
      </w:r>
    </w:p>
    <w:p>
      <w:pPr>
        <w:pStyle w:val="ListParagraph"/>
        <w:numPr>
          <w:ilvl w:val="0"/>
          <w:numId w:val="3"/>
        </w:numPr>
        <w:spacing w:after="40" w:before="40"/>
      </w:pPr>
      <w:r>
        <w:rPr>
          <w:rFonts w:ascii="Arial" w:cs="Arial" w:eastAsia="Arial" w:hAnsi="Arial"/>
          <w:sz w:val="22"/>
          <w:szCs w:val="22"/>
        </w:rPr>
        <w:t xml:space="preserve">Scénarios what-if : Budget / Réel / Prévisionnel</w:t>
      </w:r>
    </w:p>
    <w:p>
      <w:pPr>
        <w:pStyle w:val="ListParagraph"/>
        <w:numPr>
          <w:ilvl w:val="0"/>
          <w:numId w:val="3"/>
        </w:numPr>
        <w:spacing w:after="40" w:before="40"/>
      </w:pPr>
      <w:r>
        <w:rPr>
          <w:rFonts w:ascii="Arial" w:cs="Arial" w:eastAsia="Arial" w:hAnsi="Arial"/>
          <w:sz w:val="22"/>
          <w:szCs w:val="22"/>
        </w:rPr>
        <w:t xml:space="preserve">Devises : appliquer un taux de change sur toutes les mesures monétaires</w:t>
      </w:r>
    </w:p>
    <w:p>
      <w:pPr>
        <w:pStyle w:val="ListParagraph"/>
        <w:numPr>
          <w:ilvl w:val="0"/>
          <w:numId w:val="3"/>
        </w:numPr>
        <w:spacing w:after="40" w:before="40"/>
      </w:pPr>
      <w:r>
        <w:rPr>
          <w:rFonts w:ascii="Arial" w:cs="Arial" w:eastAsia="Arial" w:hAnsi="Arial"/>
          <w:sz w:val="22"/>
          <w:szCs w:val="22"/>
        </w:rPr>
        <w:t xml:space="preserve">Périodes : comparer Mois / Trimestre / Année sur le même visuel</w:t>
      </w:r>
    </w:p>
    <w:p>
      <w:r>
        <w:t xml:space="preserve"/>
      </w:r>
    </w:p>
    <w:p>
      <w:pPr>
        <w:pStyle w:val="Heading2"/>
        <w:numPr>
          <w:ilvl w:val="1"/>
          <w:numId w:val="2"/>
        </w:numPr>
      </w:pPr>
      <w:r>
        <w:rPr>
          <w:rFonts w:ascii="Arial" w:cs="Arial" w:eastAsia="Arial" w:hAnsi="Arial"/>
          <w:b/>
          <w:bCs/>
          <w:color w:val="2E74B5"/>
          <w:sz w:val="28"/>
          <w:szCs w:val="28"/>
        </w:rPr>
        <w:t xml:space="preserve">Précédence des Calculation Groups</w:t>
      </w:r>
    </w:p>
    <w:p>
      <w:pPr>
        <w:spacing w:after="80" w:before="80"/>
      </w:pPr>
      <w:r>
        <w:rPr>
          <w:rFonts w:ascii="Arial" w:cs="Arial" w:eastAsia="Arial" w:hAnsi="Arial"/>
          <w:sz w:val="22"/>
          <w:szCs w:val="22"/>
        </w:rPr>
        <w:t xml:space="preserve">Quand plusieurs Calculation Groups coexistent, l’ordre de priorité (Precedence) détermine lequel s’applique en premier. Un Precedence élevé = priorité haute.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Deux Calculation Groups actifs simultanément peuvent interagir. Définir soigneusement les précédences et tester les combinaisons.</w:t>
            </w:r>
          </w:p>
        </w:tc>
      </w:tr>
    </w:tbl>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Créer un Calculation Group Time Intelligence avec Tabular Editor</w:t>
      </w:r>
    </w:p>
    <w:p>
      <w:pPr>
        <w:pStyle w:val="ListParagraph"/>
        <w:numPr>
          <w:ilvl w:val="0"/>
          <w:numId w:val="3"/>
        </w:numPr>
        <w:spacing w:after="40" w:before="40"/>
      </w:pPr>
      <w:r>
        <w:rPr>
          <w:rFonts w:ascii="Arial" w:cs="Arial" w:eastAsia="Arial" w:hAnsi="Arial"/>
          <w:sz w:val="22"/>
          <w:szCs w:val="22"/>
        </w:rPr>
        <w:t xml:space="preserve">Ajouter les éléments : Actuel, YTD, N-1, Variation %</w:t>
      </w:r>
    </w:p>
    <w:p>
      <w:pPr>
        <w:pStyle w:val="ListParagraph"/>
        <w:numPr>
          <w:ilvl w:val="0"/>
          <w:numId w:val="3"/>
        </w:numPr>
        <w:spacing w:after="40" w:before="40"/>
      </w:pPr>
      <w:r>
        <w:rPr>
          <w:rFonts w:ascii="Arial" w:cs="Arial" w:eastAsia="Arial" w:hAnsi="Arial"/>
          <w:sz w:val="22"/>
          <w:szCs w:val="22"/>
        </w:rPr>
        <w:t xml:space="preserve">Connecter le Calculation Group à un slicer/segment dans le rapport</w:t>
      </w:r>
    </w:p>
    <w:p>
      <w:pPr>
        <w:pStyle w:val="ListParagraph"/>
        <w:numPr>
          <w:ilvl w:val="0"/>
          <w:numId w:val="3"/>
        </w:numPr>
        <w:spacing w:after="40" w:before="40"/>
      </w:pPr>
      <w:r>
        <w:rPr>
          <w:rFonts w:ascii="Arial" w:cs="Arial" w:eastAsia="Arial" w:hAnsi="Arial"/>
          <w:sz w:val="22"/>
          <w:szCs w:val="22"/>
        </w:rPr>
        <w:t xml:space="preserve">Vérifier le comportement sur plusieurs mesures simultanément</w:t>
      </w:r>
    </w:p>
    <w:p>
      <w:r>
        <w:t xml:space="preserve"/>
      </w:r>
    </w:p>
    <w:p>
      <w:pPr>
        <w:pStyle w:val="Heading1"/>
        <w:pageBreakBefore/>
        <w:numPr>
          <w:ilvl w:val="0"/>
          <w:numId w:val="2"/>
        </w:numPr>
      </w:pPr>
      <w:r>
        <w:rPr>
          <w:rFonts w:ascii="Arial" w:cs="Arial" w:eastAsia="Arial" w:hAnsi="Arial"/>
          <w:b/>
          <w:bCs/>
          <w:color w:val="1F3864"/>
          <w:sz w:val="36"/>
          <w:szCs w:val="36"/>
        </w:rPr>
        <w:t xml:space="preserve">Industrialiser et maintenir le DAX</w:t>
      </w:r>
    </w:p>
    <w:p>
      <w:pPr>
        <w:spacing w:after="80" w:before="80"/>
      </w:pPr>
      <w:r>
        <w:rPr>
          <w:rFonts w:ascii="Arial" w:cs="Arial" w:eastAsia="Arial" w:hAnsi="Arial"/>
          <w:sz w:val="22"/>
          <w:szCs w:val="22"/>
        </w:rPr>
        <w:t xml:space="preserve">Un projet Power BI professionnel exige des conventions rigoureuses, une organisation claire des mesures et des outils adaptés au travail en équipe et à la refactorisation à grande échelle.</w:t>
      </w:r>
    </w:p>
    <w:p>
      <w:r>
        <w:t xml:space="preserve"/>
      </w:r>
    </w:p>
    <w:p>
      <w:pPr>
        <w:pStyle w:val="Heading2"/>
        <w:numPr>
          <w:ilvl w:val="1"/>
          <w:numId w:val="2"/>
        </w:numPr>
      </w:pPr>
      <w:r>
        <w:rPr>
          <w:rFonts w:ascii="Arial" w:cs="Arial" w:eastAsia="Arial" w:hAnsi="Arial"/>
          <w:b/>
          <w:bCs/>
          <w:color w:val="2E74B5"/>
          <w:sz w:val="28"/>
          <w:szCs w:val="28"/>
        </w:rPr>
        <w:t xml:space="preserve">Organisation et conventions de nommage</w:t>
      </w:r>
    </w:p>
    <w:p>
      <w:pPr>
        <w:pStyle w:val="Heading3"/>
        <w:numPr>
          <w:ilvl w:val="2"/>
          <w:numId w:val="2"/>
        </w:numPr>
      </w:pPr>
      <w:r>
        <w:rPr>
          <w:rFonts w:ascii="Arial" w:cs="Arial" w:eastAsia="Arial" w:hAnsi="Arial"/>
          <w:b/>
          <w:bCs/>
          <w:color w:val="2E74B5"/>
          <w:sz w:val="24"/>
          <w:szCs w:val="24"/>
        </w:rPr>
        <w:t xml:space="preserve">Règles de nommage recommandées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32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Convention</w:t>
            </w:r>
          </w:p>
        </w:tc>
        <w:tc>
          <w:tcPr>
            <w:tcW w:type="dxa" w:w="32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Exemple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Mesure</w:t>
            </w:r>
          </w:p>
        </w:tc>
        <w:tc>
          <w:tcPr>
            <w:tcW w:type="dxa" w:w="3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Verbe + Nom (Titre de Casse)</w:t>
            </w:r>
          </w:p>
        </w:tc>
        <w:tc>
          <w:tcPr>
            <w:tcW w:type="dxa" w:w="3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Ventes Totales, Marge Brute</w:t>
            </w:r>
          </w:p>
        </w:tc>
      </w:tr>
      <w:tr>
        <w:tc>
          <w:tcPr>
            <w:tcW w:type="dxa" w:w="2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Mesure calculée</w:t>
            </w:r>
          </w:p>
        </w:tc>
        <w:tc>
          <w:tcPr>
            <w:tcW w:type="dxa" w:w="32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Préfixe _ pour masquer</w:t>
            </w:r>
          </w:p>
        </w:tc>
        <w:tc>
          <w:tcPr>
            <w:tcW w:type="dxa" w:w="32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_Ventes Base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Colonne calculée</w:t>
            </w:r>
          </w:p>
        </w:tc>
        <w:tc>
          <w:tcPr>
            <w:tcW w:type="dxa" w:w="3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 de propriété</w:t>
            </w:r>
          </w:p>
        </w:tc>
        <w:tc>
          <w:tcPr>
            <w:tcW w:type="dxa" w:w="3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Table[AnnéeMois]</w:t>
            </w:r>
          </w:p>
        </w:tc>
      </w:tr>
      <w:tr>
        <w:tc>
          <w:tcPr>
            <w:tcW w:type="dxa" w:w="2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Table de calcul</w:t>
            </w:r>
          </w:p>
        </w:tc>
        <w:tc>
          <w:tcPr>
            <w:tcW w:type="dxa" w:w="32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Namespace clair</w:t>
            </w:r>
          </w:p>
        </w:tc>
        <w:tc>
          <w:tcPr>
            <w:tcW w:type="dxa" w:w="32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TI_ pour Time Intelligence</w:t>
            </w:r>
          </w:p>
        </w:tc>
      </w:tr>
    </w:tbl>
    <w:p>
      <w:r>
        <w:t xml:space="preserve"/>
      </w:r>
    </w:p>
    <w:p>
      <w:pPr>
        <w:pStyle w:val="Heading3"/>
        <w:numPr>
          <w:ilvl w:val="2"/>
          <w:numId w:val="2"/>
        </w:numPr>
      </w:pPr>
      <w:r>
        <w:rPr>
          <w:rFonts w:ascii="Arial" w:cs="Arial" w:eastAsia="Arial" w:hAnsi="Arial"/>
          <w:b/>
          <w:bCs/>
          <w:color w:val="2E74B5"/>
          <w:sz w:val="24"/>
          <w:szCs w:val="24"/>
        </w:rPr>
        <w:t xml:space="preserve">Organisation en dossiers (Display Folders)</w:t>
      </w:r>
    </w:p>
    <w:p>
      <w:pPr>
        <w:pStyle w:val="ListParagraph"/>
        <w:numPr>
          <w:ilvl w:val="0"/>
          <w:numId w:val="3"/>
        </w:numPr>
        <w:spacing w:after="40" w:before="40"/>
      </w:pPr>
      <w:r>
        <w:rPr>
          <w:rFonts w:ascii="Arial" w:cs="Arial" w:eastAsia="Arial" w:hAnsi="Arial"/>
          <w:sz w:val="22"/>
          <w:szCs w:val="22"/>
        </w:rPr>
        <w:t xml:space="preserve">Regrouper les mesures par domaine : Ventes, Marge, Clients, KPI…</w:t>
      </w:r>
    </w:p>
    <w:p>
      <w:pPr>
        <w:pStyle w:val="ListParagraph"/>
        <w:numPr>
          <w:ilvl w:val="0"/>
          <w:numId w:val="3"/>
        </w:numPr>
        <w:spacing w:after="40" w:before="40"/>
      </w:pPr>
      <w:r>
        <w:rPr>
          <w:rFonts w:ascii="Arial" w:cs="Arial" w:eastAsia="Arial" w:hAnsi="Arial"/>
          <w:sz w:val="22"/>
          <w:szCs w:val="22"/>
        </w:rPr>
        <w:t xml:space="preserve">Créer des sous-dossiers : KPI \ Ventes \ Time Intelligence</w:t>
      </w:r>
    </w:p>
    <w:p>
      <w:pPr>
        <w:pStyle w:val="ListParagraph"/>
        <w:numPr>
          <w:ilvl w:val="0"/>
          <w:numId w:val="3"/>
        </w:numPr>
        <w:spacing w:after="40" w:before="40"/>
      </w:pPr>
      <w:r>
        <w:rPr>
          <w:rFonts w:ascii="Arial" w:cs="Arial" w:eastAsia="Arial" w:hAnsi="Arial"/>
          <w:sz w:val="22"/>
          <w:szCs w:val="22"/>
        </w:rPr>
        <w:t xml:space="preserve">Masquer les mesures intermédiaires (_ préfixe)</w:t>
      </w:r>
    </w:p>
    <w:p>
      <w:r>
        <w:t xml:space="preserve"/>
      </w:r>
    </w:p>
    <w:p>
      <w:pPr>
        <w:pStyle w:val="Heading2"/>
        <w:numPr>
          <w:ilvl w:val="1"/>
          <w:numId w:val="2"/>
        </w:numPr>
      </w:pPr>
      <w:r>
        <w:rPr>
          <w:rFonts w:ascii="Arial" w:cs="Arial" w:eastAsia="Arial" w:hAnsi="Arial"/>
          <w:b/>
          <w:bCs/>
          <w:color w:val="2E74B5"/>
          <w:sz w:val="28"/>
          <w:szCs w:val="28"/>
        </w:rPr>
        <w:t xml:space="preserve">Le format PBIP</w:t>
      </w:r>
    </w:p>
    <w:p>
      <w:pPr>
        <w:spacing w:after="80" w:before="80"/>
      </w:pPr>
      <w:r>
        <w:rPr>
          <w:rFonts w:ascii="Arial" w:cs="Arial" w:eastAsia="Arial" w:hAnsi="Arial"/>
          <w:sz w:val="22"/>
          <w:szCs w:val="22"/>
        </w:rPr>
        <w:t xml:space="preserve">Le format PBIP (Power BI Project) décompose le fichier .pbix en fichiers texte éditables :</w:t>
      </w:r>
    </w:p>
    <w:p>
      <w:pPr>
        <w:pStyle w:val="ListParagraph"/>
        <w:numPr>
          <w:ilvl w:val="0"/>
          <w:numId w:val="3"/>
        </w:numPr>
        <w:spacing w:after="40" w:before="40"/>
      </w:pPr>
      <w:r>
        <w:rPr>
          <w:rFonts w:ascii="Arial" w:cs="Arial" w:eastAsia="Arial" w:hAnsi="Arial"/>
          <w:sz w:val="22"/>
          <w:szCs w:val="22"/>
        </w:rPr>
        <w:t xml:space="preserve">.Report — définition du rapport (JSON)</w:t>
      </w:r>
    </w:p>
    <w:p>
      <w:pPr>
        <w:pStyle w:val="ListParagraph"/>
        <w:numPr>
          <w:ilvl w:val="0"/>
          <w:numId w:val="3"/>
        </w:numPr>
        <w:spacing w:after="40" w:before="40"/>
      </w:pPr>
      <w:r>
        <w:rPr>
          <w:rFonts w:ascii="Arial" w:cs="Arial" w:eastAsia="Arial" w:hAnsi="Arial"/>
          <w:sz w:val="22"/>
          <w:szCs w:val="22"/>
        </w:rPr>
        <w:t xml:space="preserve">.SemanticModel — modèle sémantique (TMDL ou JSON)</w:t>
      </w:r>
    </w:p>
    <w:p>
      <w:pPr>
        <w:pStyle w:val="ListParagraph"/>
        <w:numPr>
          <w:ilvl w:val="0"/>
          <w:numId w:val="3"/>
        </w:numPr>
        <w:spacing w:after="40" w:before="40"/>
      </w:pPr>
      <w:r>
        <w:rPr>
          <w:rFonts w:ascii="Arial" w:cs="Arial" w:eastAsia="Arial" w:hAnsi="Arial"/>
          <w:sz w:val="22"/>
          <w:szCs w:val="22"/>
        </w:rPr>
        <w:t xml:space="preserve">.pbip — fichier de projet pointeur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Le format PBIP permet la gestion de version avec Git. Chaque mesure, table et relation est dans un fichier texte séparé, ce qui facilite les diffs et les revues de code.</w:t>
            </w:r>
          </w:p>
        </w:tc>
      </w:tr>
    </w:tbl>
    <w:p>
      <w:r>
        <w:t xml:space="preserve"/>
      </w:r>
    </w:p>
    <w:p>
      <w:pPr>
        <w:pStyle w:val="Heading3"/>
        <w:numPr>
          <w:ilvl w:val="2"/>
          <w:numId w:val="2"/>
        </w:numPr>
      </w:pPr>
      <w:r>
        <w:rPr>
          <w:rFonts w:ascii="Arial" w:cs="Arial" w:eastAsia="Arial" w:hAnsi="Arial"/>
          <w:b/>
          <w:bCs/>
          <w:color w:val="2E74B5"/>
          <w:sz w:val="24"/>
          <w:szCs w:val="24"/>
        </w:rPr>
        <w:t xml:space="preserve">Activer le format PBIP</w:t>
      </w:r>
    </w:p>
    <w:p>
      <w:pPr>
        <w:pStyle w:val="ListParagraph"/>
        <w:numPr>
          <w:ilvl w:val="0"/>
          <w:numId w:val="4"/>
        </w:numPr>
        <w:spacing w:after="40" w:before="40"/>
      </w:pPr>
      <w:r>
        <w:rPr>
          <w:rFonts w:ascii="Arial" w:cs="Arial" w:eastAsia="Arial" w:hAnsi="Arial"/>
          <w:sz w:val="22"/>
          <w:szCs w:val="22"/>
        </w:rPr>
        <w:t xml:space="preserve">Power BI Desktop → Fichier → Options et paramètres → Options</w:t>
      </w:r>
    </w:p>
    <w:p>
      <w:pPr>
        <w:pStyle w:val="ListParagraph"/>
        <w:numPr>
          <w:ilvl w:val="0"/>
          <w:numId w:val="4"/>
        </w:numPr>
        <w:spacing w:after="40" w:before="40"/>
      </w:pPr>
      <w:r>
        <w:rPr>
          <w:rFonts w:ascii="Arial" w:cs="Arial" w:eastAsia="Arial" w:hAnsi="Arial"/>
          <w:sz w:val="22"/>
          <w:szCs w:val="22"/>
        </w:rPr>
        <w:t xml:space="preserve">Section Fonctionnalités en préversion</w:t>
      </w:r>
    </w:p>
    <w:p>
      <w:pPr>
        <w:pStyle w:val="ListParagraph"/>
        <w:numPr>
          <w:ilvl w:val="0"/>
          <w:numId w:val="4"/>
        </w:numPr>
        <w:spacing w:after="40" w:before="40"/>
      </w:pPr>
      <w:r>
        <w:rPr>
          <w:rFonts w:ascii="Arial" w:cs="Arial" w:eastAsia="Arial" w:hAnsi="Arial"/>
          <w:sz w:val="22"/>
          <w:szCs w:val="22"/>
        </w:rPr>
        <w:t xml:space="preserve">Activer Stocker le fichier au format Power BI Project</w:t>
      </w:r>
    </w:p>
    <w:p>
      <w:pPr>
        <w:pStyle w:val="ListParagraph"/>
        <w:numPr>
          <w:ilvl w:val="0"/>
          <w:numId w:val="4"/>
        </w:numPr>
        <w:spacing w:after="40" w:before="40"/>
      </w:pPr>
      <w:r>
        <w:rPr>
          <w:rFonts w:ascii="Arial" w:cs="Arial" w:eastAsia="Arial" w:hAnsi="Arial"/>
          <w:sz w:val="22"/>
          <w:szCs w:val="22"/>
        </w:rPr>
        <w:t xml:space="preserve">Enregistrer sous → choisir .pbip</w:t>
      </w:r>
    </w:p>
    <w:p>
      <w:r>
        <w:t xml:space="preserve"/>
      </w:r>
    </w:p>
    <w:p>
      <w:pPr>
        <w:pStyle w:val="Heading2"/>
        <w:numPr>
          <w:ilvl w:val="1"/>
          <w:numId w:val="2"/>
        </w:numPr>
      </w:pPr>
      <w:r>
        <w:rPr>
          <w:rFonts w:ascii="Arial" w:cs="Arial" w:eastAsia="Arial" w:hAnsi="Arial"/>
          <w:b/>
          <w:bCs/>
          <w:color w:val="2E74B5"/>
          <w:sz w:val="28"/>
          <w:szCs w:val="28"/>
        </w:rPr>
        <w:t xml:space="preserve">La vue TMDL</w:t>
      </w:r>
    </w:p>
    <w:p>
      <w:pPr>
        <w:spacing w:after="80" w:before="80"/>
      </w:pPr>
      <w:r>
        <w:rPr>
          <w:rFonts w:ascii="Arial" w:cs="Arial" w:eastAsia="Arial" w:hAnsi="Arial"/>
          <w:sz w:val="22"/>
          <w:szCs w:val="22"/>
        </w:rPr>
        <w:t xml:space="preserve">TMDL (Tabular Model Definition Language) est la représentation texte du modèle sémantique. Dans Tabular Editor, la vue TMDL permet de voir et modifier le modèle comme du code.</w:t>
      </w:r>
    </w:p>
    <w:p>
      <w:r>
        <w:t xml:space="preserve"/>
      </w:r>
    </w:p>
    <w:p>
      <w:pPr>
        <w:spacing w:after="80" w:before="80"/>
      </w:pPr>
      <w:r>
        <w:rPr>
          <w:rFonts w:ascii="Arial" w:cs="Arial" w:eastAsia="Arial" w:hAnsi="Arial"/>
          <w:sz w:val="22"/>
          <w:szCs w:val="22"/>
        </w:rPr>
        <w:t xml:space="preserve">Structure d’une mesure en TMDL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measure [Total CA] = SUM(FactVENTES[NetPriceEUR])
    formatString: "#,##0.00 €"
    displayFolder: "01 - Base"
    description: "Chiffre d'affaires total (prix net facturé)"</w:t>
      </w:r>
    </w:p>
    <w:p>
      <w:r>
        <w:t xml:space="preserve"/>
      </w:r>
    </w:p>
    <w:p>
      <w:pPr>
        <w:pStyle w:val="Heading2"/>
        <w:numPr>
          <w:ilvl w:val="1"/>
          <w:numId w:val="2"/>
        </w:numPr>
      </w:pPr>
      <w:r>
        <w:rPr>
          <w:rFonts w:ascii="Arial" w:cs="Arial" w:eastAsia="Arial" w:hAnsi="Arial"/>
          <w:b/>
          <w:bCs/>
          <w:color w:val="2E74B5"/>
          <w:sz w:val="28"/>
          <w:szCs w:val="28"/>
        </w:rPr>
        <w:t xml:space="preserve">Refactorisation à grande échelle</w:t>
      </w:r>
    </w:p>
    <w:p>
      <w:pPr>
        <w:spacing w:after="80" w:before="80"/>
      </w:pPr>
      <w:r>
        <w:rPr>
          <w:rFonts w:ascii="Arial" w:cs="Arial" w:eastAsia="Arial" w:hAnsi="Arial"/>
          <w:sz w:val="22"/>
          <w:szCs w:val="22"/>
        </w:rPr>
        <w:t xml:space="preserve">Avec le format PBIP/TMDL, la refactorisation devient un travail de traitement de texte :</w:t>
      </w:r>
    </w:p>
    <w:p>
      <w:pPr>
        <w:pStyle w:val="ListParagraph"/>
        <w:numPr>
          <w:ilvl w:val="0"/>
          <w:numId w:val="3"/>
        </w:numPr>
        <w:spacing w:after="40" w:before="40"/>
      </w:pPr>
      <w:r>
        <w:rPr>
          <w:rFonts w:ascii="Arial" w:cs="Arial" w:eastAsia="Arial" w:hAnsi="Arial"/>
          <w:sz w:val="22"/>
          <w:szCs w:val="22"/>
        </w:rPr>
        <w:t xml:space="preserve">Renommer une colonne : rechercher/remplacer dans tous les fichiers .tmdl</w:t>
      </w:r>
    </w:p>
    <w:p>
      <w:pPr>
        <w:pStyle w:val="ListParagraph"/>
        <w:numPr>
          <w:ilvl w:val="0"/>
          <w:numId w:val="3"/>
        </w:numPr>
        <w:spacing w:after="40" w:before="40"/>
      </w:pPr>
      <w:r>
        <w:rPr>
          <w:rFonts w:ascii="Arial" w:cs="Arial" w:eastAsia="Arial" w:hAnsi="Arial"/>
          <w:sz w:val="22"/>
          <w:szCs w:val="22"/>
        </w:rPr>
        <w:t xml:space="preserve">Déplacer des mesures dans un autre Display Folder : modifier le champ displayFolder</w:t>
      </w:r>
    </w:p>
    <w:p>
      <w:pPr>
        <w:pStyle w:val="ListParagraph"/>
        <w:numPr>
          <w:ilvl w:val="0"/>
          <w:numId w:val="3"/>
        </w:numPr>
        <w:spacing w:after="40" w:before="40"/>
      </w:pPr>
      <w:r>
        <w:rPr>
          <w:rFonts w:ascii="Arial" w:cs="Arial" w:eastAsia="Arial" w:hAnsi="Arial"/>
          <w:sz w:val="22"/>
          <w:szCs w:val="22"/>
        </w:rPr>
        <w:t xml:space="preserve">Auditer les mesures inutilisées : grep sur les références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D7D31" w:sz="1"/>
              <w:left w:val="single" w:color="ED7D31" w:sz="8"/>
              <w:bottom w:val="single" w:color="ED7D31" w:sz="1"/>
              <w:right w:val="single" w:color="ED7D31" w:sz="1"/>
            </w:tcBorders>
            <w:shd w:fill="FFF3E0" w:val="clear"/>
            <w:tcMar>
              <w:top w:type="dxa" w:w="120"/>
              <w:left w:type="dxa" w:w="200"/>
              <w:bottom w:type="dxa" w:w="120"/>
              <w:right w:type="dxa" w:w="200"/>
            </w:tcMar>
          </w:tcPr>
          <w:p>
            <w:r>
              <w:rPr>
                <w:rFonts w:ascii="Arial" w:cs="Arial" w:eastAsia="Arial" w:hAnsi="Arial"/>
                <w:b/>
                <w:bCs/>
                <w:color w:val="ED7D31"/>
                <w:sz w:val="22"/>
                <w:szCs w:val="22"/>
              </w:rPr>
              <w:t xml:space="preserve">⚠ Attention : </w:t>
            </w:r>
            <w:r>
              <w:rPr>
                <w:rFonts w:ascii="Arial" w:cs="Arial" w:eastAsia="Arial" w:hAnsi="Arial"/>
                <w:sz w:val="22"/>
                <w:szCs w:val="22"/>
              </w:rPr>
              <w:t xml:space="preserve">Avant toute refactorisation, pensez à dupliquer votre onglet TMDL pour pouvoir annuler les modifications (ou committer l’état actuel dans Git pour pouvoir revenir en arrière).</w:t>
            </w:r>
          </w:p>
        </w:tc>
      </w:tr>
    </w:tbl>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Sauvegarder le fichier Demo_Contoso en format PBIP</w:t>
      </w:r>
    </w:p>
    <w:p>
      <w:pPr>
        <w:pStyle w:val="ListParagraph"/>
        <w:numPr>
          <w:ilvl w:val="0"/>
          <w:numId w:val="3"/>
        </w:numPr>
        <w:spacing w:after="40" w:before="40"/>
      </w:pPr>
      <w:r>
        <w:rPr>
          <w:rFonts w:ascii="Arial" w:cs="Arial" w:eastAsia="Arial" w:hAnsi="Arial"/>
          <w:sz w:val="22"/>
          <w:szCs w:val="22"/>
        </w:rPr>
        <w:t xml:space="preserve">Explorer la structure des fichiers générés</w:t>
      </w:r>
    </w:p>
    <w:p>
      <w:pPr>
        <w:pStyle w:val="ListParagraph"/>
        <w:numPr>
          <w:ilvl w:val="0"/>
          <w:numId w:val="3"/>
        </w:numPr>
        <w:spacing w:after="40" w:before="40"/>
      </w:pPr>
      <w:r>
        <w:rPr>
          <w:rFonts w:ascii="Arial" w:cs="Arial" w:eastAsia="Arial" w:hAnsi="Arial"/>
          <w:sz w:val="22"/>
          <w:szCs w:val="22"/>
        </w:rPr>
        <w:t xml:space="preserve">Renommer une mesure via l’éditeur de texte TMDL</w:t>
      </w:r>
    </w:p>
    <w:p>
      <w:pPr>
        <w:pStyle w:val="ListParagraph"/>
        <w:numPr>
          <w:ilvl w:val="0"/>
          <w:numId w:val="3"/>
        </w:numPr>
        <w:spacing w:after="40" w:before="40"/>
      </w:pPr>
      <w:r>
        <w:rPr>
          <w:rFonts w:ascii="Arial" w:cs="Arial" w:eastAsia="Arial" w:hAnsi="Arial"/>
          <w:sz w:val="22"/>
          <w:szCs w:val="22"/>
        </w:rPr>
        <w:t xml:space="preserve">Vérifier que Power BI Desktop reflète le changement</w:t>
      </w:r>
    </w:p>
    <w:p>
      <w:r>
        <w:t xml:space="preserve"/>
      </w:r>
    </w:p>
    <w:p>
      <w:pPr>
        <w:pStyle w:val="Heading1"/>
        <w:pageBreakBefore/>
        <w:numPr>
          <w:ilvl w:val="0"/>
          <w:numId w:val="2"/>
        </w:numPr>
      </w:pPr>
      <w:r>
        <w:rPr>
          <w:rFonts w:ascii="Arial" w:cs="Arial" w:eastAsia="Arial" w:hAnsi="Arial"/>
          <w:b/>
          <w:bCs/>
          <w:color w:val="1F3864"/>
          <w:sz w:val="36"/>
          <w:szCs w:val="36"/>
        </w:rPr>
        <w:t xml:space="preserve">IA et productivité du développeur DAX</w:t>
      </w:r>
    </w:p>
    <w:p>
      <w:pPr>
        <w:spacing w:after="80" w:before="80"/>
      </w:pPr>
      <w:r>
        <w:rPr>
          <w:rFonts w:ascii="Arial" w:cs="Arial" w:eastAsia="Arial" w:hAnsi="Arial"/>
          <w:sz w:val="22"/>
          <w:szCs w:val="22"/>
        </w:rPr>
        <w:t xml:space="preserve">L’Intelligence Artificielle (IA) générative offre de nouveaux accélérateurs pour le développement DAX : compréhension de mesures complexes, optimisation, génération de code et documentation.</w:t>
      </w:r>
    </w:p>
    <w:p>
      <w:r>
        <w:t xml:space="preserve"/>
      </w:r>
    </w:p>
    <w:p>
      <w:pPr>
        <w:pStyle w:val="Heading2"/>
        <w:numPr>
          <w:ilvl w:val="1"/>
          <w:numId w:val="2"/>
        </w:numPr>
      </w:pPr>
      <w:r>
        <w:rPr>
          <w:rFonts w:ascii="Arial" w:cs="Arial" w:eastAsia="Arial" w:hAnsi="Arial"/>
          <w:b/>
          <w:bCs/>
          <w:color w:val="2E74B5"/>
          <w:sz w:val="28"/>
          <w:szCs w:val="28"/>
        </w:rPr>
        <w:t xml:space="preserve">Ce que l’IA peut faire pour le DAX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13"/>
        <w:gridCol w:w="3013"/>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Cas d’usage</w:t>
            </w:r>
          </w:p>
        </w:tc>
        <w:tc>
          <w:tcPr>
            <w:tcW w:type="dxa" w:w="28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Efficacité</w:t>
            </w:r>
          </w:p>
        </w:tc>
        <w:tc>
          <w:tcPr>
            <w:tcW w:type="dxa" w:w="30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Risque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Expliquer une mesure existante</w:t>
            </w:r>
          </w:p>
        </w:tc>
        <w:tc>
          <w:tcPr>
            <w:tcW w:type="dxa" w:w="28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haute</w:t>
            </w:r>
          </w:p>
        </w:tc>
        <w:tc>
          <w:tcPr>
            <w:tcW w:type="dxa" w:w="30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w:t>
            </w:r>
          </w:p>
        </w:tc>
      </w:tr>
      <w:tr>
        <w:tc>
          <w:tcPr>
            <w:tcW w:type="dxa" w:w="3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Proposer une version optimisée</w:t>
            </w:r>
          </w:p>
        </w:tc>
        <w:tc>
          <w:tcPr>
            <w:tcW w:type="dxa" w:w="28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Haute</w:t>
            </w:r>
          </w:p>
        </w:tc>
        <w:tc>
          <w:tcPr>
            <w:tcW w:type="dxa" w:w="30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Moyenne — vérifier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Générer un Calculation Group</w:t>
            </w:r>
          </w:p>
        </w:tc>
        <w:tc>
          <w:tcPr>
            <w:tcW w:type="dxa" w:w="28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Moyenne</w:t>
            </w:r>
          </w:p>
        </w:tc>
        <w:tc>
          <w:tcPr>
            <w:tcW w:type="dxa" w:w="30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 — toujours tester</w:t>
            </w:r>
          </w:p>
        </w:tc>
      </w:tr>
      <w:tr>
        <w:tc>
          <w:tcPr>
            <w:tcW w:type="dxa" w:w="3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Documenter le modèle</w:t>
            </w:r>
          </w:p>
        </w:tc>
        <w:tc>
          <w:tcPr>
            <w:tcW w:type="dxa" w:w="28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Très haute</w:t>
            </w:r>
          </w:p>
        </w:tc>
        <w:tc>
          <w:tcPr>
            <w:tcW w:type="dxa" w:w="3013"/>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Faible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Déboguer une erreur DAX</w:t>
            </w:r>
          </w:p>
        </w:tc>
        <w:tc>
          <w:tcPr>
            <w:tcW w:type="dxa" w:w="28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Haute</w:t>
            </w:r>
          </w:p>
        </w:tc>
        <w:tc>
          <w:tcPr>
            <w:tcW w:type="dxa" w:w="30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Moyenne</w:t>
            </w:r>
          </w:p>
        </w:tc>
      </w:tr>
    </w:tbl>
    <w:p>
      <w:r>
        <w:t xml:space="preserve"/>
      </w:r>
    </w:p>
    <w:p>
      <w:pPr>
        <w:pStyle w:val="Heading2"/>
        <w:numPr>
          <w:ilvl w:val="1"/>
          <w:numId w:val="2"/>
        </w:numPr>
      </w:pPr>
      <w:r>
        <w:rPr>
          <w:rFonts w:ascii="Arial" w:cs="Arial" w:eastAsia="Arial" w:hAnsi="Arial"/>
          <w:b/>
          <w:bCs/>
          <w:color w:val="2E74B5"/>
          <w:sz w:val="28"/>
          <w:szCs w:val="28"/>
        </w:rPr>
        <w:t xml:space="preserve">Comprendre un calcul existant</w:t>
      </w:r>
    </w:p>
    <w:p>
      <w:pPr>
        <w:spacing w:after="80" w:before="80"/>
      </w:pPr>
      <w:r>
        <w:rPr>
          <w:rFonts w:ascii="Arial" w:cs="Arial" w:eastAsia="Arial" w:hAnsi="Arial"/>
          <w:sz w:val="22"/>
          <w:szCs w:val="22"/>
        </w:rPr>
        <w:t xml:space="preserve">Pour demander à une IA d’expliquer une mesure, fournir :</w:t>
      </w:r>
    </w:p>
    <w:p>
      <w:pPr>
        <w:pStyle w:val="ListParagraph"/>
        <w:numPr>
          <w:ilvl w:val="0"/>
          <w:numId w:val="3"/>
        </w:numPr>
        <w:spacing w:after="40" w:before="40"/>
      </w:pPr>
      <w:r>
        <w:rPr>
          <w:rFonts w:ascii="Arial" w:cs="Arial" w:eastAsia="Arial" w:hAnsi="Arial"/>
          <w:sz w:val="22"/>
          <w:szCs w:val="22"/>
        </w:rPr>
        <w:t xml:space="preserve">La mesure complète (copier-coller depuis Power BI)</w:t>
      </w:r>
    </w:p>
    <w:p>
      <w:pPr>
        <w:pStyle w:val="ListParagraph"/>
        <w:numPr>
          <w:ilvl w:val="0"/>
          <w:numId w:val="3"/>
        </w:numPr>
        <w:spacing w:after="40" w:before="40"/>
      </w:pPr>
      <w:r>
        <w:rPr>
          <w:rFonts w:ascii="Arial" w:cs="Arial" w:eastAsia="Arial" w:hAnsi="Arial"/>
          <w:sz w:val="22"/>
          <w:szCs w:val="22"/>
        </w:rPr>
        <w:t xml:space="preserve">Le contexte métier (que doit-elle calculer ?)</w:t>
      </w:r>
    </w:p>
    <w:p>
      <w:pPr>
        <w:pStyle w:val="ListParagraph"/>
        <w:numPr>
          <w:ilvl w:val="0"/>
          <w:numId w:val="3"/>
        </w:numPr>
        <w:spacing w:after="40" w:before="40"/>
      </w:pPr>
      <w:r>
        <w:rPr>
          <w:rFonts w:ascii="Arial" w:cs="Arial" w:eastAsia="Arial" w:hAnsi="Arial"/>
          <w:sz w:val="22"/>
          <w:szCs w:val="22"/>
        </w:rPr>
        <w:t xml:space="preserve">Le résultat actuel et le résultat attendu si elle semble fausse</w:t>
      </w:r>
    </w:p>
    <w:p>
      <w:r>
        <w:t xml:space="preserve"/>
      </w:r>
    </w:p>
    <w:p>
      <w:pPr>
        <w:spacing w:after="80" w:before="80"/>
      </w:pPr>
      <w:r>
        <w:rPr>
          <w:rFonts w:ascii="Arial" w:cs="Arial" w:eastAsia="Arial" w:hAnsi="Arial"/>
          <w:sz w:val="22"/>
          <w:szCs w:val="22"/>
        </w:rPr>
        <w:t xml:space="preserve">Exemple de prompt efficace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"Explique cette mesure DAX ligne par ligne. Elle est censée calculer
le chiffre d'affaires des 12 derniers mois glissants, mais le total
global semble incorrect.
Mesure :
[coller la mesure ici]"</w:t>
      </w:r>
    </w:p>
    <w:p>
      <w:r>
        <w:t xml:space="preserve"/>
      </w:r>
    </w:p>
    <w:p>
      <w:pPr>
        <w:pStyle w:val="Heading2"/>
        <w:numPr>
          <w:ilvl w:val="1"/>
          <w:numId w:val="2"/>
        </w:numPr>
      </w:pPr>
      <w:r>
        <w:rPr>
          <w:rFonts w:ascii="Arial" w:cs="Arial" w:eastAsia="Arial" w:hAnsi="Arial"/>
          <w:b/>
          <w:bCs/>
          <w:color w:val="2E74B5"/>
          <w:sz w:val="28"/>
          <w:szCs w:val="28"/>
        </w:rPr>
        <w:t xml:space="preserve">Optimiser une mesure</w:t>
      </w:r>
    </w:p>
    <w:p>
      <w:pPr>
        <w:spacing w:after="80" w:before="80"/>
      </w:pPr>
      <w:r>
        <w:rPr>
          <w:rFonts w:ascii="Arial" w:cs="Arial" w:eastAsia="Arial" w:hAnsi="Arial"/>
          <w:sz w:val="22"/>
          <w:szCs w:val="22"/>
        </w:rPr>
        <w:t xml:space="preserve">L’IA peut identifier des patterns inefficaces :</w:t>
      </w:r>
    </w:p>
    <w:p>
      <w:pPr>
        <w:pStyle w:val="ListParagraph"/>
        <w:numPr>
          <w:ilvl w:val="0"/>
          <w:numId w:val="3"/>
        </w:numPr>
        <w:spacing w:after="40" w:before="40"/>
      </w:pPr>
      <w:r>
        <w:rPr>
          <w:rFonts w:ascii="Arial" w:cs="Arial" w:eastAsia="Arial" w:hAnsi="Arial"/>
          <w:sz w:val="22"/>
          <w:szCs w:val="22"/>
        </w:rPr>
        <w:t xml:space="preserve">FILTER sur une grande table au lieu d’un filtre direct sur colonne</w:t>
      </w:r>
    </w:p>
    <w:p>
      <w:pPr>
        <w:pStyle w:val="ListParagraph"/>
        <w:numPr>
          <w:ilvl w:val="0"/>
          <w:numId w:val="3"/>
        </w:numPr>
        <w:spacing w:after="40" w:before="40"/>
      </w:pPr>
      <w:r>
        <w:rPr>
          <w:rFonts w:ascii="Arial" w:cs="Arial" w:eastAsia="Arial" w:hAnsi="Arial"/>
          <w:sz w:val="22"/>
          <w:szCs w:val="22"/>
        </w:rPr>
        <w:t xml:space="preserve">Calculs répétés qui devraient être dans une variable VAR</w:t>
      </w:r>
    </w:p>
    <w:p>
      <w:pPr>
        <w:pStyle w:val="ListParagraph"/>
        <w:numPr>
          <w:ilvl w:val="0"/>
          <w:numId w:val="3"/>
        </w:numPr>
        <w:spacing w:after="40" w:before="40"/>
      </w:pPr>
      <w:r>
        <w:rPr>
          <w:rFonts w:ascii="Arial" w:cs="Arial" w:eastAsia="Arial" w:hAnsi="Arial"/>
          <w:sz w:val="22"/>
          <w:szCs w:val="22"/>
        </w:rPr>
        <w:t xml:space="preserve">CALCULATE imbriqués inutiles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Arial" w:cs="Arial" w:eastAsia="Arial" w:hAnsi="Arial"/>
                <w:sz w:val="22"/>
                <w:szCs w:val="22"/>
              </w:rPr>
              <w:t xml:space="preserve">💡 </w:t>
            </w:r>
            <w:r>
              <w:rPr>
                <w:rFonts w:ascii="Arial" w:cs="Arial" w:eastAsia="Arial" w:hAnsi="Arial"/>
                <w:i/>
                <w:iCs/>
                <w:sz w:val="22"/>
                <w:szCs w:val="22"/>
              </w:rPr>
              <w:t xml:space="preserve">Après optimisation IA, toujours vérifier les résultats sur des cas tests connus. L’IA peut réécrire une mesure qui produit les mêmes résultats dans la plupart des cas mais diffère sur les cas limites (BLANK, contextes vides).</w:t>
            </w:r>
          </w:p>
        </w:tc>
      </w:tr>
    </w:tbl>
    <w:p>
      <w:r>
        <w:t xml:space="preserve"/>
      </w:r>
    </w:p>
    <w:p>
      <w:pPr>
        <w:pStyle w:val="Heading2"/>
        <w:numPr>
          <w:ilvl w:val="1"/>
          <w:numId w:val="2"/>
        </w:numPr>
      </w:pPr>
      <w:r>
        <w:rPr>
          <w:rFonts w:ascii="Arial" w:cs="Arial" w:eastAsia="Arial" w:hAnsi="Arial"/>
          <w:b/>
          <w:bCs/>
          <w:color w:val="2E74B5"/>
          <w:sz w:val="28"/>
          <w:szCs w:val="28"/>
        </w:rPr>
        <w:t xml:space="preserve">Générer des Calculation Groups</w:t>
      </w:r>
    </w:p>
    <w:p>
      <w:pPr>
        <w:spacing w:after="80" w:before="80"/>
      </w:pPr>
      <w:r>
        <w:rPr>
          <w:rFonts w:ascii="Arial" w:cs="Arial" w:eastAsia="Arial" w:hAnsi="Arial"/>
          <w:sz w:val="22"/>
          <w:szCs w:val="22"/>
        </w:rPr>
        <w:t xml:space="preserve">L’IA est efficace pour générer les expressions de Calculation Items standards (YTD, N-1, MTD…). Exemple de prompt :</w:t>
      </w:r>
    </w:p>
    <w:p>
      <w:pPr>
        <w:pBdr>
          <w:left w:val="single" w:color="ED7D31" w:sz="8" w:space="1"/>
        </w:pBdr>
        <w:shd w:fill="F2F2F2" w:val="clear"/>
        <w:spacing w:after="40" w:before="40"/>
      </w:pPr>
      <w:r>
        <w:rPr>
          <w:rFonts w:ascii="Courier New" w:cs="Courier New" w:eastAsia="Courier New" w:hAnsi="Courier New"/>
          <w:color w:val="333333"/>
          <w:sz w:val="20"/>
          <w:szCs w:val="20"/>
        </w:rPr>
        <w:t xml:space="preserve">"Génère les expressions DAX pour un Calculation Group Time Intelligence
contenant : Valeur Actuelle, YTD, Mois précédent, Année précédente,
Variation % N-1. La table de dates s'appelle 'Calendrier' et la
colonne date 'Calendrier[Date]'"</w:t>
      </w:r>
    </w:p>
    <w:p>
      <w:r>
        <w:t xml:space="preserve"/>
      </w:r>
    </w:p>
    <w:p>
      <w:pPr>
        <w:pStyle w:val="Heading2"/>
        <w:numPr>
          <w:ilvl w:val="1"/>
          <w:numId w:val="2"/>
        </w:numPr>
      </w:pPr>
      <w:r>
        <w:rPr>
          <w:rFonts w:ascii="Arial" w:cs="Arial" w:eastAsia="Arial" w:hAnsi="Arial"/>
          <w:b/>
          <w:bCs/>
          <w:color w:val="2E74B5"/>
          <w:sz w:val="28"/>
          <w:szCs w:val="28"/>
        </w:rPr>
        <w:t xml:space="preserve">Bonnes pratiques et limites</w:t>
      </w:r>
    </w:p>
    <w:p>
      <w:pPr>
        <w:pStyle w:val="Heading3"/>
        <w:numPr>
          <w:ilvl w:val="2"/>
          <w:numId w:val="2"/>
        </w:numPr>
      </w:pPr>
      <w:r>
        <w:rPr>
          <w:rFonts w:ascii="Arial" w:cs="Arial" w:eastAsia="Arial" w:hAnsi="Arial"/>
          <w:b/>
          <w:bCs/>
          <w:color w:val="2E74B5"/>
          <w:sz w:val="24"/>
          <w:szCs w:val="24"/>
        </w:rPr>
        <w:t xml:space="preserve">Ce que l’IA ne sait pas</w:t>
      </w:r>
    </w:p>
    <w:p>
      <w:pPr>
        <w:pStyle w:val="ListParagraph"/>
        <w:numPr>
          <w:ilvl w:val="0"/>
          <w:numId w:val="3"/>
        </w:numPr>
        <w:spacing w:after="40" w:before="40"/>
      </w:pPr>
      <w:r>
        <w:rPr>
          <w:rFonts w:ascii="Arial" w:cs="Arial" w:eastAsia="Arial" w:hAnsi="Arial"/>
          <w:sz w:val="22"/>
          <w:szCs w:val="22"/>
        </w:rPr>
        <w:t xml:space="preserve">La structure réelle de votre modèle (noms de tables, relations) — sauf en cas d’usage d’un MCP tel que powerbi-modeling-mcp.servers de Microsoft</w:t>
      </w:r>
    </w:p>
    <w:p>
      <w:pPr>
        <w:pStyle w:val="ListParagraph"/>
        <w:numPr>
          <w:ilvl w:val="0"/>
          <w:numId w:val="3"/>
        </w:numPr>
        <w:spacing w:after="40" w:before="40"/>
      </w:pPr>
      <w:r>
        <w:rPr>
          <w:rFonts w:ascii="Arial" w:cs="Arial" w:eastAsia="Arial" w:hAnsi="Arial"/>
          <w:sz w:val="22"/>
          <w:szCs w:val="22"/>
        </w:rPr>
        <w:t xml:space="preserve">Les règles métier spécifiques à votre secteur</w:t>
      </w:r>
    </w:p>
    <w:p>
      <w:pPr>
        <w:pStyle w:val="ListParagraph"/>
        <w:numPr>
          <w:ilvl w:val="0"/>
          <w:numId w:val="3"/>
        </w:numPr>
        <w:spacing w:after="40" w:before="40"/>
      </w:pPr>
      <w:r>
        <w:rPr>
          <w:rFonts w:ascii="Arial" w:cs="Arial" w:eastAsia="Arial" w:hAnsi="Arial"/>
          <w:sz w:val="22"/>
          <w:szCs w:val="22"/>
        </w:rPr>
        <w:t xml:space="preserve">Les données réelles et leurs anomalies</w:t>
      </w:r>
    </w:p>
    <w:p>
      <w:r>
        <w:t xml:space="preserve"/>
      </w:r>
    </w:p>
    <w:p>
      <w:pPr>
        <w:pStyle w:val="Heading3"/>
        <w:numPr>
          <w:ilvl w:val="2"/>
          <w:numId w:val="2"/>
        </w:numPr>
      </w:pPr>
      <w:r>
        <w:rPr>
          <w:rFonts w:ascii="Arial" w:cs="Arial" w:eastAsia="Arial" w:hAnsi="Arial"/>
          <w:b/>
          <w:bCs/>
          <w:color w:val="2E74B5"/>
          <w:sz w:val="24"/>
          <w:szCs w:val="24"/>
        </w:rPr>
        <w:t xml:space="preserve">Règles d’or</w:t>
      </w:r>
    </w:p>
    <w:p>
      <w:pPr>
        <w:pStyle w:val="ListParagraph"/>
        <w:numPr>
          <w:ilvl w:val="0"/>
          <w:numId w:val="4"/>
        </w:numPr>
        <w:spacing w:after="40" w:before="40"/>
      </w:pPr>
      <w:r>
        <w:rPr>
          <w:rFonts w:ascii="Arial" w:cs="Arial" w:eastAsia="Arial" w:hAnsi="Arial"/>
          <w:sz w:val="22"/>
          <w:szCs w:val="22"/>
        </w:rPr>
        <w:t xml:space="preserve">Toujours décrire le contexte métier dans le prompt</w:t>
      </w:r>
    </w:p>
    <w:p>
      <w:pPr>
        <w:pStyle w:val="ListParagraph"/>
        <w:numPr>
          <w:ilvl w:val="0"/>
          <w:numId w:val="4"/>
        </w:numPr>
        <w:spacing w:after="40" w:before="40"/>
      </w:pPr>
      <w:r>
        <w:rPr>
          <w:rFonts w:ascii="Arial" w:cs="Arial" w:eastAsia="Arial" w:hAnsi="Arial"/>
          <w:sz w:val="22"/>
          <w:szCs w:val="22"/>
        </w:rPr>
        <w:t xml:space="preserve">Vérifier systématiquement les résultats sur des cas connus</w:t>
      </w:r>
    </w:p>
    <w:p>
      <w:pPr>
        <w:pStyle w:val="ListParagraph"/>
        <w:numPr>
          <w:ilvl w:val="0"/>
          <w:numId w:val="4"/>
        </w:numPr>
        <w:spacing w:after="40" w:before="40"/>
      </w:pPr>
      <w:r>
        <w:rPr>
          <w:rFonts w:ascii="Arial" w:cs="Arial" w:eastAsia="Arial" w:hAnsi="Arial"/>
          <w:sz w:val="22"/>
          <w:szCs w:val="22"/>
        </w:rPr>
        <w:t xml:space="preserve">Ne pas copier-coller sans comprendre — l’IA peut générer du code syntaxiquement valide mais logiquement faux</w:t>
      </w:r>
    </w:p>
    <w:p>
      <w:pPr>
        <w:pStyle w:val="ListParagraph"/>
        <w:numPr>
          <w:ilvl w:val="0"/>
          <w:numId w:val="4"/>
        </w:numPr>
        <w:spacing w:after="40" w:before="40"/>
      </w:pPr>
      <w:r>
        <w:rPr>
          <w:rFonts w:ascii="Arial" w:cs="Arial" w:eastAsia="Arial" w:hAnsi="Arial"/>
          <w:sz w:val="22"/>
          <w:szCs w:val="22"/>
        </w:rPr>
        <w:t xml:space="preserve">Utiliser l’IA pour accélérer, pas pour remplacer la compréhension</w:t>
      </w:r>
    </w:p>
    <w:p>
      <w:r>
        <w:t xml:space="preserve"/>
      </w:r>
    </w:p>
    <w:p>
      <w:pPr>
        <w:pStyle w:val="Heading2"/>
        <w:numPr>
          <w:ilvl w:val="1"/>
          <w:numId w:val="2"/>
        </w:numPr>
      </w:pPr>
      <w:r>
        <w:rPr>
          <w:rFonts w:ascii="Arial" w:cs="Arial" w:eastAsia="Arial" w:hAnsi="Arial"/>
          <w:b/>
          <w:bCs/>
          <w:color w:val="2E74B5"/>
          <w:sz w:val="28"/>
          <w:szCs w:val="28"/>
        </w:rPr>
        <w:t xml:space="preserve">Travaux pratiques</w:t>
      </w:r>
    </w:p>
    <w:p>
      <w:pPr>
        <w:pStyle w:val="ListParagraph"/>
        <w:numPr>
          <w:ilvl w:val="0"/>
          <w:numId w:val="3"/>
        </w:numPr>
        <w:spacing w:after="40" w:before="40"/>
      </w:pPr>
      <w:r>
        <w:rPr>
          <w:rFonts w:ascii="Arial" w:cs="Arial" w:eastAsia="Arial" w:hAnsi="Arial"/>
          <w:sz w:val="22"/>
          <w:szCs w:val="22"/>
        </w:rPr>
        <w:t xml:space="preserve">Soumettre une mesure complexe à une IA et analyser son explication</w:t>
      </w:r>
    </w:p>
    <w:p>
      <w:pPr>
        <w:pStyle w:val="ListParagraph"/>
        <w:numPr>
          <w:ilvl w:val="0"/>
          <w:numId w:val="3"/>
        </w:numPr>
        <w:spacing w:after="40" w:before="40"/>
      </w:pPr>
      <w:r>
        <w:rPr>
          <w:rFonts w:ascii="Arial" w:cs="Arial" w:eastAsia="Arial" w:hAnsi="Arial"/>
          <w:sz w:val="22"/>
          <w:szCs w:val="22"/>
        </w:rPr>
        <w:t xml:space="preserve">Demander une optimisation et comparer les performances avec DAX Studio</w:t>
      </w:r>
    </w:p>
    <w:p>
      <w:pPr>
        <w:pStyle w:val="ListParagraph"/>
        <w:numPr>
          <w:ilvl w:val="0"/>
          <w:numId w:val="3"/>
        </w:numPr>
        <w:spacing w:after="40" w:before="40"/>
      </w:pPr>
      <w:r>
        <w:rPr>
          <w:rFonts w:ascii="Arial" w:cs="Arial" w:eastAsia="Arial" w:hAnsi="Arial"/>
          <w:sz w:val="22"/>
          <w:szCs w:val="22"/>
        </w:rPr>
        <w:t xml:space="preserve">Générer un Calculation Group via IA puis l’intégrer dans Tabular Editor</w:t>
      </w:r>
    </w:p>
    <w:p>
      <w:r>
        <w:t xml:space="preserve"/>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1"/>
      </w:pBd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sur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1"/>
      </w:pBdr>
      <w:tabs>
        <w:tab w:val="right" w:pos="9026"/>
      </w:tabs>
    </w:pPr>
    <w:r>
      <w:rPr>
        <w:rFonts w:ascii="Arial" w:cs="Arial" w:eastAsia="Arial" w:hAnsi="Arial"/>
        <w:color w:val="666666"/>
        <w:sz w:val="18"/>
        <w:szCs w:val="18"/>
      </w:rPr>
      <w:t xml:space="preserve">Power BI — Expertise DAX | M2i Formation</w:t>
    </w:r>
    <w:r>
      <w:rPr>
        <w:rFonts w:ascii="Arial" w:cs="Arial" w:eastAsia="Arial" w:hAnsi="Arial"/>
        <w:sz w:val="18"/>
        <w:szCs w:val="18"/>
      </w:rPr>
      <w:t xml:space="preserve">	</w:t>
    </w:r>
    <w:r>
      <w:rPr>
        <w:rFonts w:ascii="Arial" w:cs="Arial" w:eastAsia="Arial" w:hAnsi="Arial"/>
        <w:b/>
        <w:bCs/>
        <w:color w:val="2E74B5"/>
        <w:sz w:val="18"/>
        <w:szCs w:val="18"/>
      </w:rPr>
      <w:t xml:space="preserve">PBI-DAX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Jc w:val="left"/>
      <w:pPr>
        <w:ind w:left="0" w:hanging="0"/>
      </w:pPr>
    </w:lvl>
    <w:lvl w:ilvl="1" w15:tentative="1">
      <w:start w:val="1"/>
      <w:numFmt w:val="decimal"/>
      <w:lvlText w:val="%2 "/>
      <w:lvlJc w:val="left"/>
      <w:pPr>
        <w:ind w:left="0" w:hanging="0"/>
      </w:pPr>
    </w:lvl>
    <w:lvl w:ilvl="2" w15:tentative="1">
      <w:start w:val="1"/>
      <w:numFmt w:val="decimal"/>
      <w:lvlText w:val="%2.%3 "/>
      <w:lvlJc w:val="left"/>
      <w:pPr>
        <w:ind w:left="0" w:hanging="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4B5"/>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2026-04-28T16:07:04.842Z</dcterms:created>
  <dcterms:modified xsi:type="dcterms:W3CDTF">2026-04-28T16:07:04.861Z</dcterms:modified>
</cp:coreProperties>
</file>

<file path=docProps/custom.xml><?xml version="1.0" encoding="utf-8"?>
<Properties xmlns="http://schemas.openxmlformats.org/officeDocument/2006/custom-properties" xmlns:vt="http://schemas.openxmlformats.org/officeDocument/2006/docPropsVTypes"/>
</file>