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1C3F6E"/>
          <w:sz w:val="36"/>
          <w:szCs w:val="36"/>
        </w:rPr>
        <w:t xml:space="preserve">ORAL PRESENTATION SCRIPT</w:t>
      </w:r>
    </w:p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Rossmann Store Sales Forecasting</w:t>
      </w:r>
    </w:p>
    <w:p>
      <w:pPr>
        <w:spacing w:before="0" w:after="4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Machine Learning for Finance  ·  March 2026</w:t>
      </w:r>
    </w:p>
    <w:p>
      <w:pPr>
        <w:spacing w:before="0" w:after="4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Olivier ANDRIANOEL  –  Wassim BELABED  –  Thomas MAGALLON</w:t>
      </w:r>
    </w:p>
    <w:p>
      <w:pPr>
        <w:spacing w:before="0" w:after="40"/>
        <w:jc w:val="center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Total target duration: 10 minutes  |  ~1,350 words at 135 wpm</w:t>
      </w:r>
    </w:p>
    <w:p>
      <w:pPr>
        <w:pBdr>
          <w:bottom w:val="single" w:color="1C3F6E" w:sz="12" w:space="6"/>
        </w:pBdr>
        <w:spacing w:before="80" w:after="200"/>
      </w:pPr>
    </w:p>
    <w:p>
      <w:pPr>
        <w:pBdr>
          <w:bottom w:val="single" w:color="1C3F6E" w:sz="8" w:space="4"/>
        </w:pBdr>
        <w:spacing w:before="340" w:after="120"/>
      </w:pPr>
      <w:r>
        <w:rPr>
          <w:rFonts w:ascii="Calibri" w:cs="Calibri" w:eastAsia="Calibri" w:hAnsi="Calibri"/>
          <w:b/>
          <w:bCs/>
          <w:color w:val="1C3F6E"/>
          <w:sz w:val="28"/>
          <w:szCs w:val="28"/>
        </w:rPr>
        <w:t xml:space="preserve">SLIDE 1  ·  Opening &amp; Title</w:t>
      </w:r>
    </w:p>
    <w:p>
      <w:pPr>
        <w:spacing w:before="40" w:after="0"/>
        <w:jc w:val="right"/>
      </w:pPr>
      <w:r>
        <w:rPr>
          <w:rFonts w:ascii="Calibri" w:cs="Calibri" w:eastAsia="Calibri" w:hAnsi="Calibri"/>
          <w:b/>
          <w:bCs/>
          <w:color w:val="888888"/>
          <w:sz w:val="18"/>
          <w:szCs w:val="18"/>
        </w:rPr>
        <w:t xml:space="preserve">⏱  Approx. cumulative time: ~0:00 → 0:35</w:t>
      </w:r>
    </w:p>
    <w:p>
      <w:pPr>
        <w:spacing w:before="40" w:after="60"/>
        <w:ind w:left="36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Good morning, everyone. My name is [speaker name], and I'm presenting on behalf of our team: Olivier, Wassim, and Thomas.</w:t>
      </w:r>
    </w:p>
    <w:p>
      <w:pPr>
        <w:spacing w:before="40" w:after="60"/>
        <w:ind w:left="36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Today we will take you through our machine learning project for this course — a sales forecasting system built for Rossmann, one of Europe's largest drugstore chains operating 1,115 stores.</w:t>
      </w:r>
    </w:p>
    <w:p>
      <w:pPr>
        <w:spacing w:before="40" w:after="60"/>
        <w:ind w:left="36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In the next ten minutes, we will show you why this problem matters commercially, how we approached it analytically, what the model tells us, and — crucially — what Rossmann's operations team should actually do with these results.</w:t>
      </w:r>
    </w:p>
    <w:p>
      <w:pPr>
        <w:spacing w:before="100" w:after="100"/>
      </w:pPr>
    </w:p>
    <w:p>
      <w:pPr>
        <w:pBdr>
          <w:bottom w:val="single" w:color="1C3F6E" w:sz="8" w:space="4"/>
        </w:pBdr>
        <w:spacing w:before="340" w:after="120"/>
      </w:pPr>
      <w:r>
        <w:rPr>
          <w:rFonts w:ascii="Calibri" w:cs="Calibri" w:eastAsia="Calibri" w:hAnsi="Calibri"/>
          <w:b/>
          <w:bCs/>
          <w:color w:val="1C3F6E"/>
          <w:sz w:val="28"/>
          <w:szCs w:val="28"/>
        </w:rPr>
        <w:t xml:space="preserve">SLIDE 2  ·  Agenda</w:t>
      </w:r>
    </w:p>
    <w:p>
      <w:pPr>
        <w:spacing w:before="40" w:after="0"/>
        <w:jc w:val="right"/>
      </w:pPr>
      <w:r>
        <w:rPr>
          <w:rFonts w:ascii="Calibri" w:cs="Calibri" w:eastAsia="Calibri" w:hAnsi="Calibri"/>
          <w:b/>
          <w:bCs/>
          <w:color w:val="888888"/>
          <w:sz w:val="18"/>
          <w:szCs w:val="18"/>
        </w:rPr>
        <w:t xml:space="preserve">⏱  Approx. cumulative time: ~0:35 → 0:55</w:t>
      </w:r>
    </w:p>
    <w:p>
      <w:pPr>
        <w:spacing w:before="40" w:after="60"/>
        <w:ind w:left="36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Here is our roadmap. We will cover six areas: the business context and dataset, our exploratory data analysis, the modelling approach, results and model comparison, error diagnostics, and finally business implications.</w:t>
      </w:r>
    </w:p>
    <w:p>
      <w:pPr>
        <w:spacing w:before="40" w:after="60"/>
        <w:ind w:left="36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Let us begin with the commercial problem.</w:t>
      </w:r>
    </w:p>
    <w:p>
      <w:pPr>
        <w:spacing w:before="100" w:after="100"/>
      </w:pPr>
    </w:p>
    <w:p>
      <w:pPr>
        <w:pBdr>
          <w:bottom w:val="single" w:color="1C3F6E" w:sz="8" w:space="4"/>
        </w:pBdr>
        <w:spacing w:before="340" w:after="120"/>
      </w:pPr>
      <w:r>
        <w:rPr>
          <w:rFonts w:ascii="Calibri" w:cs="Calibri" w:eastAsia="Calibri" w:hAnsi="Calibri"/>
          <w:b/>
          <w:bCs/>
          <w:color w:val="1C3F6E"/>
          <w:sz w:val="28"/>
          <w:szCs w:val="28"/>
        </w:rPr>
        <w:t xml:space="preserve">SLIDE 3  ·  Business Context — The Commercial Problem</w:t>
      </w:r>
    </w:p>
    <w:p>
      <w:pPr>
        <w:spacing w:before="40" w:after="0"/>
        <w:jc w:val="right"/>
      </w:pPr>
      <w:r>
        <w:rPr>
          <w:rFonts w:ascii="Calibri" w:cs="Calibri" w:eastAsia="Calibri" w:hAnsi="Calibri"/>
          <w:b/>
          <w:bCs/>
          <w:color w:val="888888"/>
          <w:sz w:val="18"/>
          <w:szCs w:val="18"/>
        </w:rPr>
        <w:t xml:space="preserve">⏱  Approx. cumulative time: ~0:55 → 1:55</w:t>
      </w:r>
    </w:p>
    <w:p>
      <w:pPr>
        <w:spacing w:before="40" w:after="60"/>
        <w:ind w:left="36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Rossmann needs to forecast daily sales at the individual store level. This is not an academic exercise — it has four direct operational consequences.</w:t>
      </w:r>
    </w:p>
    <w:p>
      <w:pPr>
        <w:spacing w:before="40" w:after="60"/>
        <w:ind w:left="36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First, stock replenishment: without visibility on tomorrow's demand, stores either over-order — tying up working capital — or face stockouts during promotions, both of which destroy margin.</w:t>
      </w:r>
    </w:p>
    <w:p>
      <w:pPr>
        <w:spacing w:before="40" w:after="60"/>
        <w:ind w:left="36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Second, labour scheduling: staff rosters must be set days in advance. A demand forecast is the only rational basis for that decision.</w:t>
      </w:r>
    </w:p>
    <w:p>
      <w:pPr>
        <w:spacing w:before="40" w:after="60"/>
        <w:ind w:left="36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Third, finance requires reliable near-term revenue projections for liquidity planning. And fourth, promotion ROI cannot be measured or optimised without isolating the incremental demand that a promotion actually generates.</w:t>
      </w:r>
    </w:p>
    <w:p>
      <w:pPr>
        <w:spacing w:before="40" w:after="60"/>
        <w:ind w:left="36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In short: a one-percent improvement in forecast accuracy at this scale translates into millions of euros in recovered operational efficiency.</w:t>
      </w:r>
    </w:p>
    <w:p>
      <w:pPr>
        <w:spacing w:before="100" w:after="100"/>
      </w:pPr>
    </w:p>
    <w:p>
      <w:pPr>
        <w:pBdr>
          <w:bottom w:val="single" w:color="1C3F6E" w:sz="8" w:space="4"/>
        </w:pBdr>
        <w:spacing w:before="340" w:after="120"/>
      </w:pPr>
      <w:r>
        <w:rPr>
          <w:rFonts w:ascii="Calibri" w:cs="Calibri" w:eastAsia="Calibri" w:hAnsi="Calibri"/>
          <w:b/>
          <w:bCs/>
          <w:color w:val="1C3F6E"/>
          <w:sz w:val="28"/>
          <w:szCs w:val="28"/>
        </w:rPr>
        <w:t xml:space="preserve">SLIDE 4  ·  Dataset at a Glance</w:t>
      </w:r>
    </w:p>
    <w:p>
      <w:pPr>
        <w:spacing w:before="40" w:after="0"/>
        <w:jc w:val="right"/>
      </w:pPr>
      <w:r>
        <w:rPr>
          <w:rFonts w:ascii="Calibri" w:cs="Calibri" w:eastAsia="Calibri" w:hAnsi="Calibri"/>
          <w:b/>
          <w:bCs/>
          <w:color w:val="888888"/>
          <w:sz w:val="18"/>
          <w:szCs w:val="18"/>
        </w:rPr>
        <w:t xml:space="preserve">⏱  Approx. cumulative time: ~1:55 → 2:45</w:t>
      </w:r>
    </w:p>
    <w:p>
      <w:pPr>
        <w:spacing w:before="40" w:after="60"/>
        <w:ind w:left="36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Our dataset merges two files: the sales history covering January 2013 to July 2015, and a store metadata file. After merging, we have over one million records across all 1,115 stores — a rich cross-sectional panel spanning two and a half years.</w:t>
      </w:r>
    </w:p>
    <w:p>
      <w:pPr>
        <w:spacing w:before="40" w:after="60"/>
        <w:ind w:left="36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Three modelling decisions were non-negotiable. First, we excluded the Customers variable: it is not observable at forecast time, and including it would introduce future data leakage. Second, we used a strict temporal split — 90% for training, 10% for testing — because random splits contaminate the test set with future information. Third, we filtered out closed days and zero-sales records: those are deterministic business rules, not stochastic forecasting targets. This left us 844,000 clean modelling rows.</w:t>
      </w:r>
    </w:p>
    <w:p>
      <w:pPr>
        <w:spacing w:before="100" w:after="100"/>
      </w:pPr>
    </w:p>
    <w:p>
      <w:pPr>
        <w:pBdr>
          <w:bottom w:val="single" w:color="1C3F6E" w:sz="8" w:space="4"/>
        </w:pBdr>
        <w:spacing w:before="340" w:after="120"/>
      </w:pPr>
      <w:r>
        <w:rPr>
          <w:rFonts w:ascii="Calibri" w:cs="Calibri" w:eastAsia="Calibri" w:hAnsi="Calibri"/>
          <w:b/>
          <w:bCs/>
          <w:color w:val="1C3F6E"/>
          <w:sz w:val="28"/>
          <w:szCs w:val="28"/>
        </w:rPr>
        <w:t xml:space="preserve">SLIDE 5  ·  EDA — Monthly Sales Seasonality</w:t>
      </w:r>
    </w:p>
    <w:p>
      <w:pPr>
        <w:spacing w:before="40" w:after="0"/>
        <w:jc w:val="right"/>
      </w:pPr>
      <w:r>
        <w:rPr>
          <w:rFonts w:ascii="Calibri" w:cs="Calibri" w:eastAsia="Calibri" w:hAnsi="Calibri"/>
          <w:b/>
          <w:bCs/>
          <w:color w:val="888888"/>
          <w:sz w:val="18"/>
          <w:szCs w:val="18"/>
        </w:rPr>
        <w:t xml:space="preserve">⏱  Approx. cumulative time: ~2:45 → 3:25</w:t>
      </w:r>
    </w:p>
    <w:p>
      <w:pPr>
        <w:spacing w:before="40" w:after="60"/>
        <w:ind w:left="36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Our exploratory analysis begins with monthly seasonality. The pattern is unambiguous: December is the strongest month, averaging €8,609 in daily sales — roughly 30 percent above October, the weakest month. November is the second-highest month, driven by pre-Christmas demand build-up.</w:t>
      </w:r>
    </w:p>
    <w:p>
      <w:pPr>
        <w:spacing w:before="60" w:after="60"/>
        <w:ind w:left="36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💡  Business implication: Q4 inventory positioning, peak staffing in November and December, and tighter cash-flow forecasting are directly supported by this data. Any operational calendar that ignores this pattern is leaving performance on the table.</w:t>
      </w:r>
    </w:p>
    <w:p>
      <w:pPr>
        <w:spacing w:before="100" w:after="100"/>
      </w:pPr>
    </w:p>
    <w:p>
      <w:pPr>
        <w:pBdr>
          <w:bottom w:val="single" w:color="1C3F6E" w:sz="8" w:space="4"/>
        </w:pBdr>
        <w:spacing w:before="340" w:after="120"/>
      </w:pPr>
      <w:r>
        <w:rPr>
          <w:rFonts w:ascii="Calibri" w:cs="Calibri" w:eastAsia="Calibri" w:hAnsi="Calibri"/>
          <w:b/>
          <w:bCs/>
          <w:color w:val="1C3F6E"/>
          <w:sz w:val="28"/>
          <w:szCs w:val="28"/>
        </w:rPr>
        <w:t xml:space="preserve">SLIDE 6  ·  EDA — Day-of-Week Patterns &amp; Sunday Closure</w:t>
      </w:r>
    </w:p>
    <w:p>
      <w:pPr>
        <w:spacing w:before="40" w:after="0"/>
        <w:jc w:val="right"/>
      </w:pPr>
      <w:r>
        <w:rPr>
          <w:rFonts w:ascii="Calibri" w:cs="Calibri" w:eastAsia="Calibri" w:hAnsi="Calibri"/>
          <w:b/>
          <w:bCs/>
          <w:color w:val="888888"/>
          <w:sz w:val="18"/>
          <w:szCs w:val="18"/>
        </w:rPr>
        <w:t xml:space="preserve">⏱  Approx. cumulative time: ~3:25 → 4:05</w:t>
      </w:r>
    </w:p>
    <w:p>
      <w:pPr>
        <w:spacing w:before="40" w:after="60"/>
        <w:ind w:left="36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Moving to the day-of-week dimension. Two findings stand out. First, approximately 97 percent of Sundays record zero sales — stores are closed. The rare open Sundays are exceptional events that happen to generate very high volumes, which inflates their average.</w:t>
      </w:r>
    </w:p>
    <w:p>
      <w:pPr>
        <w:spacing w:before="40" w:after="60"/>
        <w:ind w:left="36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Second, Saturday is structurally the weakest trading day among open days, consistent across years. The practical consequence for our model is important: a production forecasting system should run a two-stage logic — first predict whether a store will be open on a given Sunday, then predict the sales level if it is.</w:t>
      </w:r>
    </w:p>
    <w:p>
      <w:pPr>
        <w:spacing w:before="100" w:after="100"/>
      </w:pPr>
    </w:p>
    <w:p>
      <w:pPr>
        <w:pBdr>
          <w:bottom w:val="single" w:color="1C3F6E" w:sz="8" w:space="4"/>
        </w:pBdr>
        <w:spacing w:before="340" w:after="120"/>
      </w:pPr>
      <w:r>
        <w:rPr>
          <w:rFonts w:ascii="Calibri" w:cs="Calibri" w:eastAsia="Calibri" w:hAnsi="Calibri"/>
          <w:b/>
          <w:bCs/>
          <w:color w:val="1C3F6E"/>
          <w:sz w:val="28"/>
          <w:szCs w:val="28"/>
        </w:rPr>
        <w:t xml:space="preserve">SLIDE 7  ·  EDA — Promotional Uplift</w:t>
      </w:r>
    </w:p>
    <w:p>
      <w:pPr>
        <w:spacing w:before="40" w:after="0"/>
        <w:jc w:val="right"/>
      </w:pPr>
      <w:r>
        <w:rPr>
          <w:rFonts w:ascii="Calibri" w:cs="Calibri" w:eastAsia="Calibri" w:hAnsi="Calibri"/>
          <w:b/>
          <w:bCs/>
          <w:color w:val="888888"/>
          <w:sz w:val="18"/>
          <w:szCs w:val="18"/>
        </w:rPr>
        <w:t xml:space="preserve">⏱  Approx. cumulative time: ~4:05 → 4:45</w:t>
      </w:r>
    </w:p>
    <w:p>
      <w:pPr>
        <w:spacing w:before="40" w:after="60"/>
        <w:ind w:left="36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Promotions are the single strongest commercial lever in this dataset. On average, a promotional day generates 38.8 percent more sales than a non-promotional day. Every store type responds positively to promotions, but Store Type 2 shows the highest absolute uplift — a direct signal for budget allocation.</w:t>
      </w:r>
    </w:p>
    <w:p>
      <w:pPr>
        <w:spacing w:before="40" w:after="60"/>
        <w:ind w:left="36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Furthermore, when we later run our XGBoost model, Promo emerges as the number-one feature by importance — three times more important than the next variable. The EDA and the model are entirely consistent on this point.</w:t>
      </w:r>
    </w:p>
    <w:p>
      <w:pPr>
        <w:spacing w:before="100" w:after="100"/>
      </w:pPr>
    </w:p>
    <w:p>
      <w:pPr>
        <w:pBdr>
          <w:bottom w:val="single" w:color="1C3F6E" w:sz="8" w:space="4"/>
        </w:pBdr>
        <w:spacing w:before="340" w:after="120"/>
      </w:pPr>
      <w:r>
        <w:rPr>
          <w:rFonts w:ascii="Calibri" w:cs="Calibri" w:eastAsia="Calibri" w:hAnsi="Calibri"/>
          <w:b/>
          <w:bCs/>
          <w:color w:val="1C3F6E"/>
          <w:sz w:val="28"/>
          <w:szCs w:val="28"/>
        </w:rPr>
        <w:t xml:space="preserve">SLIDE 8  ·  EDA — Correlation Structure</w:t>
      </w:r>
    </w:p>
    <w:p>
      <w:pPr>
        <w:spacing w:before="40" w:after="0"/>
        <w:jc w:val="right"/>
      </w:pPr>
      <w:r>
        <w:rPr>
          <w:rFonts w:ascii="Calibri" w:cs="Calibri" w:eastAsia="Calibri" w:hAnsi="Calibri"/>
          <w:b/>
          <w:bCs/>
          <w:color w:val="888888"/>
          <w:sz w:val="18"/>
          <w:szCs w:val="18"/>
        </w:rPr>
        <w:t xml:space="preserve">⏱  Approx. cumulative time: ~4:45 → 5:05</w:t>
      </w:r>
    </w:p>
    <w:p>
      <w:pPr>
        <w:spacing w:before="40" w:after="60"/>
        <w:ind w:left="36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A quick note on correlations. The matrix confirms Promo is the strongest linear signal. Day of week correlates negatively with sales — Saturday, coded as six, is weakest. We also flagged a near-perfect collinearity between Month and Week of Year: only one should be used in linear models, though tree-based models handle both naturally.</w:t>
      </w:r>
    </w:p>
    <w:p>
      <w:pPr>
        <w:spacing w:before="100" w:after="100"/>
      </w:pPr>
    </w:p>
    <w:p>
      <w:pPr>
        <w:pBdr>
          <w:bottom w:val="single" w:color="1C3F6E" w:sz="8" w:space="4"/>
        </w:pBdr>
        <w:spacing w:before="340" w:after="120"/>
      </w:pPr>
      <w:r>
        <w:rPr>
          <w:rFonts w:ascii="Calibri" w:cs="Calibri" w:eastAsia="Calibri" w:hAnsi="Calibri"/>
          <w:b/>
          <w:bCs/>
          <w:color w:val="1C3F6E"/>
          <w:sz w:val="28"/>
          <w:szCs w:val="28"/>
        </w:rPr>
        <w:t xml:space="preserve">SLIDE 9  ·  Modelling Framework &amp; Model Selection</w:t>
      </w:r>
    </w:p>
    <w:p>
      <w:pPr>
        <w:spacing w:before="40" w:after="0"/>
        <w:jc w:val="right"/>
      </w:pPr>
      <w:r>
        <w:rPr>
          <w:rFonts w:ascii="Calibri" w:cs="Calibri" w:eastAsia="Calibri" w:hAnsi="Calibri"/>
          <w:b/>
          <w:bCs/>
          <w:color w:val="888888"/>
          <w:sz w:val="18"/>
          <w:szCs w:val="18"/>
        </w:rPr>
        <w:t xml:space="preserve">⏱  Approx. cumulative time: ~5:05 → 5:55</w:t>
      </w:r>
    </w:p>
    <w:p>
      <w:pPr>
        <w:spacing w:before="40" w:after="60"/>
        <w:ind w:left="36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We compared three models. The Naive Baseline computes a store-by-day-of-week historical mean — no training overhead, no parameters, but surprisingly competitive. Linear Regression applies ordinary least squares to all engineered features; it is our reference model. XGBoost is our champion: 100 estimators, maximum depth of 8, with subsampling to prevent overfitting.</w:t>
      </w:r>
    </w:p>
    <w:p>
      <w:pPr>
        <w:spacing w:before="40" w:after="60"/>
        <w:ind w:left="36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We evaluated on two metrics: RMSPE — the competition metric, penalising percentage errors on low-volume stores — and MAE, which measures absolute euro error and is most relevant for operational planning. Using both metrics was deliberate: they reward different model behaviours, and ignoring one would give an incomplete picture.</w:t>
      </w:r>
    </w:p>
    <w:p>
      <w:pPr>
        <w:spacing w:before="100" w:after="100"/>
      </w:pPr>
    </w:p>
    <w:p>
      <w:pPr>
        <w:pBdr>
          <w:bottom w:val="single" w:color="1C3F6E" w:sz="8" w:space="4"/>
        </w:pBdr>
        <w:spacing w:before="340" w:after="120"/>
      </w:pPr>
      <w:r>
        <w:rPr>
          <w:rFonts w:ascii="Calibri" w:cs="Calibri" w:eastAsia="Calibri" w:hAnsi="Calibri"/>
          <w:b/>
          <w:bCs/>
          <w:color w:val="1C3F6E"/>
          <w:sz w:val="28"/>
          <w:szCs w:val="28"/>
        </w:rPr>
        <w:t xml:space="preserve">SLIDE 10  ·  XGBoost Feature Importances</w:t>
      </w:r>
    </w:p>
    <w:p>
      <w:pPr>
        <w:spacing w:before="40" w:after="0"/>
        <w:jc w:val="right"/>
      </w:pPr>
      <w:r>
        <w:rPr>
          <w:rFonts w:ascii="Calibri" w:cs="Calibri" w:eastAsia="Calibri" w:hAnsi="Calibri"/>
          <w:b/>
          <w:bCs/>
          <w:color w:val="888888"/>
          <w:sz w:val="18"/>
          <w:szCs w:val="18"/>
        </w:rPr>
        <w:t xml:space="preserve">⏱  Approx. cumulative time: ~5:55 → 6:25</w:t>
      </w:r>
    </w:p>
    <w:p>
      <w:pPr>
        <w:spacing w:before="40" w:after="60"/>
        <w:ind w:left="36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The XGBoost feature importances reveal a clear hierarchy. Tier one: Promo alone accounts for far more gain than any other variable. Tier two: store identity and promotional programme design — variables like Promo2, CompetitionDistance, and Assortment — capture cross-sectional differences between stores. Tier three: calendar signals such as day of week, month, and week of year form the temporal rhythm.</w:t>
      </w:r>
    </w:p>
    <w:p>
      <w:pPr>
        <w:spacing w:before="40" w:after="60"/>
        <w:ind w:left="36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The message is clear: if you could only improve one input to this model, it would be the quality and timeliness of your promotional schedule data.</w:t>
      </w:r>
    </w:p>
    <w:p>
      <w:pPr>
        <w:spacing w:before="100" w:after="100"/>
      </w:pPr>
    </w:p>
    <w:p>
      <w:pPr>
        <w:pBdr>
          <w:bottom w:val="single" w:color="1C3F6E" w:sz="8" w:space="4"/>
        </w:pBdr>
        <w:spacing w:before="340" w:after="120"/>
      </w:pPr>
      <w:r>
        <w:rPr>
          <w:rFonts w:ascii="Calibri" w:cs="Calibri" w:eastAsia="Calibri" w:hAnsi="Calibri"/>
          <w:b/>
          <w:bCs/>
          <w:color w:val="1C3F6E"/>
          <w:sz w:val="28"/>
          <w:szCs w:val="28"/>
        </w:rPr>
        <w:t xml:space="preserve">SLIDE 11  ·  Model Performance — The Metric Divergence</w:t>
      </w:r>
    </w:p>
    <w:p>
      <w:pPr>
        <w:spacing w:before="40" w:after="0"/>
        <w:jc w:val="right"/>
      </w:pPr>
      <w:r>
        <w:rPr>
          <w:rFonts w:ascii="Calibri" w:cs="Calibri" w:eastAsia="Calibri" w:hAnsi="Calibri"/>
          <w:b/>
          <w:bCs/>
          <w:color w:val="888888"/>
          <w:sz w:val="18"/>
          <w:szCs w:val="18"/>
        </w:rPr>
        <w:t xml:space="preserve">⏱  Approx. cumulative time: ~6:25 → 7:15</w:t>
      </w:r>
    </w:p>
    <w:p>
      <w:pPr>
        <w:spacing w:before="40" w:after="60"/>
        <w:ind w:left="36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Here is the central finding, and it requires nuance. On RMSPE, the Naive Baseline wins with 21.98 percent versus XGBoost's 23 percent. But on MAE — absolute euro error — XGBoost wins decisively: €1,051 versus approximately €1,200 for the Naive and over €2,000 for Linear Regression.</w:t>
      </w:r>
    </w:p>
    <w:p>
      <w:pPr>
        <w:spacing w:before="40" w:after="60"/>
        <w:ind w:left="36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Why does this divergence matter? RMSPE penalises percentage errors, which hits small stores hardest. The Naive model does well there because it has seen those stores' specific patterns. But for a finance team aggregating revenue bottom-up, the MAE is what counts: XGBoost saves €150 per store per day in average forecast error compared to the Naive Baseline. Across 1,115 stores, that is material.</w:t>
      </w:r>
    </w:p>
    <w:p>
      <w:pPr>
        <w:spacing w:before="40" w:after="60"/>
        <w:ind w:left="36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Linear Regression fails on both metrics — it cannot capture the nonlinear promotional interactions that drive the business.</w:t>
      </w:r>
    </w:p>
    <w:p>
      <w:pPr>
        <w:spacing w:before="100" w:after="100"/>
      </w:pPr>
    </w:p>
    <w:p>
      <w:pPr>
        <w:pBdr>
          <w:bottom w:val="single" w:color="1C3F6E" w:sz="8" w:space="4"/>
        </w:pBdr>
        <w:spacing w:before="340" w:after="120"/>
      </w:pPr>
      <w:r>
        <w:rPr>
          <w:rFonts w:ascii="Calibri" w:cs="Calibri" w:eastAsia="Calibri" w:hAnsi="Calibri"/>
          <w:b/>
          <w:bCs/>
          <w:color w:val="1C3F6E"/>
          <w:sz w:val="28"/>
          <w:szCs w:val="28"/>
        </w:rPr>
        <w:t xml:space="preserve">SLIDE 12  ·  Aggregate Actual vs Predicted</w:t>
      </w:r>
    </w:p>
    <w:p>
      <w:pPr>
        <w:spacing w:before="40" w:after="0"/>
        <w:jc w:val="right"/>
      </w:pPr>
      <w:r>
        <w:rPr>
          <w:rFonts w:ascii="Calibri" w:cs="Calibri" w:eastAsia="Calibri" w:hAnsi="Calibri"/>
          <w:b/>
          <w:bCs/>
          <w:color w:val="888888"/>
          <w:sz w:val="18"/>
          <w:szCs w:val="18"/>
        </w:rPr>
        <w:t xml:space="preserve">⏱  Approx. cumulative time: ~7:15 → 7:35</w:t>
      </w:r>
    </w:p>
    <w:p>
      <w:pPr>
        <w:spacing w:before="40" w:after="60"/>
        <w:ind w:left="36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At chain level, XGBoost tracks the weekly rhythm very well — it collapses correctly on Sundays, captures the promotional spikes, and follows the seasonal trajectory. However, a caution: chain-level aggregation can look clean while store-level errors cancel out. This is why we ran the store-level diagnostics you see in the next two slides.</w:t>
      </w:r>
    </w:p>
    <w:p>
      <w:pPr>
        <w:spacing w:before="100" w:after="100"/>
      </w:pPr>
    </w:p>
    <w:p>
      <w:pPr>
        <w:pBdr>
          <w:bottom w:val="single" w:color="1C3F6E" w:sz="8" w:space="4"/>
        </w:pBdr>
        <w:spacing w:before="340" w:after="120"/>
      </w:pPr>
      <w:r>
        <w:rPr>
          <w:rFonts w:ascii="Calibri" w:cs="Calibri" w:eastAsia="Calibri" w:hAnsi="Calibri"/>
          <w:b/>
          <w:bCs/>
          <w:color w:val="1C3F6E"/>
          <w:sz w:val="28"/>
          <w:szCs w:val="28"/>
        </w:rPr>
        <w:t xml:space="preserve">SLIDE 13  ·  Residual Structure</w:t>
      </w:r>
    </w:p>
    <w:p>
      <w:pPr>
        <w:spacing w:before="40" w:after="0"/>
        <w:jc w:val="right"/>
      </w:pPr>
      <w:r>
        <w:rPr>
          <w:rFonts w:ascii="Calibri" w:cs="Calibri" w:eastAsia="Calibri" w:hAnsi="Calibri"/>
          <w:b/>
          <w:bCs/>
          <w:color w:val="888888"/>
          <w:sz w:val="18"/>
          <w:szCs w:val="18"/>
        </w:rPr>
        <w:t xml:space="preserve">⏱  Approx. cumulative time: ~7:35 → 8:05</w:t>
      </w:r>
    </w:p>
    <w:p>
      <w:pPr>
        <w:spacing w:before="40" w:after="60"/>
        <w:ind w:left="36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The residual distribution is right-skewed: the model systematically underpredicts demand peaks. For operations, this is the most dangerous type of error — it means the store is not prepared for its highest-revenue days. On average, the model is well-calibrated; the challenge is at the extremes.</w:t>
      </w:r>
    </w:p>
    <w:p>
      <w:pPr>
        <w:spacing w:before="40" w:after="60"/>
        <w:ind w:left="36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We also observe a time-varying bias with large negative residuals appearing in early July. This suggests an unmodelled event or demand regime shift — a signal that this model must be monitored continuously in production, not deployed and forgotten.</w:t>
      </w:r>
    </w:p>
    <w:p>
      <w:pPr>
        <w:spacing w:before="100" w:after="100"/>
      </w:pPr>
    </w:p>
    <w:p>
      <w:pPr>
        <w:pBdr>
          <w:bottom w:val="single" w:color="1C3F6E" w:sz="8" w:space="4"/>
        </w:pBdr>
        <w:spacing w:before="340" w:after="120"/>
      </w:pPr>
      <w:r>
        <w:rPr>
          <w:rFonts w:ascii="Calibri" w:cs="Calibri" w:eastAsia="Calibri" w:hAnsi="Calibri"/>
          <w:b/>
          <w:bCs/>
          <w:color w:val="1C3F6E"/>
          <w:sz w:val="28"/>
          <w:szCs w:val="28"/>
        </w:rPr>
        <w:t xml:space="preserve">SLIDE 14  ·  Error Heatmaps</w:t>
      </w:r>
    </w:p>
    <w:p>
      <w:pPr>
        <w:spacing w:before="40" w:after="0"/>
        <w:jc w:val="right"/>
      </w:pPr>
      <w:r>
        <w:rPr>
          <w:rFonts w:ascii="Calibri" w:cs="Calibri" w:eastAsia="Calibri" w:hAnsi="Calibri"/>
          <w:b/>
          <w:bCs/>
          <w:color w:val="888888"/>
          <w:sz w:val="18"/>
          <w:szCs w:val="18"/>
        </w:rPr>
        <w:t xml:space="preserve">⏱  Approx. cumulative time: ~8:05 → 8:25</w:t>
      </w:r>
    </w:p>
    <w:p>
      <w:pPr>
        <w:spacing w:before="40" w:after="60"/>
        <w:ind w:left="36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The error heatmaps pinpoint exactly where the model struggles. The hardest cell is May, non-promo days — unstructured demand without promotional signal is inherently harder to predict. Sunday MAPE reaches 40 percent in May, reinforcing our earlier argument for a two-stage closure model. Conversely, June is the most predictable month — moderate conditions, no major holiday effects — which provides a useful baseline for future model validation.</w:t>
      </w:r>
    </w:p>
    <w:p>
      <w:pPr>
        <w:spacing w:before="100" w:after="100"/>
      </w:pPr>
    </w:p>
    <w:p>
      <w:pPr>
        <w:pBdr>
          <w:bottom w:val="single" w:color="1C3F6E" w:sz="8" w:space="4"/>
        </w:pBdr>
        <w:spacing w:before="340" w:after="120"/>
      </w:pPr>
      <w:r>
        <w:rPr>
          <w:rFonts w:ascii="Calibri" w:cs="Calibri" w:eastAsia="Calibri" w:hAnsi="Calibri"/>
          <w:b/>
          <w:bCs/>
          <w:color w:val="1C3F6E"/>
          <w:sz w:val="28"/>
          <w:szCs w:val="28"/>
        </w:rPr>
        <w:t xml:space="preserve">SLIDE 15  ·  Business Implications</w:t>
      </w:r>
    </w:p>
    <w:p>
      <w:pPr>
        <w:spacing w:before="40" w:after="0"/>
        <w:jc w:val="right"/>
      </w:pPr>
      <w:r>
        <w:rPr>
          <w:rFonts w:ascii="Calibri" w:cs="Calibri" w:eastAsia="Calibri" w:hAnsi="Calibri"/>
          <w:b/>
          <w:bCs/>
          <w:color w:val="888888"/>
          <w:sz w:val="18"/>
          <w:szCs w:val="18"/>
        </w:rPr>
        <w:t xml:space="preserve">⏱  Approx. cumulative time: ~8:25 → 9:10</w:t>
      </w:r>
    </w:p>
    <w:p>
      <w:pPr>
        <w:spacing w:before="40" w:after="60"/>
        <w:ind w:left="36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Let us translate these findings into decisions. For inventory and supply chain: build Q4 stock positions from October; pre-position inventory before every promotional activation given the 39 percent average uplift; and apply wider safety buffers on weekends, where forecast error is structurally higher.</w:t>
      </w:r>
    </w:p>
    <w:p>
      <w:pPr>
        <w:spacing w:before="40" w:after="60"/>
        <w:ind w:left="36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For labour planning: align staffing calendars to the Month-by-Day-of-Week interaction. December Mondays need maximum staffing; October Saturdays do not. Promotional signals are known in advance — use them to trigger staffing uplift weeks ahead.</w:t>
      </w:r>
    </w:p>
    <w:p>
      <w:pPr>
        <w:spacing w:before="40" w:after="60"/>
        <w:ind w:left="36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For finance: XGBoost's €1,051 MAE makes it suitable for bottom-up revenue aggregation. However, given the right-skewed residuals, revenue forecasts should be set conservatively — upside is more frequently missed than downside.</w:t>
      </w:r>
    </w:p>
    <w:p>
      <w:pPr>
        <w:spacing w:before="40" w:after="60"/>
        <w:ind w:left="36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For promotion strategy: Store Type 2 responds most strongly — prioritise promotional budget there. Days with an active promotion are also more predictable, which means structured demand is easier to plan around than unstructured demand.</w:t>
      </w:r>
    </w:p>
    <w:p>
      <w:pPr>
        <w:spacing w:before="100" w:after="100"/>
      </w:pPr>
    </w:p>
    <w:p>
      <w:pPr>
        <w:pBdr>
          <w:bottom w:val="single" w:color="1C3F6E" w:sz="8" w:space="4"/>
        </w:pBdr>
        <w:spacing w:before="340" w:after="120"/>
      </w:pPr>
      <w:r>
        <w:rPr>
          <w:rFonts w:ascii="Calibri" w:cs="Calibri" w:eastAsia="Calibri" w:hAnsi="Calibri"/>
          <w:b/>
          <w:bCs/>
          <w:color w:val="1C3F6E"/>
          <w:sz w:val="28"/>
          <w:szCs w:val="28"/>
        </w:rPr>
        <w:t xml:space="preserve">SLIDE 16  ·  Roadmap — From Prototype to Production</w:t>
      </w:r>
    </w:p>
    <w:p>
      <w:pPr>
        <w:spacing w:before="40" w:after="0"/>
        <w:jc w:val="right"/>
      </w:pPr>
      <w:r>
        <w:rPr>
          <w:rFonts w:ascii="Calibri" w:cs="Calibri" w:eastAsia="Calibri" w:hAnsi="Calibri"/>
          <w:b/>
          <w:bCs/>
          <w:color w:val="888888"/>
          <w:sz w:val="18"/>
          <w:szCs w:val="18"/>
        </w:rPr>
        <w:t xml:space="preserve">⏱  Approx. cumulative time: ~9:10 → 9:40</w:t>
      </w:r>
    </w:p>
    <w:p>
      <w:pPr>
        <w:spacing w:before="40" w:after="60"/>
        <w:ind w:left="36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Five improvements are prioritised. Immediately: SHAP value analysis to replace gain-based importance with directional, interpretable feature contributions. Within two to four weeks: rolling-window backtesting across multiple seasons to stress-test the model. Within four to eight weeks: implement the two-stage Sunday and holiday model. Medium-term: dedicated hyperparameter tuning for high-error stores like Store 1114. And ongoing: move from associational to causal promotional estimation using difference-in-differences, which is a prerequisite for proper ROI calculation.</w:t>
      </w:r>
    </w:p>
    <w:p>
      <w:pPr>
        <w:spacing w:before="100" w:after="100"/>
      </w:pPr>
    </w:p>
    <w:p>
      <w:pPr>
        <w:pBdr>
          <w:bottom w:val="single" w:color="1C3F6E" w:sz="8" w:space="4"/>
        </w:pBdr>
        <w:spacing w:before="340" w:after="120"/>
      </w:pPr>
      <w:r>
        <w:rPr>
          <w:rFonts w:ascii="Calibri" w:cs="Calibri" w:eastAsia="Calibri" w:hAnsi="Calibri"/>
          <w:b/>
          <w:bCs/>
          <w:color w:val="1C3F6E"/>
          <w:sz w:val="28"/>
          <w:szCs w:val="28"/>
        </w:rPr>
        <w:t xml:space="preserve">SLIDE 17  ·  Key Takeaways &amp; Close</w:t>
      </w:r>
    </w:p>
    <w:p>
      <w:pPr>
        <w:spacing w:before="40" w:after="0"/>
        <w:jc w:val="right"/>
      </w:pPr>
      <w:r>
        <w:rPr>
          <w:rFonts w:ascii="Calibri" w:cs="Calibri" w:eastAsia="Calibri" w:hAnsi="Calibri"/>
          <w:b/>
          <w:bCs/>
          <w:color w:val="888888"/>
          <w:sz w:val="18"/>
          <w:szCs w:val="18"/>
        </w:rPr>
        <w:t xml:space="preserve">⏱  Approx. cumulative time: ~9:40 → 10:00</w:t>
      </w:r>
    </w:p>
    <w:p>
      <w:pPr>
        <w:spacing w:before="40" w:after="60"/>
        <w:ind w:left="36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To close: this project demonstrates that machine learning can deliver meaningful operational value for Rossmann. Promotions are the number-one controllable lever — confirmed both statistically and by the model. December demand is 30 percent above average — Q4 is the highest-stakes planning window. XGBoost achieves €1,051 MAE and is production-ready for revenue aggregation. And disciplined evaluation requires two metrics: a model that wins on RMSPE can still lose on the metric that matters most to operations.</w:t>
      </w:r>
    </w:p>
    <w:p>
      <w:pPr>
        <w:spacing w:before="40" w:after="60"/>
        <w:ind w:left="36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Thank you. We are happy to take your questions.</w:t>
      </w:r>
    </w:p>
    <w:p>
      <w:pPr>
        <w:spacing w:before="100" w:after="100"/>
      </w:pPr>
    </w:p>
    <w:p>
      <w:pPr>
        <w:pBdr>
          <w:top w:val="single" w:color="1C3F6E" w:sz="12" w:space="6"/>
        </w:pBdr>
        <w:spacing w:before="200" w:after="80"/>
      </w:pPr>
    </w:p>
    <w:p>
      <w:pPr>
        <w:spacing w:before="80" w:after="80"/>
      </w:pPr>
      <w:r>
        <w:rPr>
          <w:rFonts w:ascii="Calibri" w:cs="Calibri" w:eastAsia="Calibri" w:hAnsi="Calibri"/>
          <w:b/>
          <w:bCs/>
          <w:caps/>
          <w:color w:val="1C3F6E"/>
          <w:sz w:val="22"/>
          <w:szCs w:val="22"/>
        </w:rPr>
        <w:t xml:space="preserve">DELIVERY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Pacing: target 135 words per minute. The script contains approximately 1,350 words.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Each slide header marks a transition cue — advance the slide on the first word of each section.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Pause naturally after each italic note line to let data points land with the audience.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The closing slide (Slide 17) is designed to be under 25 seconds — keep it punchy and direct.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2026-03-26T10:58:56.123Z</dcterms:created>
  <dcterms:modified xsi:type="dcterms:W3CDTF">2026-03-26T10:58:56.124Z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