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5450"/>
        <w:gridCol w:w="1791"/>
      </w:tblGrid>
      <w:tr w:rsidR="0059200B" w:rsidRPr="00E21F5C" w14:paraId="4AB669A3" w14:textId="77777777">
        <w:trPr>
          <w:jc w:val="center"/>
        </w:trPr>
        <w:tc>
          <w:tcPr>
            <w:tcW w:w="8494"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5450"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5450"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5450"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5450"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5450"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5450" w:type="dxa"/>
          </w:tcPr>
          <w:p w14:paraId="1AC7A46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5450" w:type="dxa"/>
          </w:tcPr>
          <w:p w14:paraId="21F41755"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5450" w:type="dxa"/>
          </w:tcPr>
          <w:p w14:paraId="350C1079"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5450" w:type="dxa"/>
          </w:tcPr>
          <w:p w14:paraId="319BCD9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5450" w:type="dxa"/>
          </w:tcPr>
          <w:p w14:paraId="4139ACD3"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5450" w:type="dxa"/>
          </w:tcPr>
          <w:p w14:paraId="389F519F"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5450" w:type="dxa"/>
            <w:tcBorders>
              <w:bottom w:val="single" w:sz="18" w:space="0" w:color="000000"/>
            </w:tcBorders>
          </w:tcPr>
          <w:p w14:paraId="4B5E0A0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{{REF_LINHA}}</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94"/>
        <w:gridCol w:w="1900"/>
      </w:tblGrid>
      <w:tr w:rsidR="0059200B" w14:paraId="52C60DB3" w14:textId="77777777">
        <w:trPr>
          <w:trHeight w:val="288"/>
          <w:tblHeader/>
        </w:trPr>
        <w:tc>
          <w:tcPr>
            <w:tcW w:w="6594"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900"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6594"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900"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6594"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900"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6594"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900"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6594"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900"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6594"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900"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6594"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900"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6594"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900"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A padronização de todos os documentos estará de acordo com a numeração e formatação padrão dos documentos, conforme exigidos pelo órgão ambiental, estarão enquadrados nos formatos dos pacotes da Microsoft Office (.doc, .xls, .ppt), ESRI (.shp, .dbf), PDF, AutoCAD (.dwg, .dxf), "shapefile" ou "kml" e imagens (.jpeg).</w:t>
      </w:r>
    </w:p>
    <w:p w14:paraId="5296F5F8"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Quando necessário o uso de alguma plataforma para compartilhamento de documentos, será priorizado a utilização de SharePoint ou OneDrive da Contratante.</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B0"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ITENS NÃO PREVISTOS</w:t>
      </w:r>
    </w:p>
    <w:p w14:paraId="7C34CAB1"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{{ITENS_NAO_PREVISTOS}}</w:t>
      </w:r>
    </w:p>
    <w:p w14:paraId="7C34CAB2"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Caso sejam solicitados serviços e estudos não contemplados nesta proposta, estes serão objeto de proposta complementar.</w:t>
      </w: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8.1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 xml:space="preserve">Assumir a responsabilidade por quaisquer ajustes/complementações dos relatórios elaborados pela </w:t>
      </w:r>
      <w:r>
        <w:rPr>
          <w:rFonts w:ascii="Metropolis" w:eastAsia="Metropolis" w:hAnsi="Metropolis" w:cs="Metropolis"/>
          <w:b/>
        </w:rPr>
        <w:t>PAPYRUS</w:t>
      </w:r>
      <w:r>
        <w:rPr>
          <w:rFonts w:ascii="Metropolis" w:eastAsia="Metropolis" w:hAnsi="Metropolis" w:cs="Metropolis"/>
        </w:rPr>
        <w:t xml:space="preserve">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8.2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9-1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9-1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trPr>
          <w:jc w:val="center"/>
        </w:trPr>
        <w:tc>
          <w:tcPr>
            <w:tcW w:w="2177"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64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725"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2949"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A5A0001"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EXIGÊNCIAS SMS</w:t>
      </w:r>
    </w:p>
    <w:p w14:paraId="5A5A000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 PAPYRUS possui documentação regularizada de SMS que poderá ser entregue no início do serviço, caso a Contratante deseje, sendo os principais citados a seguir.</w:t>
      </w:r>
    </w:p>
    <w:p w14:paraId="5A5A0003" w14:textId="77777777" w:rsidR="0059200B" w:rsidRDefault="0059200B">
      <w:pPr>
        <w:spacing w:after="0" w:line="360" w:lineRule="auto"/>
        <w:jc w:val="both"/>
        <w:rPr>
          <w:rFonts w:ascii="Metropolis" w:eastAsia="Metropolis" w:hAnsi="Metropolis" w:cs="Metropolis"/>
        </w:rPr>
      </w:pPr>
    </w:p>
    <w:p w14:paraId="5A5A000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Documentos da Empresa:</w:t>
      </w:r>
    </w:p>
    <w:p w14:paraId="5A5A0005"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PGR – Programa de Gerenciamento de Riscos.</w:t>
      </w:r>
    </w:p>
    <w:p w14:paraId="5A5A0006"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PCMSO – Programa de Controle Médico e de Saúde Ocupacional.</w:t>
      </w:r>
    </w:p>
    <w:p w14:paraId="5A5A0007" w14:textId="77777777" w:rsidR="0059200B" w:rsidRDefault="0059200B">
      <w:pPr>
        <w:spacing w:after="0" w:line="360" w:lineRule="auto"/>
        <w:jc w:val="both"/>
        <w:rPr>
          <w:rFonts w:ascii="Metropolis" w:eastAsia="Metropolis" w:hAnsi="Metropolis" w:cs="Metropolis"/>
        </w:rPr>
      </w:pPr>
    </w:p>
    <w:p w14:paraId="5A5A000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Documentação dos Colaboradores:</w:t>
      </w:r>
    </w:p>
    <w:p w14:paraId="5A5A00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registro, CTPS ou Contrato de Prestação de Serviço.</w:t>
      </w:r>
    </w:p>
    <w:p w14:paraId="5A5A000A"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RG/CPF.</w:t>
      </w:r>
    </w:p>
    <w:p w14:paraId="5A5A000B"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ASO.</w:t>
      </w:r>
    </w:p>
    <w:p w14:paraId="5A5A000C"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OS (ordem de Serviço).</w:t>
      </w:r>
    </w:p>
    <w:p w14:paraId="5A5A000D"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EPI.</w:t>
      </w:r>
    </w:p>
    <w:p w14:paraId="5A5A000E"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CNH condutor de veículo.</w:t>
      </w:r>
    </w:p>
    <w:p w14:paraId="5A5A000F"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 de treinamento prático direção defensiva e 4x4.</w:t>
      </w:r>
    </w:p>
    <w:p w14:paraId="5A5A0010"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Certificados dos Treinamentos de Integração e NR06.</w:t>
      </w: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referido prazo poderá ter alterações mediante alinhamento formal entre a CONTRATANTE e a </w:t>
      </w:r>
      <w:r>
        <w:rPr>
          <w:rFonts w:ascii="Metropolis" w:eastAsia="Metropolis" w:hAnsi="Metropolis" w:cs="Metropolis"/>
          <w:color w:val="000000"/>
          <w:b/>
        </w:rPr>
        <w:t>PAPYRUS</w:t>
      </w:r>
      <w:r>
        <w:rPr>
          <w:rFonts w:ascii="Metropolis" w:eastAsia="Metropolis" w:hAnsi="Metropolis" w:cs="Metropolis"/>
          <w:color w:val="000000"/>
        </w:rPr>
        <w:t xml:space="preserve">. Ressalta-se que a </w:t>
      </w:r>
      <w:r>
        <w:rPr>
          <w:rFonts w:ascii="Metropolis" w:eastAsia="Metropolis" w:hAnsi="Metropolis" w:cs="Metropolis"/>
          <w:color w:val="000000"/>
          <w:b/>
        </w:rPr>
        <w:t>PAPYRUS</w:t>
      </w:r>
      <w:r>
        <w:rPr>
          <w:rFonts w:ascii="Metropolis" w:eastAsia="Metropolis" w:hAnsi="Metropolis" w:cs="Metropolis"/>
          <w:color w:val="000000"/>
        </w:rPr>
        <w:t xml:space="preserve">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AC010001"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no </w:t>
      </w:r>
      <w:r>
        <w:rPr>
          <w:rFonts w:ascii="Metropolis" w:eastAsia="Metropolis" w:hAnsi="Metropolis" w:cs="Metropolis"/>
          <w:b/>
        </w:rPr>
        <w:t>Quadro 13-1</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13-2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EA0C7F5" w14:textId="77777777" w:rsidR="0059200B" w:rsidRDefault="0059200B">
      <w:pPr>
        <w:spacing w:after="0" w:line="360" w:lineRule="auto"/>
        <w:jc w:val="both"/>
        <w:rPr>
          <w:rFonts w:ascii="Metropolis" w:eastAsia="Metropolis" w:hAnsi="Metropolis" w:cs="Metropolis"/>
        </w:rPr>
      </w:pPr>
    </w:p>
    <w:p w14:paraId="3923D5DA"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13-1</w:t>
      </w:r>
      <w:r>
        <w:rPr>
          <w:rFonts w:ascii="Metropolis" w:eastAsia="Metropolis" w:hAnsi="Metropolis" w:cs="Metropolis"/>
          <w:color w:val="000000"/>
          <w:sz w:val="20"/>
          <w:szCs w:val="20"/>
        </w:rPr>
        <w:t xml:space="preserve">: Preço</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34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SERVIÇO</w:t>
            </w:r>
          </w:p>
        </w:tc>
        <w:tc>
          <w:tcPr>
            <w:tcW w:w="3402"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3402" w:type="dxa"/>
            <w:vAlign w:val="center"/>
          </w:tcPr>
          <w:p w14:paraId="29D2D447" w14:textId="77777777" w:rsidR="0059200B" w:rsidRDefault="0059200B">
            <w:pPr>
              <w:spacing w:after="0"/>
              <w:jc w:val="center"/>
              <w:rPr>
                <w:rFonts w:ascii="Metropolis" w:eastAsia="Metropolis" w:hAnsi="Metropolis" w:cs="Metropolis"/>
                <w:sz w:val="20"/>
                <w:szCs w:val="20"/>
              </w:rPr>
            </w:pPr>
          </w:p>
        </w:tc>
      </w:tr>
    </w:tbl>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34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3402"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 DO ITEM</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3402" w:type="dxa"/>
            <w:vAlign w:val="center"/>
          </w:tcPr>
          <w:p w14:paraId="29D2D447"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4542" w:type="dxa"/>
            <w:vAlign w:val="center"/>
          </w:tcPr>
          <w:p w14:paraId="063AADF1" w14:textId="77777777" w:rsidR="0059200B" w:rsidRDefault="0059200B">
            <w:pPr>
              <w:spacing w:after="0"/>
              <w:rPr>
                <w:rFonts w:ascii="Metropolis" w:eastAsia="Metropolis" w:hAnsi="Metropolis" w:cs="Metropolis"/>
                <w:sz w:val="20"/>
                <w:szCs w:val="20"/>
              </w:rPr>
            </w:pPr>
          </w:p>
        </w:tc>
        <w:tc>
          <w:tcPr>
            <w:tcW w:w="3402" w:type="dxa"/>
            <w:vAlign w:val="center"/>
          </w:tcPr>
          <w:p w14:paraId="142FB831"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4542" w:type="dxa"/>
            <w:vAlign w:val="center"/>
          </w:tcPr>
          <w:p w14:paraId="5F0D3C0F" w14:textId="77777777" w:rsidR="0059200B" w:rsidRDefault="0059200B">
            <w:pPr>
              <w:spacing w:after="0"/>
              <w:rPr>
                <w:rFonts w:ascii="Metropolis" w:eastAsia="Metropolis" w:hAnsi="Metropolis" w:cs="Metropolis"/>
                <w:sz w:val="20"/>
                <w:szCs w:val="20"/>
              </w:rPr>
            </w:pPr>
          </w:p>
        </w:tc>
        <w:tc>
          <w:tcPr>
            <w:tcW w:w="3402" w:type="dxa"/>
            <w:vAlign w:val="center"/>
          </w:tcPr>
          <w:p w14:paraId="19C5F02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4542" w:type="dxa"/>
            <w:vAlign w:val="center"/>
          </w:tcPr>
          <w:p w14:paraId="4463F372" w14:textId="77777777" w:rsidR="0059200B" w:rsidRDefault="0059200B">
            <w:pPr>
              <w:spacing w:after="0"/>
              <w:rPr>
                <w:rFonts w:ascii="Metropolis" w:eastAsia="Metropolis" w:hAnsi="Metropolis" w:cs="Metropolis"/>
                <w:sz w:val="20"/>
                <w:szCs w:val="20"/>
              </w:rPr>
            </w:pPr>
          </w:p>
        </w:tc>
        <w:tc>
          <w:tcPr>
            <w:tcW w:w="3402" w:type="dxa"/>
            <w:vAlign w:val="center"/>
          </w:tcPr>
          <w:p w14:paraId="497F429E"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45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45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45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45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45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r>
    </w:tbl>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preços deverão ser corrigidos anualmente pelo IGP-M ou IPCA, o que tiver melhor desempenho.</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CNAE Principal da </w:t>
      </w:r>
      <w:r>
        <w:rPr>
          <w:rFonts w:ascii="Metropolis" w:eastAsia="Metropolis" w:hAnsi="Metropolis" w:cs="Metropolis"/>
          <w:color w:val="000000"/>
          <w:b/>
        </w:rPr>
        <w:t>PAPYRUS</w:t>
      </w:r>
      <w:r>
        <w:rPr>
          <w:rFonts w:ascii="Metropolis" w:eastAsia="Metropolis" w:hAnsi="Metropolis" w:cs="Metropolis"/>
          <w:color w:val="000000"/>
        </w:rPr>
        <w:t xml:space="preserve"> é: 74.90-1-99 – Outras atividades profissionais, científicas e técnicas não especificadas anteriormente.</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De acordo com a Lei Complementar 116/2003, as notas fiscais serão emitidas para o código 17.01 que se refere ao serviço de “Assessoria ou consultoria de qualquer natureza, análise, pesquisa e fornecimento de dados”.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Impostos Aplicáveis: IR 4,8%, CSLL 2,88%, PIS 0,65%, COFINS 3%, ISS 3% (tributado em Lauro de Freitas).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pagamentos deverão ser realizados em até 30 dias após emissão da Nota Fiscal (NF).</w:t>
      </w:r>
    </w:p>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1504950</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18.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1504316</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18.45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3841115</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3841115</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 Id="rId20"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