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(71) 99320-0222</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referido prazo poderá ter alterações mediante alinhamento formal entre CONTRATANTE e CONTRATADA. Ressalta-se que a CONTRATADA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11-1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11-1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