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15"/>
        <w:gridCol w:w="1179"/>
      </w:tblGrid>
      <w:tr w:rsidR="0059200B" w14:paraId="52C60DB3" w14:textId="77777777">
        <w:trPr>
          <w:trHeight w:val="288"/>
          <w:tblHeader/>
        </w:trPr>
        <w:tc>
          <w:tcPr>
            <w:tcW w:w="731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731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731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731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731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731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731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731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padronização de todos os documentos estará de acordo com a numeração e formatação padrão dos documentos, conforme exigidos pelo órgão ambiental, estarão enquadrados nos formatos dos pacotes da Microsoft Office (.doc, .xls, .ppt), ESRI (.shp, .dbf), AutoCAD (.dwg, .dxf) e imagens (.jpeg).</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7.1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7.2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8-1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8-1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2177"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64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5"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949"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CONTRATANTE e </w:t>
      </w:r>
      <w:r>
        <w:rPr>
          <w:rFonts w:ascii="Metropolis" w:eastAsia="Metropolis" w:hAnsi="Metropolis" w:cs="Metropolis"/>
          <w:color w:val="000000"/>
          <w:b/>
        </w:rPr>
        <w:t>PAPYRUS</w:t>
      </w:r>
      <w:r>
        <w:rPr>
          <w:rFonts w:ascii="Metropolis" w:eastAsia="Metropolis" w:hAnsi="Metropolis" w:cs="Metropolis"/>
          <w:color w:val="000000"/>
        </w:rPr>
        <w:t xml:space="preserve">. Ressalta-se que a </w:t>
      </w:r>
      <w:r>
        <w:rPr>
          <w:rFonts w:ascii="Metropolis" w:eastAsia="Metropolis" w:hAnsi="Metropolis" w:cs="Metropolis"/>
          <w:color w:val="000000"/>
          <w:b/>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é de </w:t>
      </w:r>
      <w:r>
        <w:rPr>
          <w:rFonts w:ascii="Metropolis" w:eastAsia="Metropolis" w:hAnsi="Metropolis" w:cs="Metropolis"/>
          <w:b/>
        </w:rPr>
        <w:t xml:space="preserve">{{PRECO_TOTAL}}</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11-1</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11-1</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1701"/>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R$</w:t>
            </w:r>
          </w:p>
        </w:tc>
        <w:tc>
          <w:tcPr>
            <w:tcW w:w="1701" w:type="dxa"/>
            <w:vAlign w:val="center"/>
          </w:tcPr>
          <w:p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DATA</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color w:val="000000"/>
          <w:b/>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