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5450"/>
        <w:gridCol w:w="1791"/>
      </w:tblGrid>
      <w:tr w:rsidR="0059200B" w:rsidRPr="00E21F5C" w14:paraId="4AB669A3" w14:textId="77777777">
        <w:trPr>
          <w:jc w:val="center"/>
        </w:trPr>
        <w:tc>
          <w:tcPr>
            <w:tcW w:w="8494"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5450"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5450"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5450"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5450"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5450"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5450" w:type="dxa"/>
          </w:tcPr>
          <w:p w14:paraId="1AC7A46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5450" w:type="dxa"/>
          </w:tcPr>
          <w:p w14:paraId="21F41755"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5450" w:type="dxa"/>
          </w:tcPr>
          <w:p w14:paraId="350C1079"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5450" w:type="dxa"/>
          </w:tcPr>
          <w:p w14:paraId="319BCD9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5450" w:type="dxa"/>
          </w:tcPr>
          <w:p w14:paraId="4139ACD3"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5450" w:type="dxa"/>
          </w:tcPr>
          <w:p w14:paraId="389F519F"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5450" w:type="dxa"/>
            <w:tcBorders>
              <w:bottom w:val="single" w:sz="18" w:space="0" w:color="000000"/>
            </w:tcBorders>
          </w:tcPr>
          <w:p w14:paraId="4B5E0A0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{{REF_LINHA}}</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sz w:val="20"/>
          <w:szCs w:val="20"/>
        </w:rPr>
        <w:t>Quadro 6-1:</w:t>
      </w:r>
      <w:r>
        <w:rPr>
          <w:rFonts w:ascii="Metropolis" w:eastAsia="Metropolis" w:hAnsi="Metropolis" w:cs="Metropolis"/>
          <w:sz w:val="20"/>
          <w:szCs w:val="20"/>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15"/>
        <w:gridCol w:w="1179"/>
      </w:tblGrid>
      <w:tr w:rsidR="0059200B" w14:paraId="52C60DB3" w14:textId="77777777">
        <w:trPr>
          <w:trHeight w:val="288"/>
          <w:tblHeader/>
        </w:trPr>
        <w:tc>
          <w:tcPr>
            <w:tcW w:w="7315"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179"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7315"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179"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7315"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179"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7315"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179"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7315"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179"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7315"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179"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7315"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179"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7315"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179"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padronização de todos os documentos estará de acordo com a numeração e formatação padrão dos documentos, conforme exigidos pelo órgão ambiental, estarão enquadrados nos formatos dos pacotes da Microsoft Office (.doc, .xls, .ppt), ESRI (.shp, .dbf), AutoCAD (.dwg, .dxf) e imagens (.jpeg).</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7.1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1"/>
          <w:numId w:val="2"/>
        </w:numPr>
        <w:spacing w:after="0" w:line="360" w:lineRule="auto"/>
        <w:ind w:left="0" w:firstLine="0"/>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 xml:space="preserve">Assumir a responsabilidade por quaisquer ajustes/complementações dos relatórios elaborados pela </w:t>
      </w:r>
      <w:r>
        <w:rPr>
          <w:rFonts w:ascii="Metropolis" w:eastAsia="Metropolis" w:hAnsi="Metropolis" w:cs="Metropolis"/>
          <w:b/>
        </w:rPr>
        <w:t>PAPYRUS</w:t>
      </w:r>
      <w:r>
        <w:rPr>
          <w:rFonts w:ascii="Metropolis" w:eastAsia="Metropolis" w:hAnsi="Metropolis" w:cs="Metropolis"/>
        </w:rPr>
        <w:t xml:space="preserve">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0DBE210"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{{OBRIGACOES_PAPYRUS_ADICIONAIS}}</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7.2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38D36A7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{{OBRIGACOES_CONTRATANTE_ADICIONAIS}}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membros da equipe estão descritos no </w:t>
      </w:r>
      <w:r>
        <w:rPr>
          <w:rFonts w:ascii="Metropolis" w:eastAsia="Metropolis" w:hAnsi="Metropolis" w:cs="Metropolis"/>
          <w:b/>
          <w:color w:val="000000"/>
        </w:rPr>
        <w:t>Quadro 8-1</w:t>
      </w:r>
      <w:r>
        <w:rPr>
          <w:rFonts w:ascii="Metropolis" w:eastAsia="Metropolis" w:hAnsi="Metropolis" w:cs="Metropolis"/>
          <w:color w:val="00000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8-1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trPr>
          <w:jc w:val="center"/>
        </w:trPr>
        <w:tc>
          <w:tcPr>
            <w:tcW w:w="2177"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643"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725"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2949"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referido prazo poderá ter alterações mediante alinhamento formal entre CONTRATANTE e </w:t>
      </w:r>
      <w:r>
        <w:rPr>
          <w:rFonts w:ascii="Metropolis" w:eastAsia="Metropolis" w:hAnsi="Metropolis" w:cs="Metropolis"/>
          <w:color w:val="000000"/>
          <w:b/>
        </w:rPr>
        <w:t>PAPYRUS</w:t>
      </w:r>
      <w:r>
        <w:rPr>
          <w:rFonts w:ascii="Metropolis" w:eastAsia="Metropolis" w:hAnsi="Metropolis" w:cs="Metropolis"/>
          <w:color w:val="000000"/>
        </w:rPr>
        <w:t xml:space="preserve">. Ressalta-se que a </w:t>
      </w:r>
      <w:r>
        <w:rPr>
          <w:rFonts w:ascii="Metropolis" w:eastAsia="Metropolis" w:hAnsi="Metropolis" w:cs="Metropolis"/>
          <w:color w:val="000000"/>
          <w:b/>
        </w:rPr>
        <w:t>PAPYRUS</w:t>
      </w:r>
      <w:r>
        <w:rPr>
          <w:rFonts w:ascii="Metropolis" w:eastAsia="Metropolis" w:hAnsi="Metropolis" w:cs="Metropolis"/>
          <w:color w:val="000000"/>
        </w:rPr>
        <w:t xml:space="preserve">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AC010001"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1"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1CE00002"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1CE00003"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1CE00004"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1CE00006"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1CE00007"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1CE00008"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1CE00009" w14:textId="77777777" w:rsidR="0059200B" w:rsidRDefault="0059200B">
      <w:pPr>
        <w:spacing w:after="0" w:line="360" w:lineRule="auto"/>
        <w:rPr>
          <w:rFonts w:ascii="Metropolis" w:eastAsia="Metropolis" w:hAnsi="Metropolis" w:cs="Metropolis"/>
        </w:rPr>
      </w:pPr>
    </w:p>
    <w:p w14:paraId="1CE0000A" w14:textId="77777777" w:rsidR="0059200B" w:rsidRDefault="0059200B">
      <w:pPr>
        <w:spacing w:after="0" w:line="360" w:lineRule="auto"/>
        <w:rPr>
          <w:rFonts w:ascii="Metropolis" w:eastAsia="Metropolis" w:hAnsi="Metropolis" w:cs="Metropolis"/>
        </w:rPr>
      </w:pPr>
    </w:p>
    <w:p w14:paraId="1CE0000B" w14:textId="77777777" w:rsidR="0059200B" w:rsidRDefault="0059200B">
      <w:pPr>
        <w:spacing w:after="0" w:line="360" w:lineRule="auto"/>
        <w:rPr>
          <w:rFonts w:ascii="Metropolis" w:eastAsia="Metropolis" w:hAnsi="Metropolis" w:cs="Metropolis"/>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é de </w:t>
      </w:r>
      <w:r>
        <w:rPr>
          <w:rFonts w:ascii="Metropolis" w:eastAsia="Metropolis" w:hAnsi="Metropolis" w:cs="Metropolis"/>
          <w:b/>
        </w:rPr>
        <w:t xml:space="preserve">{{PRECO_TOTAL}}</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11-1</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EA0C7F5" w14:textId="77777777" w:rsidR="0059200B" w:rsidRDefault="0059200B">
      <w:pPr>
        <w:spacing w:after="0" w:line="360" w:lineRule="auto"/>
        <w:jc w:val="both"/>
        <w:rPr>
          <w:rFonts w:ascii="Metropolis" w:eastAsia="Metropolis" w:hAnsi="Metropolis" w:cs="Metropolis"/>
        </w:rPr>
      </w:pPr>
    </w:p>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11-1</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1701"/>
        <w:gridCol w:w="1701"/>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1701"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R$</w:t>
            </w:r>
          </w:p>
        </w:tc>
        <w:tc>
          <w:tcPr>
            <w:tcW w:w="1701" w:type="dxa"/>
            <w:vAlign w:val="center"/>
          </w:tcPr>
          <w:p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DATA</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1701" w:type="dxa"/>
            <w:vAlign w:val="center"/>
          </w:tcPr>
          <w:p w14:paraId="29D2D447"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4542" w:type="dxa"/>
            <w:vAlign w:val="center"/>
          </w:tcPr>
          <w:p w14:paraId="063AADF1" w14:textId="77777777" w:rsidR="0059200B" w:rsidRDefault="0059200B">
            <w:pPr>
              <w:spacing w:after="0"/>
              <w:rPr>
                <w:rFonts w:ascii="Metropolis" w:eastAsia="Metropolis" w:hAnsi="Metropolis" w:cs="Metropolis"/>
                <w:sz w:val="20"/>
                <w:szCs w:val="20"/>
              </w:rPr>
            </w:pPr>
          </w:p>
        </w:tc>
        <w:tc>
          <w:tcPr>
            <w:tcW w:w="1701" w:type="dxa"/>
            <w:vAlign w:val="center"/>
          </w:tcPr>
          <w:p w14:paraId="142FB831"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4542" w:type="dxa"/>
            <w:vAlign w:val="center"/>
          </w:tcPr>
          <w:p w14:paraId="5F0D3C0F" w14:textId="77777777" w:rsidR="0059200B" w:rsidRDefault="0059200B">
            <w:pPr>
              <w:spacing w:after="0"/>
              <w:rPr>
                <w:rFonts w:ascii="Metropolis" w:eastAsia="Metropolis" w:hAnsi="Metropolis" w:cs="Metropolis"/>
                <w:sz w:val="20"/>
                <w:szCs w:val="20"/>
              </w:rPr>
            </w:pPr>
          </w:p>
        </w:tc>
        <w:tc>
          <w:tcPr>
            <w:tcW w:w="1701" w:type="dxa"/>
            <w:vAlign w:val="center"/>
          </w:tcPr>
          <w:p w14:paraId="19C5F028"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4542" w:type="dxa"/>
            <w:vAlign w:val="center"/>
          </w:tcPr>
          <w:p w14:paraId="4463F372" w14:textId="77777777" w:rsidR="0059200B" w:rsidRDefault="0059200B">
            <w:pPr>
              <w:spacing w:after="0"/>
              <w:rPr>
                <w:rFonts w:ascii="Metropolis" w:eastAsia="Metropolis" w:hAnsi="Metropolis" w:cs="Metropolis"/>
                <w:sz w:val="20"/>
                <w:szCs w:val="20"/>
              </w:rPr>
            </w:pPr>
          </w:p>
        </w:tc>
        <w:tc>
          <w:tcPr>
            <w:tcW w:w="1701" w:type="dxa"/>
            <w:vAlign w:val="center"/>
          </w:tcPr>
          <w:p w14:paraId="497F429E"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45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45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45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45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45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bl>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preços deverão ser corrigidos anualmente pelo IGP-M ou IPCA, o que tiver melhor desempenho.</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CNAE Principal da </w:t>
      </w:r>
      <w:r>
        <w:rPr>
          <w:rFonts w:ascii="Metropolis" w:eastAsia="Metropolis" w:hAnsi="Metropolis" w:cs="Metropolis"/>
          <w:color w:val="000000"/>
          <w:b/>
        </w:rPr>
        <w:t>PAPYRUS</w:t>
      </w:r>
      <w:r>
        <w:rPr>
          <w:rFonts w:ascii="Metropolis" w:eastAsia="Metropolis" w:hAnsi="Metropolis" w:cs="Metropolis"/>
          <w:color w:val="000000"/>
        </w:rPr>
        <w:t xml:space="preserve"> é: 74.90-1-99 – Outras atividades profissionais, científicas e técnicas não especificadas anteriormente.</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De acordo com a Lei Complementar 116/2003, as notas fiscais serão emitidas para o código 17.01 que se refere ao serviço de “Assessoria ou consultoria de qualquer natureza, análise, pesquisa e fornecimento de dados”.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Impostos Aplicáveis: IR 4,8%, CSLL 2,88%, PIS 0,65%, COFINS 3%, ISS 3% (tributado em Lauro de Freitas).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pagamentos deverão ser realizados em até 30 dias após emissão da Nota Fiscal (NF).</w:t>
      </w:r>
    </w:p>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headerReference w:type="first" r:id="rId19"/>
      <w:footerReference w:type="default" r:id="rId16"/>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 Id="rId19"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