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(71) 99320-0222</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8-1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referido prazo poderá ter alterações mediante alinhamento formal entre CONTRATANTE e CONTRATADA. Ressalta-se que a CONTRATADA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11-1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11-1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