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5727700" cy="4480989"/>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5727700" cy="4582160"/>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5727700" cy="3579812"/>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4572000" cy="3657600"/>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1"/>
    <w:bookmarkStart w:id="52"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2"/>
    <w:bookmarkStart w:id="53"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81"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5">
        <w:r>
          <w:rPr>
            <w:rStyle w:val="Hyperlink"/>
          </w:rPr>
          <w:t xml:space="preserve">https://doi.org/10.3897/neobiota.97.139760</w:t>
        </w:r>
      </w:hyperlink>
    </w:p>
    <w:bookmarkEnd w:id="166"/>
    <w:bookmarkStart w:id="168"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7">
        <w:r>
          <w:rPr>
            <w:rStyle w:val="Hyperlink"/>
          </w:rPr>
          <w:t xml:space="preserve">https://doi.org/10.1080/10236244.2010.487301</w:t>
        </w:r>
      </w:hyperlink>
    </w:p>
    <w:bookmarkEnd w:id="168"/>
    <w:bookmarkStart w:id="170" w:name="ref-Stein1976"/>
    <w:p>
      <w:pPr>
        <w:pStyle w:val="Bibliography"/>
      </w:pPr>
      <w:r>
        <w:t xml:space="preserve">Stein RA, Magnuson JJ (1976) Behavioral response of crayfish to a fish predator. Ecology 57:751–761.</w:t>
      </w:r>
      <w:r>
        <w:t xml:space="preserve"> </w:t>
      </w:r>
      <w:hyperlink r:id="rId169">
        <w:r>
          <w:rPr>
            <w:rStyle w:val="Hyperlink"/>
          </w:rPr>
          <w:t xml:space="preserve">https://doi.org/10.2307/1936188</w:t>
        </w:r>
      </w:hyperlink>
    </w:p>
    <w:bookmarkEnd w:id="170"/>
    <w:bookmarkStart w:id="172" w:name="ref-Usio2004"/>
    <w:p>
      <w:pPr>
        <w:pStyle w:val="Bibliography"/>
      </w:pPr>
      <w:r>
        <w:t xml:space="preserve">Usio N, Townsend CR (2004) Roles of crayfish: Consequences of predation and bioturbation for stream invertebrates. Ecology 85:807–822.</w:t>
      </w:r>
      <w:r>
        <w:t xml:space="preserve"> </w:t>
      </w:r>
      <w:hyperlink r:id="rId171">
        <w:r>
          <w:rPr>
            <w:rStyle w:val="Hyperlink"/>
          </w:rPr>
          <w:t xml:space="preserve">https://doi.org/10.1890/02-0618</w:t>
        </w:r>
      </w:hyperlink>
    </w:p>
    <w:bookmarkEnd w:id="172"/>
    <w:bookmarkStart w:id="174"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3">
        <w:r>
          <w:rPr>
            <w:rStyle w:val="Hyperlink"/>
          </w:rPr>
          <w:t xml:space="preserve">https://doi.org/10.1139/cjz-2019-0089</w:t>
        </w:r>
      </w:hyperlink>
    </w:p>
    <w:bookmarkEnd w:id="174"/>
    <w:bookmarkStart w:id="176"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5">
        <w:r>
          <w:rPr>
            <w:rStyle w:val="Hyperlink"/>
          </w:rPr>
          <w:t xml:space="preserve">https://doi.org/10.1002/ecs2.3188</w:t>
        </w:r>
      </w:hyperlink>
    </w:p>
    <w:bookmarkEnd w:id="176"/>
    <w:bookmarkStart w:id="178"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7">
        <w:r>
          <w:rPr>
            <w:rStyle w:val="Hyperlink"/>
          </w:rPr>
          <w:t xml:space="preserve">https://doi.org/10.1080/03949370.2010.505580</w:t>
        </w:r>
      </w:hyperlink>
    </w:p>
    <w:bookmarkEnd w:id="178"/>
    <w:bookmarkStart w:id="180"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9">
        <w:r>
          <w:rPr>
            <w:rStyle w:val="Hyperlink"/>
          </w:rPr>
          <w:t xml:space="preserve">https://doi.org/10.3390/ani14081147</w:t>
        </w:r>
      </w:hyperlink>
    </w:p>
    <w:bookmarkEnd w:id="180"/>
    <w:bookmarkEnd w:id="18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2026-08-17T03:29:15Z</dcterms:created>
  <dcterms:modified xsi:type="dcterms:W3CDTF">2026-08-17T03:29:15Z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