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40.png" ContentType="image/png"/>
  <Override PartName="/word/media/rId5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2026-05-29</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16"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 [Sih2010; Carthey2014].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&amp;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Freshwater crayfish often live in turbid flowing water or in the dark depths of lakes where they rely primarily on chemical cues (kairomones) rather than visual cues to detect and respond to predatory fish</w:t>
      </w:r>
      <w:r>
        <w:t xml:space="preserve"> </w:t>
      </w:r>
      <w:r>
        <w:t xml:space="preserve">(Blake &amp; Hart, 1993; Brönmark &amp; Hansson, 2012; Wood &amp; Moore, 2020b)</w:t>
      </w:r>
      <w:r>
        <w:t xml:space="preserve">. These kairomones carry signals via excreta, mucus, or skin, that crayfish use to assess predator risk, responding more strongly to predators that have consumed conspecifics and to alarm cues released when prey is injured or killed</w:t>
      </w:r>
      <w:r>
        <w:t xml:space="preserve"> </w:t>
      </w:r>
      <w:r>
        <w:t xml:space="preserve">(Beattie &amp; Moore, 2018; Gherardi et al., 2011)</w:t>
      </w:r>
      <w:r>
        <w:t xml:space="preserve">. Exposure to kairomones from predatory fish can generate NCEs, including reduced growth and reduced activity levels in crayfish</w:t>
      </w:r>
      <w:r>
        <w:t xml:space="preserve"> </w:t>
      </w:r>
      <w:r>
        <w:t xml:space="preserve">(Adams, 2007; Ramberg-Pihl &amp;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taonga (‘culturally treasured’) species for Māori, the indigenous people of Aotearoa and is valued as a food resource</w:t>
      </w:r>
      <w:r>
        <w:t xml:space="preserve"> </w:t>
      </w:r>
      <w:r>
        <w:t xml:space="preserve">(Kusabs &amp;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&amp; Townsend, 2004)</w:t>
      </w:r>
      <w:r>
        <w:t xml:space="preserve">. Currently kōura are threatened by multiple interacting stressors, including climate change, water-quality degradation and invasive species, contributing to widespread population declines</w:t>
      </w:r>
      <w:r>
        <w:t xml:space="preserve"> </w:t>
      </w:r>
      <w:r>
        <w:t xml:space="preserve">(Kusabs et al., n.d.; Lee et al., 2025)</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(L. A. Brown, 2009; MacNeil et al., 2025)</w:t>
      </w:r>
      <w:r>
        <w:t xml:space="preserve">. Reflecting this history, kōura respond more strongly to eel kairomones than to those of introduced non-native brown trout (</w:t>
      </w:r>
      <w:r>
        <w:rPr>
          <w:i/>
          <w:iCs/>
        </w:rPr>
        <w:t xml:space="preserve">Salmo trutta</w:t>
      </w:r>
      <w:r>
        <w:t xml:space="preserve">), even when sourced from streams where both predators were present, suggesting that co-evolutionary history, rather than individual experience alone, shaped kōura predator recognition</w:t>
      </w:r>
      <w:r>
        <w:t xml:space="preserve"> </w:t>
      </w:r>
      <w:r>
        <w:t xml:space="preserve">(Shave et al., 1994)</w:t>
      </w:r>
      <w:r>
        <w:t xml:space="preserve">. One of the invasive species that threatens kōura is the non-native brown bullhead catfish (</w:t>
      </w:r>
      <w:r>
        <w:rPr>
          <w:i/>
          <w:iCs/>
        </w:rPr>
        <w:t xml:space="preserve">Ameiurus nebulosus</w:t>
      </w:r>
      <w:r>
        <w:t xml:space="preserve">) (hereafter catfish) which was introduced to Aotearoa in 1877 and has since spread through many waterways on the North Island</w:t>
      </w:r>
      <w:r>
        <w:t xml:space="preserve"> </w:t>
      </w:r>
      <w:r>
        <w:t xml:space="preserve">(Barnes &amp; Hicks, 2003; Dedual, 2019; McDowall, 1990)</w:t>
      </w:r>
      <w:r>
        <w:t xml:space="preserve">. For example, a decade ago catfish were confirmed present in two large volcanic lakes, Lakes Rotoiti and Rotorua in the Bay of Plenty region, which also contain kōura</w:t>
      </w:r>
      <w:r>
        <w:t xml:space="preserve"> </w:t>
      </w:r>
      <w:r>
        <w:t xml:space="preserve">(Lee et al., 2025)</w:t>
      </w:r>
      <w:r>
        <w:t xml:space="preserve">. The catfish is highly tolerant of a wide range of environmental conditions</w:t>
      </w:r>
      <w:r>
        <w:t xml:space="preserve"> </w:t>
      </w:r>
      <w:r>
        <w:t xml:space="preserve">(Lee et al., 2025; Scott &amp; Crossman, 1973)</w:t>
      </w:r>
      <w:r>
        <w:t xml:space="preserve"> </w:t>
      </w:r>
      <w:r>
        <w:t xml:space="preserve">and, due to its broad gape and opportunistic feeding behaviour, is capable of consuming a wide variety of native aquatic organisms</w:t>
      </w:r>
      <w:r>
        <w:t xml:space="preserve"> </w:t>
      </w:r>
      <w:r>
        <w:t xml:space="preserve">(Dedual, 2019; Scott &amp; Crossman, 1973)</w:t>
      </w:r>
      <w:r>
        <w:t xml:space="preserve">. In Aotearoa, which originally has no native fish remotely similar to a catfish the recent and ongoing spread of catfish into North Island waterways represents a truly novel predation threat to which kōura may lack adequate behavioural or sensory adaptations.</w:t>
      </w:r>
    </w:p>
    <w:p>
      <w:pPr>
        <w:pStyle w:val="BodyText"/>
      </w:pPr>
      <w:r>
        <w:t xml:space="preserve">In this study, controlled laboratory experiments were used to test whether novel vs native predator presence and associated chemical cues induced changes in NCEs (refuge-seeking and feeding behaviour) by kōura. Our experiments were designed to test which of two competing hypotheses best describes kōura behavioural responses to native and invasive predator cues. 1. Kōura would show more shelter-seeking behaviour when presented with eels compared to catfish, due to naivety of the kōura towards a novel predator such as catfish</w:t>
      </w:r>
      <w:r>
        <w:t xml:space="preserve"> </w:t>
      </w:r>
      <w:r>
        <w:t xml:space="preserve">(Carthey &amp; Banks, 2014)</w:t>
      </w:r>
      <w:r>
        <w:t xml:space="preserve">. Or 2, kōura would respond more strongly to unfamiliar catfish cues than to the co-evolved eel, consistent with a generalised fear response to a novel predator type</w:t>
      </w:r>
      <w:r>
        <w:t xml:space="preserve"> </w:t>
      </w:r>
      <w:r>
        <w:t xml:space="preserve">(Sih et al., 2023)</w:t>
      </w:r>
      <w:r>
        <w:t xml:space="preserve">. Further, we expected that light regime would have an influence on shelter seeking behaviour of kōura, which like many crayfish, are most active nocturnally</w:t>
      </w:r>
      <w:r>
        <w:t xml:space="preserve"> </w:t>
      </w:r>
      <w:r>
        <w:t xml:space="preserve">(Devcich, 1979; Johnson et al., 2014)</w:t>
      </w:r>
      <w:r>
        <w:t xml:space="preserve">. We also predicted that kōura feeding would be more inhibited when exposed to eel kairomones than to those of the catfish, reflecting the same co-evolutionary recognition expected to drive greater refuge use in response to eels. The overall aim of the refuge and feeding behaviour studies were to contribute to understanding the behavioural mechanisms underlying kōura vulnerability to invasive catfish and how these may differ from and be additional to, those already manifested in the presence of native predators such as eels.</w:t>
      </w:r>
    </w:p>
    <w:bookmarkEnd w:id="16"/>
    <w:bookmarkStart w:id="20" w:name="materials-and-methods"/>
    <w:p>
      <w:pPr>
        <w:pStyle w:val="Heading1"/>
      </w:pPr>
      <w:r>
        <w:t xml:space="preserve">Materials and Methods</w:t>
      </w:r>
    </w:p>
    <w:bookmarkStart w:id="17" w:name="animal-collection-and-preparation"/>
    <w:p>
      <w:pPr>
        <w:pStyle w:val="Heading2"/>
      </w:pPr>
      <w:r>
        <w:t xml:space="preserve">Animal collection and preparation</w:t>
      </w:r>
    </w:p>
    <w:p>
      <w:pPr>
        <w:pStyle w:val="FirstParagraph"/>
      </w:pPr>
      <w:r>
        <w:t xml:space="preserve">In mid-August 2025, 92 kōura were sourced from two catfish-free lakes, (Ōkāreka and Tikitapu (Blue Lake)) in the Rotorua Te Arawa Lakes area, Bay of Plenty region of the North Island. Eels are present in most of the rivers and lakes of Aotearoa (McDowall 1990) and may be present in both lakes, but scarce.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treasured) species, permission had to be sought from relevant iwi (Māori tribal unit), as well as relevant government. All experimental procedures were conducted under University of Waikato animal ethics committee approval (protocol number: 1232; see Ethical Approval section).</w:t>
      </w:r>
    </w:p>
    <w:bookmarkEnd w:id="17"/>
    <w:bookmarkStart w:id="18"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(Figler et al., 2005; Stein &amp; Magnuson, 1976)</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both these size ranges being able to consume adult kōura</w:t>
      </w:r>
      <w:r>
        <w:t xml:space="preserve"> </w:t>
      </w:r>
      <w:r>
        <w:t xml:space="preserve">(Barnes &amp; Hicks, 2003; Hicks, 1997;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compressed intervals around 60–65 minutes and 240–245 minutes were designed to capture immediate behavioural responses at the point of predator introduction and removal respectively.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our of total observations per period used as the response variable. Treatment (catfish, eel, control), light condition (light, dark), and period (before, during, after) were included as fixed effects. A beta-binomial distribution was used to account for overdispersion in the binomial proportion data. Nine candidate models were compared, differing in fixed effect structure (main effects only, two-way interactions, and full three-way interaction) and random effects inclusion (no random effects, tank identity, and tank plus experimental round as random intercepts), using the corrected Akaike Information Criterion (AICc), appropriate given the ratio of sample size to estimated parameters (n/k &lt; 40;</w:t>
      </w:r>
      <w:r>
        <w:t xml:space="preserve"> </w:t>
      </w:r>
      <w:r>
        <w:t xml:space="preserve">Burnham &amp; Anderson (2002)</w:t>
      </w:r>
      <w:r>
        <w:t xml:space="preserve">). The best-supported model included treatment, light condition, and period as fixed effects with no random intercept, indicating that variance among tanks and rounds did not improve model fit beyond the fixed effect’s structure. Model fit of the final model was assessed using DHARMa simulation-based residuals, including tests for overdispersion and zero-inflation</w:t>
      </w:r>
      <w:r>
        <w:t xml:space="preserve"> </w:t>
      </w:r>
      <w:r>
        <w:t xml:space="preserve">(</w:t>
      </w:r>
      <w:r>
        <w:t xml:space="preserve">Hartig et al.</w:t>
      </w:r>
      <w:r>
        <w:t xml:space="preserve">, 2024)</w:t>
      </w:r>
      <w:r>
        <w:t xml:space="preserve">. Marginal means and pairwise contrasts between factor levels were obtained using the emmeans package</w:t>
      </w:r>
      <w:r>
        <w:t xml:space="preserve"> </w:t>
      </w:r>
      <w:r>
        <w:t xml:space="preserve">(Lenth et al., 2026)</w:t>
      </w:r>
      <w:r>
        <w:t xml:space="preserve">. Spearman rank correlations with Bonferroni-adjusted p-values were also used to investigate potential relationships between kōura body size (OCL) and overall refuge use (all time intervals combined) in the three treatments.</w:t>
      </w:r>
    </w:p>
    <w:bookmarkEnd w:id="18"/>
    <w:bookmarkStart w:id="19"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Trial experiments showed these pellets remained intact for over 24 hours in tap water. In three rounds, a total of 46 male kōura were measured and weighed. Their mean (± SD) OCL was 27.93 mm (± 4.80), with a range of 20.48 to 40.88 mm, and the mean (± SD) wet weight of 15.83 g (± 8.99), ranging from 6.00 to 42.00 g. Each kōura was then placed individually in a tank. For each round kōura were starved for different periods (either 0, 3 or 4 days) prior to the feeding experiment to also investigate how starvation period influenced feeding motivation.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 Kōura feeding rate was analysed using a linear model with pellets consumed per gram wet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&amp;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9"/>
    <w:bookmarkEnd w:id="20"/>
    <w:bookmarkStart w:id="23" w:name="results"/>
    <w:p>
      <w:pPr>
        <w:pStyle w:val="Heading1"/>
      </w:pPr>
      <w:r>
        <w:t xml:space="preserve">Results</w:t>
      </w:r>
    </w:p>
    <w:bookmarkStart w:id="21"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stratified-ms">
        <w:r>
          <w:rPr>
            <w:rStyle w:val="Hyperlink"/>
          </w:rPr>
          <w:t xml:space="preserve">Figure 2</w:t>
        </w:r>
      </w:hyperlink>
      <w:r>
        <w:t xml:space="preserve">). Stratified analyses revealed that treatment effects on refuge use differed between light and dark conditions. Under light conditions, there were no significant differences in refuge use among the three treatments (</w:t>
      </w:r>
      <w:hyperlink w:anchor="tbl-emmeans-stratified">
        <w:r>
          <w:rPr>
            <w:rStyle w:val="Hyperlink"/>
          </w:rPr>
          <w:t xml:space="preserve">Table 1</w:t>
        </w:r>
      </w:hyperlink>
      <w:r>
        <w:t xml:space="preserve">). In contrast, under dark condition, kōura exposed to catfish used refuge significantly more than those exposed to eels (p = 0.004), with control treatment refuge use was intermediate (p = 0.083 vs catfish, p = 0.565 vs eel). Regarding experimental periods, refuge use differed significantly between periods in light conditions, with lower refuge use before predator introduction compared to after predator removal (p = 0.021). No significant period effects were observed in dark conditions. The combined model showed that light regime had a significant effect on refuge use (p =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rs = -0.09, p = 0.693, rs = 0.09, p = 0.680 and rs = 0.16, p =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w:t>
      </w:r>
      <w:r>
        <w:t xml:space="preserve"> </w:t>
      </w:r>
      <w:hyperlink w:anchor="fig-refuge-plot-ms">
        <w:r>
          <w:rPr>
            <w:rStyle w:val="Hyperlink"/>
          </w:rPr>
          <w:t xml:space="preserve">Figure 3</w:t>
        </w:r>
      </w:hyperlink>
      <w:r>
        <w:t xml:space="preserve">).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bookmarkEnd w:id="21"/>
    <w:bookmarkStart w:id="22" w:name="feeding-experiment-1"/>
    <w:p>
      <w:pPr>
        <w:pStyle w:val="Heading2"/>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 &lt;0.001; 4 days:</w:t>
      </w:r>
      <w:r>
        <w:t xml:space="preserve"> </w:t>
      </w:r>
      <w:r>
        <w:rPr>
          <w:i/>
          <w:iCs/>
        </w:rPr>
        <w:t xml:space="preserve">p</w:t>
      </w:r>
      <w:r>
        <w:t xml:space="preserve"> </w:t>
      </w:r>
      <w:r>
        <w:t xml:space="preserve">= 0.046;</w:t>
      </w:r>
      <w:r>
        <w:t xml:space="preserve"> </w:t>
      </w:r>
      <w:hyperlink w:anchor="fig-feeding-plot-ms">
        <w:r>
          <w:rPr>
            <w:rStyle w:val="Hyperlink"/>
          </w:rPr>
          <w:t xml:space="preserve">Figure 4</w:t>
        </w:r>
      </w:hyperlink>
      <w:r>
        <w:t xml:space="preserve">;</w:t>
      </w:r>
      <w:r>
        <w:t xml:space="preserve"> </w:t>
      </w:r>
      <w:hyperlink w:anchor="tbl-feeding-summary">
        <w:r>
          <w:rPr>
            <w:rStyle w:val="Hyperlink"/>
          </w:rPr>
          <w:t xml:space="preserve">Table 3</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(χ² = 2.3011,</w:t>
      </w:r>
      <w:r>
        <w:t xml:space="preserve"> </w:t>
      </w:r>
      <w:r>
        <w:rPr>
          <w:i/>
          <w:iCs/>
        </w:rPr>
        <w:t xml:space="preserve">p</w:t>
      </w:r>
      <w:r>
        <w:t xml:space="preserve"> </w:t>
      </w:r>
      <w:r>
        <w:t xml:space="preserve">= 0.3165).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2"/>
    <w:bookmarkEnd w:id="23"/>
    <w:bookmarkStart w:id="27" w:name="discussion"/>
    <w:p>
      <w:pPr>
        <w:pStyle w:val="Heading1"/>
      </w:pPr>
      <w:r>
        <w:t xml:space="preserve">Discussion</w:t>
      </w:r>
    </w:p>
    <w:p>
      <w:pPr>
        <w:pStyle w:val="FirstParagraph"/>
      </w:pPr>
      <w:r>
        <w:t xml:space="preserve">Prey modify their behaviour in response to predation risk, creating a ‘landscape’ of fear that affects foraging, movement, and habitat use independently of actual predation events</w:t>
      </w:r>
      <w:r>
        <w:t xml:space="preserve"> </w:t>
      </w:r>
      <w:r>
        <w:t xml:space="preserve">(Laundré et al., 2001)</w:t>
      </w:r>
      <w:r>
        <w:t xml:space="preserve">. However, until relatively recently, most ecological models still assumed that predator and prey populations interacted solely through predator-prey densities by killing and consuming prey despite it being evident that by forcing prey to adopt energetically costly defensive strategies, predators can also reduce prey densities through NCEs</w:t>
      </w:r>
      <w:r>
        <w:t xml:space="preserve"> </w:t>
      </w:r>
      <w:r>
        <w:t xml:space="preserve">(Preisser &amp; Bolnick, 2008)</w:t>
      </w:r>
      <w:r>
        <w:t xml:space="preserve"> </w:t>
      </w:r>
      <w:r>
        <w:t xml:space="preserve">Our study joins a number of recent studies (ie.,</w:t>
      </w:r>
      <w:r>
        <w:t xml:space="preserve"> </w:t>
      </w:r>
      <w:r>
        <w:t xml:space="preserve">(Sniegula et al., 2025)</w:t>
      </w:r>
      <w:r>
        <w:t xml:space="preserve">) showing invasive predators can generate stronger NCEs on native prey than native predators, which consequently have more profound far- reaching impacts on invaded ecosystems. Our study suggests the introduction of a novel predator effectively changes the prey’s fear landscape in ways that a co-evolved predator does not. Kōura are a keystone species in Aotearoa and an ecosystem engineer and so when a predator alters kōura behaviour, this in turn could affect resources or other species through non-consumptive pathways</w:t>
      </w:r>
      <w:r>
        <w:t xml:space="preserve"> </w:t>
      </w:r>
      <w:r>
        <w:t xml:space="preserve">(Peacor &amp; Werner, 2001)</w:t>
      </w:r>
      <w:r>
        <w:t xml:space="preserve">. Such trait-mediated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always show a failure to respond but can instead produce a generalised over-response consistent with the generalisation theory</w:t>
      </w:r>
      <w:r>
        <w:t xml:space="preserve"> </w:t>
      </w:r>
      <w:r>
        <w:t xml:space="preserve">(Ehlman et al., 2019; Sih et al., 2010)</w:t>
      </w:r>
      <w:r>
        <w:t xml:space="preserve">, which is important for predicting the ecological impacts of invasive species.</w:t>
      </w:r>
    </w:p>
    <w:bookmarkStart w:id="24" w:name="refuge-use"/>
    <w:p>
      <w:pPr>
        <w:pStyle w:val="Heading2"/>
      </w:pPr>
      <w:r>
        <w:t xml:space="preserve">Refuge use</w:t>
      </w:r>
    </w:p>
    <w:p>
      <w:pPr>
        <w:pStyle w:val="FirstParagraph"/>
      </w:pPr>
      <w:r>
        <w:t xml:space="preserve">Kōura demonstrated greater refuge-seeking behaviour when exposed to the novel catfish than to native eel. This result is notable because it contradicts the classic prey naivety hypothesis, which predicts that prey fail to respond to novel predators</w:t>
      </w:r>
      <w:r>
        <w:t xml:space="preserve"> </w:t>
      </w:r>
      <w:r>
        <w:t xml:space="preserve">(Carthey &amp; Banks, 2014)</w:t>
      </w:r>
      <w:r>
        <w:t xml:space="preserve">. Over-responses to novel predators are less commonly reported but are consistent with fear generalisation theory, whereby prior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&amp; Krebs, 1979; Lima &amp;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actual risk.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experimental evidence shows that shelter significantly reduces catfish predation on crayfish</w:t>
      </w:r>
      <w:r>
        <w:t xml:space="preserve"> </w:t>
      </w:r>
      <w:r>
        <w:t xml:space="preserve">(Adams, 2007; Zhao et al., 2024)</w:t>
      </w:r>
      <w:r>
        <w:t xml:space="preserve">, suggesting that enhancing or restoring habitat complexity in catfish-invaded lakes could mitigate both direct predation and fear-driven reductions in foraging, though direct field testing is needed.</w:t>
      </w:r>
    </w:p>
    <w:p>
      <w:pPr>
        <w:pStyle w:val="BodyText"/>
      </w:pPr>
      <w:r>
        <w:t xml:space="preserve">Before treatments were added, refuge use was similar across treatments but highly variable, reflecting substantial individual behavioural variation. The control treatment showed increasing refuge use over time, particularly under light conditions, which is unsurprising given that kōura are nocturnally adapted and need to remain hidden during daylight to avoid visual predators such as birds</w:t>
      </w:r>
      <w:r>
        <w:t xml:space="preserve"> </w:t>
      </w:r>
      <w:r>
        <w:t xml:space="preserve">(Devcich, 1979)</w:t>
      </w:r>
      <w:r>
        <w:t xml:space="preserve">. While neither predator treatment differed significantly from the control, this likely reflects the influence of light regime on baseline refuge use rather than a true absence of NCEs; under light conditions control refuge use approached that of the catfish treatment, while under dark conditions it more closely resembled the eel treatment, effectively inflating variance around the control mean. Despite this, the consistent pattern of catfish provoking greater refuge use than eels under both light and dark conditions supports a genuine difference in NCEs between novel and native predator exposure.</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&amp; Moore, 2020a)</w:t>
      </w:r>
      <w:r>
        <w:t xml:space="preserve">. This calibrated response makes ecological sense as longfin eels are the most widely distributed fish in Aotearoa’s freshwaters</w:t>
      </w:r>
      <w:r>
        <w:t xml:space="preserve"> </w:t>
      </w:r>
      <w:r>
        <w:t xml:space="preserve">(McDowall, 1990)</w:t>
      </w:r>
      <w:r>
        <w:t xml:space="preserve">, and a kōura living in constant fear of eels would have severely limited opportunity to forage. Co-evolutionary pressure may therefore have favoured a nuanced, context-dependent response to eels rather than a blanket avoidance strategy. This pattern was most pronounced in the dark conditions, where all three treatments began similarly but changed progressively over the course of the experiment. The catfish treatment steadily increased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&amp; Moore, 2020b)</w:t>
      </w:r>
      <w:r>
        <w:t xml:space="preserve">. Beyond predator recognition, the reduced refuge use observed in eel-exposed kōura may not simply reflect a lack of response, but could instead represent active escape-searching behaviour, kōura moving away from an area where they perceived themselves as vulnerable in the confined tank space, rather than retreating to a refuge that may offer limited protection against a predator capable of pursuing prey into confined spaces.</w:t>
      </w:r>
    </w:p>
    <w:bookmarkEnd w:id="24"/>
    <w:bookmarkStart w:id="25" w:name="feeding"/>
    <w:p>
      <w:pPr>
        <w:pStyle w:val="Heading2"/>
      </w:pPr>
      <w:r>
        <w:t xml:space="preserve">Feeding</w:t>
      </w:r>
    </w:p>
    <w:p>
      <w:pPr>
        <w:pStyle w:val="FirstParagraph"/>
      </w:pPr>
      <w:r>
        <w:t xml:space="preserve">NCEs are not a single process but emerge from the interaction between sensory ecology and environmental context, and the absence of a kairomone effect on feeding in this study likely reflects a combination of methodological constraints rather than an absence of NCEs on foraging behaviour. 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(G. E. 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and not replenished over 24 hours.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(Gherardi et al., 2011; Ramberg-Pihl &amp; Yurewicz, 2020; Stebbing et al., 2010)</w:t>
      </w:r>
      <w:r>
        <w:t xml:space="preserve">, and to kairomones from predators on a conspecifics diet</w:t>
      </w:r>
      <w:r>
        <w:t xml:space="preserve"> </w:t>
      </w:r>
      <w:r>
        <w:t xml:space="preserve">(Beattie &amp; Moore, 2018)</w:t>
      </w:r>
      <w:r>
        <w:t xml:space="preserve">. Fish predators in our experiments were kept for a prolonged period on the same diet as kōura, which may have further diminished or blunted the threatening nature of signals received from kairomones</w:t>
      </w:r>
      <w:r>
        <w:t xml:space="preserve"> </w:t>
      </w:r>
      <w:r>
        <w:t xml:space="preserve">(Smee &amp;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5"/>
    <w:bookmarkStart w:id="26" w:name="conclusions"/>
    <w:p>
      <w:pPr>
        <w:pStyle w:val="Heading2"/>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This study provides experimental evidence that the invasive brown bullhead catfish exerts stronger NCEs on the native freshwater crayfish kōura than the co-evolved native longfin eel. The heightened refuge-seeking response to catfish likely reflects a generalised antipredator response triggered by unfamiliar chemical and visual cues, consistent with a fear generalisation framework. In contrast, the reduced response to eels suggests that co-evolutionary experience enables kōura to make more calibrated risk assessments.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calibrated responses. Although we found no significant NCE of fish exudates on feeding behaviour, our study suggests further investigations of non-visual predator cues on kōura foraging behaviour is warranted.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26"/>
    <w:bookmarkEnd w:id="27"/>
    <w:bookmarkStart w:id="2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 This research was supported by the Fish Futures programme funded through a Ministry of Business, Innovation and Employment grant (CAWX2101).</w:t>
      </w:r>
    </w:p>
    <w:bookmarkEnd w:id="28"/>
    <w:bookmarkStart w:id="29" w:name="authors-contributions"/>
    <w:p>
      <w:pPr>
        <w:pStyle w:val="Heading1"/>
      </w:pPr>
      <w:r>
        <w:t xml:space="preserve">Authors’ contributions</w:t>
      </w:r>
    </w:p>
    <w:p>
      <w:pPr>
        <w:pStyle w:val="FirstParagraph"/>
      </w:pPr>
      <w:r>
        <w:t xml:space="preserve">Study conception and design were undertaken by O.V.R, C.M. and R.H. Experiments were executed by O.V.R. and C.M. Data analysis was performed by O.V.R. and F.L. Local ecological knowledge kōura were supplied by I.A.K.K. Manuscript drafting was led by O.V.R. and C.M. All authors contributed to manuscript revision, approved the results, and the final manuscript.</w:t>
      </w:r>
    </w:p>
    <w:bookmarkEnd w:id="29"/>
    <w:bookmarkStart w:id="30" w:name="ethical-approval"/>
    <w:p>
      <w:pPr>
        <w:pStyle w:val="Heading1"/>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0"/>
    <w:bookmarkStart w:id="31" w:name="declarations"/>
    <w:p>
      <w:pPr>
        <w:pStyle w:val="Heading1"/>
      </w:pPr>
      <w:r>
        <w:t xml:space="preserve">Declarations</w:t>
      </w:r>
    </w:p>
    <w:p>
      <w:pPr>
        <w:pStyle w:val="FirstParagraph"/>
      </w:pPr>
      <w:r>
        <w:t xml:space="preserve">The corresponding author has declared that none of the authors has any competing interests.</w:t>
      </w:r>
    </w:p>
    <w:bookmarkEnd w:id="31"/>
    <w:bookmarkStart w:id="32" w:name="data-availability-statement"/>
    <w:p>
      <w:pPr>
        <w:pStyle w:val="Heading1"/>
      </w:pPr>
      <w:r>
        <w:t xml:space="preserve">Data availability statement</w:t>
      </w:r>
    </w:p>
    <w:p>
      <w:pPr>
        <w:pStyle w:val="FirstParagraph"/>
      </w:pPr>
      <w:r>
        <w:t xml:space="preserve">The code and derived data supporting the findings of this study are openly available on GitHub (https://github.com/OlivierRaven/NCE_Koura_catfish)and a rendered version of the analysis is hosted at https://olivierraven.github.io/NCE_Koura_catfish/. The primary raw dataset is archived on Zenodo (https://doi.org/10.5281/zenodo.19716761). Peer review documents, including the cover letter and reviewer responses, are available in the manuscript repository in the interest of open and transparent science.</w:t>
      </w:r>
    </w:p>
    <w:bookmarkEnd w:id="32"/>
    <w:bookmarkStart w:id="35"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3"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3"/>
          <w:p/>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Analysis Notebook</w:t>
        </w:r>
      </w:hyperlink>
    </w:p>
    <w:bookmarkEnd w:id="35"/>
    <w:bookmarkStart w:id="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aquarium-setup"/>
          <w:p>
            <w:pPr>
              <w:pStyle w:val="Compact"/>
              <w:jc w:val="center"/>
            </w:pPr>
            <w:r>
              <w:drawing>
                <wp:inline>
                  <wp:extent cx="5727700" cy="4480989"/>
                  <wp:effectExtent b="0" l="0" r="0" t="0"/>
                  <wp:docPr descr="" title="" id="37" name="Picture"/>
                  <a:graphic>
                    <a:graphicData uri="http://schemas.openxmlformats.org/drawingml/2006/picture">
                      <pic:pic>
                        <pic:nvPicPr>
                          <pic:cNvPr descr="images/setup_combined.png" id="38" name="Picture"/>
                          <pic:cNvPicPr>
                            <a:picLocks noChangeArrowheads="1" noChangeAspect="1"/>
                          </pic:cNvPicPr>
                        </pic:nvPicPr>
                        <pic:blipFill>
                          <a:blip r:embed="rId36"/>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39"/>
        </w:tc>
      </w:tr>
    </w:tbl>
    <w:bookmarkStart w:id="45" w:name="cell-fig-emmeans-stratified-ms"/>
    <w:tbl>
      <w:tblPr>
        <w:tblStyle w:val="Table"/>
        <w:tblW w:type="pct" w:w="5000"/>
        <w:tblLayout w:type="fixed"/>
        <w:tblLook w:firstRow="0" w:lastRow="0" w:firstColumn="0" w:lastColumn="0" w:noHBand="0" w:noVBand="0" w:val="0000"/>
      </w:tblPr>
      <w:tblGrid>
        <w:gridCol w:w="7920"/>
      </w:tblGrid>
      <w:tr>
        <w:tc>
          <w:tcPr/>
          <w:bookmarkStart w:id="43" w:name="fig-emmeans-stratified-ms"/>
          <w:p>
            <w:pPr>
              <w:pStyle w:val="Compact"/>
              <w:jc w:val="center"/>
            </w:pPr>
            <w:r>
              <w:drawing>
                <wp:inline>
                  <wp:extent cx="4587290" cy="3669832"/>
                  <wp:effectExtent b="0" l="0" r="0" t="0"/>
                  <wp:docPr descr="" title="" id="41" name="Picture"/>
                  <a:graphic>
                    <a:graphicData uri="http://schemas.openxmlformats.org/drawingml/2006/picture">
                      <pic:pic>
                        <pic:nvPicPr>
                          <pic:cNvPr descr="outputs/fig-emmeans-stratified.png" id="42" name="Picture"/>
                          <pic:cNvPicPr>
                            <a:picLocks noChangeArrowheads="1" noChangeAspect="1"/>
                          </pic:cNvPicPr>
                        </pic:nvPicPr>
                        <pic:blipFill>
                          <a:blip r:embed="rId40"/>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Article Notebook</w:t>
        </w:r>
      </w:hyperlink>
    </w:p>
    <w:bookmarkEnd w:id="45"/>
    <w:bookmarkStart w:id="50" w:name="cell-fig-refuge-plot-ms"/>
    <w:tbl>
      <w:tblPr>
        <w:tblStyle w:val="Table"/>
        <w:tblW w:type="pct" w:w="5000"/>
        <w:tblLayout w:type="fixed"/>
        <w:tblLook w:firstRow="0" w:lastRow="0" w:firstColumn="0" w:lastColumn="0" w:noHBand="0" w:noVBand="0" w:val="0000"/>
      </w:tblPr>
      <w:tblGrid>
        <w:gridCol w:w="7920"/>
      </w:tblGrid>
      <w:tr>
        <w:tc>
          <w:tcPr/>
          <w:bookmarkStart w:id="49" w:name="fig-refuge-plot-ms"/>
          <w:p>
            <w:pPr>
              <w:pStyle w:val="Compact"/>
              <w:jc w:val="center"/>
            </w:pPr>
            <w:r>
              <w:drawing>
                <wp:inline>
                  <wp:extent cx="5727700" cy="3579812"/>
                  <wp:effectExtent b="0" l="0" r="0" t="0"/>
                  <wp:docPr descr="" title="" id="47" name="Picture"/>
                  <a:graphic>
                    <a:graphicData uri="http://schemas.openxmlformats.org/drawingml/2006/picture">
                      <pic:pic>
                        <pic:nvPicPr>
                          <pic:cNvPr descr="outputs/fig-refuge-plot.png" id="48" name="Picture"/>
                          <pic:cNvPicPr>
                            <a:picLocks noChangeArrowheads="1" noChangeAspect="1"/>
                          </pic:cNvPicPr>
                        </pic:nvPicPr>
                        <pic:blipFill>
                          <a:blip r:embed="rId46"/>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49"/>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Article Notebook</w:t>
        </w:r>
      </w:hyperlink>
    </w:p>
    <w:bookmarkEnd w:id="50"/>
    <w:bookmarkStart w:id="55" w:name="cell-fig-feeding-plot-ms"/>
    <w:tbl>
      <w:tblPr>
        <w:tblStyle w:val="Table"/>
        <w:tblW w:type="pct" w:w="5000"/>
        <w:tblLayout w:type="fixed"/>
        <w:tblLook w:firstRow="0" w:lastRow="0" w:firstColumn="0" w:lastColumn="0" w:noHBand="0" w:noVBand="0" w:val="0000"/>
      </w:tblPr>
      <w:tblGrid>
        <w:gridCol w:w="7920"/>
      </w:tblGrid>
      <w:tr>
        <w:tc>
          <w:tcPr/>
          <w:bookmarkStart w:id="54" w:name="fig-feeding-plot-ms"/>
          <w:p>
            <w:pPr>
              <w:pStyle w:val="Compact"/>
              <w:jc w:val="center"/>
            </w:pPr>
            <w:r>
              <w:drawing>
                <wp:inline>
                  <wp:extent cx="4587290" cy="3669832"/>
                  <wp:effectExtent b="0" l="0" r="0" t="0"/>
                  <wp:docPr descr="" title="" id="52" name="Picture"/>
                  <a:graphic>
                    <a:graphicData uri="http://schemas.openxmlformats.org/drawingml/2006/picture">
                      <pic:pic>
                        <pic:nvPicPr>
                          <pic:cNvPr descr="outputs/fig-feeding-plot.png" id="53" name="Picture"/>
                          <pic:cNvPicPr>
                            <a:picLocks noChangeArrowheads="1" noChangeAspect="1"/>
                          </pic:cNvPicPr>
                        </pic:nvPicPr>
                        <pic:blipFill>
                          <a:blip r:embed="rId51"/>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4"/>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Article Notebook</w:t>
        </w:r>
      </w:hyperlink>
    </w:p>
    <w:bookmarkEnd w:id="55"/>
    <w:bookmarkEnd w:id="56"/>
    <w:bookmarkStart w:id="17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7" w:name="tbl-refuge-prop"/>
          <w:p>
            <w:pPr>
              <w:jc w:val="center"/>
            </w:pPr>
            <w:pPr>
              <w:jc w:val="left"/>
              <w:spacing w:before="200"/>
              <w:pStyle w:val="ImageCaption"/>
            </w:pPr>
            <w:r>
              <w:t xml:space="preserve">Table 2: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57"/>
        </w:tc>
      </w:tr>
    </w:tbl>
    <w:p>
      <w:pPr>
        <w:pStyle w:val="FirstParagraph"/>
      </w:pPr>
      <w:r>
        <w:rPr>
          <w:vertAlign w:val="subscript"/>
        </w:rPr>
        <w:t xml:space="preserve">Source:</w:t>
      </w:r>
      <w:r>
        <w:rPr>
          <w:vertAlign w:val="subscript"/>
        </w:rPr>
        <w:t xml:space="preserve"> </w:t>
      </w:r>
      <w:hyperlink r:id="rId5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9" w:name="tbl-feeding-summary"/>
          <w:p>
            <w:pPr>
              <w:jc w:val="center"/>
            </w:pPr>
            <w:pPr>
              <w:jc w:val="left"/>
              <w:spacing w:before="200"/>
              <w:pStyle w:val="ImageCaption"/>
            </w:pPr>
            <w:r>
              <w:t xml:space="preserve">Table 3: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Analysis Notebook</w:t>
        </w:r>
      </w:hyperlink>
    </w:p>
    <w:bookmarkStart w:id="173" w:name="refs"/>
    <w:bookmarkStart w:id="62" w:name="ref-Abrams2000"/>
    <w:p>
      <w:pPr>
        <w:pStyle w:val="Bibliography"/>
      </w:pPr>
      <w:r>
        <w:t xml:space="preserve">Abrams, P. A. (2000). The evolution of predator-prey interactions: Theory and evidence.</w:t>
      </w:r>
      <w:r>
        <w:t xml:space="preserve"> </w:t>
      </w:r>
      <w:r>
        <w:rPr>
          <w:i/>
          <w:iCs/>
        </w:rPr>
        <w:t xml:space="preserve">Annual Review of Ecology and Systematics</w:t>
      </w:r>
      <w:r>
        <w:t xml:space="preserve">,</w:t>
      </w:r>
      <w:r>
        <w:t xml:space="preserve"> </w:t>
      </w:r>
      <w:r>
        <w:rPr>
          <w:i/>
          <w:iCs/>
        </w:rPr>
        <w:t xml:space="preserve">31</w:t>
      </w:r>
      <w:r>
        <w:t xml:space="preserve">(1), 79–105.</w:t>
      </w:r>
      <w:r>
        <w:t xml:space="preserve"> </w:t>
      </w:r>
      <w:hyperlink r:id="rId61">
        <w:r>
          <w:rPr>
            <w:rStyle w:val="Hyperlink"/>
          </w:rPr>
          <w:t xml:space="preserve">https://doi.org/10.1146/annurev.ecolsys.31.1.79</w:t>
        </w:r>
      </w:hyperlink>
    </w:p>
    <w:bookmarkEnd w:id="62"/>
    <w:bookmarkStart w:id="64" w:name="ref-Achtymichuk2025"/>
    <w:p>
      <w:pPr>
        <w:pStyle w:val="Bibliography"/>
      </w:pPr>
      <w:r>
        <w:t xml:space="preserve">Achtymichuk, G. H., Fish, K. M., &amp; Ferrari, M. C. O. (2025). The power of concentration: Antipredator responses to diluted frozen crayfish alarm cues provide insights on ecologically relevant concentrations and updates to methodology.</w:t>
      </w:r>
      <w:r>
        <w:t xml:space="preserve"> </w:t>
      </w:r>
      <w:r>
        <w:rPr>
          <w:i/>
          <w:iCs/>
        </w:rPr>
        <w:t xml:space="preserve">PLOS One</w:t>
      </w:r>
      <w:r>
        <w:t xml:space="preserve">,</w:t>
      </w:r>
      <w:r>
        <w:t xml:space="preserve"> </w:t>
      </w:r>
      <w:r>
        <w:rPr>
          <w:i/>
          <w:iCs/>
        </w:rPr>
        <w:t xml:space="preserve">20</w:t>
      </w:r>
      <w:r>
        <w:t xml:space="preserve">(12), e0340001.</w:t>
      </w:r>
      <w:r>
        <w:t xml:space="preserve"> </w:t>
      </w:r>
      <w:hyperlink r:id="rId63">
        <w:r>
          <w:rPr>
            <w:rStyle w:val="Hyperlink"/>
          </w:rPr>
          <w:t xml:space="preserve">https://doi.org/10.1371/journal.pone.0340001</w:t>
        </w:r>
      </w:hyperlink>
    </w:p>
    <w:bookmarkEnd w:id="64"/>
    <w:bookmarkStart w:id="66"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5">
        <w:r>
          <w:rPr>
            <w:rStyle w:val="Hyperlink"/>
          </w:rPr>
          <w:t xml:space="preserve">https://doi.org/10.1674/0003-0031(2007)158[85:daieoc]2.0.co;2</w:t>
        </w:r>
      </w:hyperlink>
    </w:p>
    <w:bookmarkEnd w:id="66"/>
    <w:bookmarkStart w:id="67" w:name="ref-Barnes2003"/>
    <w:p>
      <w:pPr>
        <w:pStyle w:val="Bibliography"/>
      </w:pPr>
      <w:r>
        <w:t xml:space="preserve">Barnes, G. E., &amp; Hicks, B. J. (2003).</w:t>
      </w:r>
      <w:r>
        <w:t xml:space="preserve"> </w:t>
      </w:r>
      <w:r>
        <w:rPr>
          <w:i/>
          <w:iCs/>
        </w:rPr>
        <w:t xml:space="preserve">Brown bullhead catfish (ameiurus nebulosus) in lake taupo (managing invasive freshwater fish in new zealand)</w:t>
      </w:r>
      <w:r>
        <w:t xml:space="preserve">. Department of Conservation.</w:t>
      </w:r>
    </w:p>
    <w:bookmarkEnd w:id="67"/>
    <w:bookmarkStart w:id="69" w:name="ref-Beattie2018"/>
    <w:p>
      <w:pPr>
        <w:pStyle w:val="Bibliography"/>
      </w:pPr>
      <w:r>
        <w:t xml:space="preserve">Beattie, M. C., &amp; Moore, P. A. (2018). Predator recognition of chemical cues in crayfish: Diet and experience influence the ability to detect predation threats.</w:t>
      </w:r>
      <w:r>
        <w:t xml:space="preserve"> </w:t>
      </w:r>
      <w:r>
        <w:rPr>
          <w:i/>
          <w:iCs/>
        </w:rPr>
        <w:t xml:space="preserve">Behaviour</w:t>
      </w:r>
      <w:r>
        <w:t xml:space="preserve">,</w:t>
      </w:r>
      <w:r>
        <w:t xml:space="preserve"> </w:t>
      </w:r>
      <w:r>
        <w:rPr>
          <w:i/>
          <w:iCs/>
        </w:rPr>
        <w:t xml:space="preserve">155</w:t>
      </w:r>
      <w:r>
        <w:t xml:space="preserve">(6), 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 A., &amp; Hart, P. J. B. (1993). The behavioural responses of juvenile signal crayfish pacifastacus leniusculus to stimuli from perch and eels.</w:t>
      </w:r>
      <w:r>
        <w:t xml:space="preserve"> </w:t>
      </w:r>
      <w:r>
        <w:rPr>
          <w:i/>
          <w:iCs/>
        </w:rPr>
        <w:t xml:space="preserve">Freshwater Biology</w:t>
      </w:r>
      <w:r>
        <w:t xml:space="preserve">,</w:t>
      </w:r>
      <w:r>
        <w:t xml:space="preserve"> </w:t>
      </w:r>
      <w:r>
        <w:rPr>
          <w:i/>
          <w:iCs/>
        </w:rPr>
        <w:t xml:space="preserve">29</w:t>
      </w:r>
      <w:r>
        <w:t xml:space="preserve">(1), 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&amp; Hansson, L.-A. (2012).</w:t>
      </w:r>
      <w:r>
        <w:t xml:space="preserve"> </w:t>
      </w:r>
      <w:r>
        <w:rPr>
          <w:i/>
          <w:iCs/>
        </w:rPr>
        <w:t xml:space="preserve">Chemical ecology in aquatic systems</w:t>
      </w:r>
      <w:r>
        <w:t xml:space="preserve">. Oxford University Press.</w:t>
      </w:r>
    </w:p>
    <w:bookmarkEnd w:id="72"/>
    <w:bookmarkStart w:id="74" w:name="ref-Brooks2017"/>
    <w:p>
      <w:pPr>
        <w:pStyle w:val="Bibliography"/>
      </w:pPr>
      <w:r>
        <w:t xml:space="preserve">Brooks, E., Mollie, Kristensen, K., Benthem, J., Koen, Magnusson, A., Berg, W., Casper, Nielsen, A., Skaug, J., Hans, Mächler, M., &amp; Bolker, M., Benjamin.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w:t>
      </w:r>
      <w:r>
        <w:t xml:space="preserve"> </w:t>
      </w:r>
      <w:hyperlink r:id="rId73">
        <w:r>
          <w:rPr>
            <w:rStyle w:val="Hyperlink"/>
          </w:rPr>
          <w:t xml:space="preserve">https://doi.org/10.32614/rj-2017-066</w:t>
        </w:r>
      </w:hyperlink>
    </w:p>
    <w:bookmarkEnd w:id="74"/>
    <w:bookmarkStart w:id="76" w:name="ref-Brown2004"/>
    <w:p>
      <w:pPr>
        <w:pStyle w:val="Bibliography"/>
      </w:pPr>
      <w:r>
        <w:t xml:space="preserve">Brown, G. E., Poirier, J.-F., &amp; Adrian, J. C. (2004). Assessment of local predation risk: The role of subthreshold concentrations of chemical alarm cues.</w:t>
      </w:r>
      <w:r>
        <w:t xml:space="preserve"> </w:t>
      </w:r>
      <w:r>
        <w:rPr>
          <w:i/>
          <w:iCs/>
        </w:rPr>
        <w:t xml:space="preserve">Behavioral Ecology</w:t>
      </w:r>
      <w:r>
        <w:t xml:space="preserve">,</w:t>
      </w:r>
      <w:r>
        <w:t xml:space="preserve"> </w:t>
      </w:r>
      <w:r>
        <w:rPr>
          <w:i/>
          <w:iCs/>
        </w:rPr>
        <w:t xml:space="preserve">15</w:t>
      </w:r>
      <w:r>
        <w:t xml:space="preserve">(5), 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 A. (2009).</w:t>
      </w:r>
      <w:r>
        <w:t xml:space="preserve"> </w:t>
      </w:r>
      <w:r>
        <w:rPr>
          <w:i/>
          <w:iCs/>
        </w:rPr>
        <w:t xml:space="preserve">Habitat determinants and predatory interactions of the endemic freshwater crayfish (koura, paranephrops planifrons) in the lower north island, new zealand</w:t>
      </w:r>
      <w:r>
        <w:t xml:space="preserve"> </w:t>
      </w:r>
      <w:r>
        <w:t xml:space="preserve">[Massey University].</w:t>
      </w:r>
      <w:r>
        <w:t xml:space="preserve"> </w:t>
      </w:r>
      <w:hyperlink r:id="rId77">
        <w:r>
          <w:rPr>
            <w:rStyle w:val="Hyperlink"/>
          </w:rPr>
          <w:t xml:space="preserve">http://hdl.handle.net/10179/1168</w:t>
        </w:r>
      </w:hyperlink>
    </w:p>
    <w:bookmarkEnd w:id="78"/>
    <w:bookmarkStart w:id="80" w:name="ref-Burnham2002"/>
    <w:p>
      <w:pPr>
        <w:pStyle w:val="Bibliography"/>
      </w:pPr>
      <w:r>
        <w:t xml:space="preserve">Burnham, K. P., &amp; Anderson, D. R. (2002). (pp. 267–351). Springer New York.</w:t>
      </w:r>
      <w:r>
        <w:t xml:space="preserve"> </w:t>
      </w:r>
      <w:hyperlink r:id="rId79">
        <w:r>
          <w:rPr>
            <w:rStyle w:val="Hyperlink"/>
          </w:rPr>
          <w:t xml:space="preserve">https://doi.org/10.1007/978-0-387-22456-5_6</w:t>
        </w:r>
      </w:hyperlink>
    </w:p>
    <w:bookmarkEnd w:id="80"/>
    <w:bookmarkStart w:id="82" w:name="ref-Carthey2014"/>
    <w:p>
      <w:pPr>
        <w:pStyle w:val="Bibliography"/>
      </w:pPr>
      <w:r>
        <w:t xml:space="preserve">Carthey, A. J. R., &amp; Banks, P. B. (2014). Naïveté in novel ecological interactions: Lessons from theory and experimental evidence.</w:t>
      </w:r>
      <w:r>
        <w:t xml:space="preserve"> </w:t>
      </w:r>
      <w:r>
        <w:rPr>
          <w:i/>
          <w:iCs/>
        </w:rPr>
        <w:t xml:space="preserve">Biological Reviews</w:t>
      </w:r>
      <w:r>
        <w:t xml:space="preserve">,</w:t>
      </w:r>
      <w:r>
        <w:t xml:space="preserve"> </w:t>
      </w:r>
      <w:r>
        <w:rPr>
          <w:i/>
          <w:iCs/>
        </w:rPr>
        <w:t xml:space="preserve">89</w:t>
      </w:r>
      <w:r>
        <w:t xml:space="preserve">(4), 932–949.</w:t>
      </w:r>
      <w:r>
        <w:t xml:space="preserve"> </w:t>
      </w:r>
      <w:hyperlink r:id="rId81">
        <w:r>
          <w:rPr>
            <w:rStyle w:val="Hyperlink"/>
          </w:rPr>
          <w:t xml:space="preserve">https://doi.org/10.1111/brv.12087</w:t>
        </w:r>
      </w:hyperlink>
    </w:p>
    <w:bookmarkEnd w:id="82"/>
    <w:bookmarkStart w:id="84" w:name="ref-Clinchy2013"/>
    <w:p>
      <w:pPr>
        <w:pStyle w:val="Bibliography"/>
      </w:pPr>
      <w:r>
        <w:t xml:space="preserve">Clinchy, M., Sheriff, M. J., &amp; Zanette, L. Y. (2012). Predator‐induced stress and the ecology of fear.</w:t>
      </w:r>
      <w:r>
        <w:t xml:space="preserve"> </w:t>
      </w:r>
      <w:r>
        <w:rPr>
          <w:i/>
          <w:iCs/>
        </w:rPr>
        <w:t xml:space="preserve">Functional Ecology</w:t>
      </w:r>
      <w:r>
        <w:t xml:space="preserve">,</w:t>
      </w:r>
      <w:r>
        <w:t xml:space="preserve"> </w:t>
      </w:r>
      <w:r>
        <w:rPr>
          <w:i/>
          <w:iCs/>
        </w:rPr>
        <w:t xml:space="preserve">27</w:t>
      </w:r>
      <w:r>
        <w:t xml:space="preserve">(1), 56–65.</w:t>
      </w:r>
      <w:r>
        <w:t xml:space="preserve"> </w:t>
      </w:r>
      <w:hyperlink r:id="rId83">
        <w:r>
          <w:rPr>
            <w:rStyle w:val="Hyperlink"/>
          </w:rPr>
          <w:t xml:space="preserve">https://doi.org/10.1111/1365-2435.12007</w:t>
        </w:r>
      </w:hyperlink>
    </w:p>
    <w:bookmarkEnd w:id="84"/>
    <w:bookmarkStart w:id="85"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85"/>
    <w:bookmarkStart w:id="87" w:name="ref-Dawkins1979"/>
    <w:p>
      <w:pPr>
        <w:pStyle w:val="Bibliography"/>
      </w:pPr>
      <w:r>
        <w:t xml:space="preserve">Dawkins, R., &amp; Krebs, J. R. (1979). Arms races between and within species.</w:t>
      </w:r>
      <w:r>
        <w:t xml:space="preserve"> </w:t>
      </w:r>
      <w:r>
        <w:rPr>
          <w:i/>
          <w:iCs/>
        </w:rPr>
        <w:t xml:space="preserve">Proceedings of the Royal Society of London. B. Biological Sciences</w:t>
      </w:r>
      <w:r>
        <w:t xml:space="preserve">,</w:t>
      </w:r>
      <w:r>
        <w:t xml:space="preserve"> </w:t>
      </w:r>
      <w:r>
        <w:rPr>
          <w:i/>
          <w:iCs/>
        </w:rPr>
        <w:t xml:space="preserve">205</w:t>
      </w:r>
      <w:r>
        <w:t xml:space="preserve">(1161), 489–511.</w:t>
      </w:r>
      <w:r>
        <w:t xml:space="preserve"> </w:t>
      </w:r>
      <w:hyperlink r:id="rId86">
        <w:r>
          <w:rPr>
            <w:rStyle w:val="Hyperlink"/>
          </w:rPr>
          <w:t xml:space="preserve">https://doi.org/10.1098/rspb.1979.0081</w:t>
        </w:r>
      </w:hyperlink>
    </w:p>
    <w:bookmarkEnd w:id="87"/>
    <w:bookmarkStart w:id="89" w:name="ref-Dedual2019"/>
    <w:p>
      <w:pPr>
        <w:pStyle w:val="Bibliography"/>
      </w:pPr>
      <w:r>
        <w:t xml:space="preserve">Dedual, M. (2019).</w:t>
      </w:r>
      <w:r>
        <w:t xml:space="preserve"> </w:t>
      </w:r>
      <w:r>
        <w:rPr>
          <w:i/>
          <w:iCs/>
        </w:rPr>
        <w:t xml:space="preserve">Summary of the impacts and control methods of brown bullhead catfish (ameiurus nebulosus lesueur 1815) in new zealand and overseas</w:t>
      </w:r>
      <w:r>
        <w:t xml:space="preserve">. Bay of Plenty Regional Council.</w:t>
      </w:r>
      <w:r>
        <w:t xml:space="preserve"> </w:t>
      </w:r>
      <w:hyperlink r:id="rId88">
        <w:r>
          <w:rPr>
            <w:rStyle w:val="Hyperlink"/>
          </w:rPr>
          <w:t xml:space="preserve">https://atlas.boprc.govt.nz/api/v1/edms/document/A3591759/content</w:t>
        </w:r>
      </w:hyperlink>
    </w:p>
    <w:bookmarkEnd w:id="89"/>
    <w:bookmarkStart w:id="90" w:name="ref-Devcich1979"/>
    <w:p>
      <w:pPr>
        <w:pStyle w:val="Bibliography"/>
      </w:pPr>
      <w:r>
        <w:t xml:space="preserve">Devcich, A. A. (1979).</w:t>
      </w:r>
      <w:r>
        <w:t xml:space="preserve"> </w:t>
      </w:r>
      <w:r>
        <w:rPr>
          <w:i/>
          <w:iCs/>
        </w:rPr>
        <w:t xml:space="preserve">An ecological study of paranephrops planifrons white (decapoda: Parastacidae) in lake rotoiti, north island</w:t>
      </w:r>
      <w:r>
        <w:t xml:space="preserve"> </w:t>
      </w:r>
      <w:r>
        <w:t xml:space="preserve">[PhD thesis]. University of Waikato.</w:t>
      </w:r>
    </w:p>
    <w:bookmarkEnd w:id="90"/>
    <w:bookmarkStart w:id="92" w:name="ref-Doherty2016"/>
    <w:p>
      <w:pPr>
        <w:pStyle w:val="Bibliography"/>
      </w:pPr>
      <w:r>
        <w:t xml:space="preserve">Doherty, T. S., Glen, A. S., Nimmo, D. G., Ritchie, E. G., &amp; Dickman, C. R. (2016). Invasive predators and global biodiversity loss.</w:t>
      </w:r>
      <w:r>
        <w:t xml:space="preserve"> </w:t>
      </w:r>
      <w:r>
        <w:rPr>
          <w:i/>
          <w:iCs/>
        </w:rPr>
        <w:t xml:space="preserve">Proceedings of the National Academy of Sciences</w:t>
      </w:r>
      <w:r>
        <w:t xml:space="preserve">,</w:t>
      </w:r>
      <w:r>
        <w:t xml:space="preserve"> </w:t>
      </w:r>
      <w:r>
        <w:rPr>
          <w:i/>
          <w:iCs/>
        </w:rPr>
        <w:t xml:space="preserve">113</w:t>
      </w:r>
      <w:r>
        <w:t xml:space="preserve">(40), 11261–11265.</w:t>
      </w:r>
      <w:r>
        <w:t xml:space="preserve"> </w:t>
      </w:r>
      <w:hyperlink r:id="rId91">
        <w:r>
          <w:rPr>
            <w:rStyle w:val="Hyperlink"/>
          </w:rPr>
          <w:t xml:space="preserve">https://doi.org/10.1073/pnas.1602480113</w:t>
        </w:r>
      </w:hyperlink>
    </w:p>
    <w:bookmarkEnd w:id="92"/>
    <w:bookmarkStart w:id="94" w:name="ref-Ehlman2019"/>
    <w:p>
      <w:pPr>
        <w:pStyle w:val="Bibliography"/>
      </w:pPr>
      <w:r>
        <w:t xml:space="preserve">Ehlman, S. M., Trimmer, P. C., &amp; Sih, A. (2019). Prey responses to exotic predators: Effects of old risks and new cues.</w:t>
      </w:r>
      <w:r>
        <w:t xml:space="preserve"> </w:t>
      </w:r>
      <w:r>
        <w:rPr>
          <w:i/>
          <w:iCs/>
        </w:rPr>
        <w:t xml:space="preserve">The American Naturalist</w:t>
      </w:r>
      <w:r>
        <w:t xml:space="preserve">,</w:t>
      </w:r>
      <w:r>
        <w:t xml:space="preserve"> </w:t>
      </w:r>
      <w:r>
        <w:rPr>
          <w:i/>
          <w:iCs/>
        </w:rPr>
        <w:t xml:space="preserve">193</w:t>
      </w:r>
      <w:r>
        <w:t xml:space="preserve">(4), 575–587.</w:t>
      </w:r>
      <w:r>
        <w:t xml:space="preserve"> </w:t>
      </w:r>
      <w:hyperlink r:id="rId93">
        <w:r>
          <w:rPr>
            <w:rStyle w:val="Hyperlink"/>
          </w:rPr>
          <w:t xml:space="preserve">https://doi.org/10.1086/702252</w:t>
        </w:r>
      </w:hyperlink>
    </w:p>
    <w:bookmarkEnd w:id="94"/>
    <w:bookmarkStart w:id="96" w:name="ref-Figler2005"/>
    <w:p>
      <w:pPr>
        <w:pStyle w:val="Bibliography"/>
      </w:pPr>
      <w:r>
        <w:t xml:space="preserve">Figler, M. H., Blank, G. S., &amp; Peeke, H. V. S. (2005). Shelter competition between resident male red swamp crayfish procambarus clarkii (girard)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95">
        <w:r>
          <w:rPr>
            <w:rStyle w:val="Hyperlink"/>
          </w:rPr>
          <w:t xml:space="preserve">https://doi.org/10.1080/10236240500376477</w:t>
        </w:r>
      </w:hyperlink>
    </w:p>
    <w:bookmarkEnd w:id="96"/>
    <w:bookmarkStart w:id="97" w:name="ref-Fox2018"/>
    <w:p>
      <w:pPr>
        <w:pStyle w:val="Bibliography"/>
      </w:pPr>
      <w:r>
        <w:t xml:space="preserve">Fox, J., &amp; Weisberg, S. (2018).</w:t>
      </w:r>
      <w:r>
        <w:t xml:space="preserve"> </w:t>
      </w:r>
      <w:r>
        <w:rPr>
          <w:i/>
          <w:iCs/>
        </w:rPr>
        <w:t xml:space="preserve">An r companion to applied regression</w:t>
      </w:r>
      <w:r>
        <w:t xml:space="preserve">. SAGE Publications.</w:t>
      </w:r>
    </w:p>
    <w:bookmarkEnd w:id="97"/>
    <w:bookmarkStart w:id="99" w:name="ref-Gherardi2011"/>
    <w:p>
      <w:pPr>
        <w:pStyle w:val="Bibliography"/>
      </w:pPr>
      <w:r>
        <w:t xml:space="preserve">Gherardi, F., Mavuti, K. M., Pacini, N., Tricarico, E., &amp; Harper, D. M. (2011). The smell of danger: Chemical recognition of fish predators by the invasive crayfish procambarus clarkii.</w:t>
      </w:r>
      <w:r>
        <w:t xml:space="preserve"> </w:t>
      </w:r>
      <w:r>
        <w:rPr>
          <w:i/>
          <w:iCs/>
        </w:rPr>
        <w:t xml:space="preserve">Freshwater Biology</w:t>
      </w:r>
      <w:r>
        <w:t xml:space="preserve">,</w:t>
      </w:r>
      <w:r>
        <w:t xml:space="preserve"> </w:t>
      </w:r>
      <w:r>
        <w:rPr>
          <w:i/>
          <w:iCs/>
        </w:rPr>
        <w:t xml:space="preserve">56</w:t>
      </w:r>
      <w:r>
        <w:t xml:space="preserve">(8), 1567–1578.</w:t>
      </w:r>
      <w:r>
        <w:t xml:space="preserve"> </w:t>
      </w:r>
      <w:hyperlink r:id="rId98">
        <w:r>
          <w:rPr>
            <w:rStyle w:val="Hyperlink"/>
          </w:rPr>
          <w:t xml:space="preserve">https://doi.org/10.1111/j.1365-2427.2011.02595.x</w:t>
        </w:r>
      </w:hyperlink>
    </w:p>
    <w:bookmarkEnd w:id="99"/>
    <w:bookmarkStart w:id="101" w:name="ref-Hartig2024"/>
    <w:p>
      <w:pPr>
        <w:pStyle w:val="Bibliography"/>
      </w:pPr>
      <w:r>
        <w:t xml:space="preserve">Hartig, F., Lohse, L., &amp; leite, M. de S.</w:t>
      </w:r>
      <w:r>
        <w:t xml:space="preserve"> (2024).</w:t>
      </w:r>
      <w:r>
        <w:t xml:space="preserve"> </w:t>
      </w:r>
      <w:r>
        <w:rPr>
          <w:i/>
          <w:iCs/>
        </w:rPr>
        <w:t xml:space="preserve">DHARMa: Residual diagnostics for hierarchical (multi-level / mixed) regression models</w:t>
      </w:r>
      <w:r>
        <w:t xml:space="preserve"> </w:t>
      </w:r>
      <w:r>
        <w:t xml:space="preserve">(Version 0.4.7) [Computer software].</w:t>
      </w:r>
      <w:r>
        <w:t xml:space="preserve"> </w:t>
      </w:r>
      <w:hyperlink r:id="rId100">
        <w:r>
          <w:rPr>
            <w:rStyle w:val="Hyperlink"/>
          </w:rPr>
          <w:t xml:space="preserve">https://cran.r-project.org/web/packages/DHARMa/index.html</w:t>
        </w:r>
      </w:hyperlink>
    </w:p>
    <w:bookmarkEnd w:id="101"/>
    <w:bookmarkStart w:id="103" w:name="ref-Hazlett2003"/>
    <w:p>
      <w:pPr>
        <w:pStyle w:val="Bibliography"/>
      </w:pPr>
      <w:r>
        <w:t xml:space="preserve">Hazlett, B. A. (2003). The effects of starvation on crayfish responses to alarm odor.</w:t>
      </w:r>
      <w:r>
        <w:t xml:space="preserve"> </w:t>
      </w:r>
      <w:r>
        <w:rPr>
          <w:i/>
          <w:iCs/>
        </w:rPr>
        <w:t xml:space="preserve">Ethology</w:t>
      </w:r>
      <w:r>
        <w:t xml:space="preserve">,</w:t>
      </w:r>
      <w:r>
        <w:t xml:space="preserve"> </w:t>
      </w:r>
      <w:r>
        <w:rPr>
          <w:i/>
          <w:iCs/>
        </w:rPr>
        <w:t xml:space="preserve">109</w:t>
      </w:r>
      <w:r>
        <w:t xml:space="preserve">(7), 587–592.</w:t>
      </w:r>
      <w:r>
        <w:t xml:space="preserve"> </w:t>
      </w:r>
      <w:hyperlink r:id="rId102">
        <w:r>
          <w:rPr>
            <w:rStyle w:val="Hyperlink"/>
          </w:rPr>
          <w:t xml:space="preserve">https://doi.org/10.1046/j.1439-0310.2003.00902.x</w:t>
        </w:r>
      </w:hyperlink>
    </w:p>
    <w:bookmarkEnd w:id="103"/>
    <w:bookmarkStart w:id="105" w:name="ref-Hicks1997"/>
    <w:p>
      <w:pPr>
        <w:pStyle w:val="Bibliography"/>
      </w:pPr>
      <w:r>
        <w:t xml:space="preserve">Hicks, B. J. (1997). Food webs in forest and pasture streams in the waikato region, new zealand: A study based on analyses of stable isotopes of carbon and nitrogen, and fish gut contents.</w:t>
      </w:r>
      <w:r>
        <w:t xml:space="preserve"> </w:t>
      </w:r>
      <w:r>
        <w:rPr>
          <w:i/>
          <w:iCs/>
        </w:rPr>
        <w:t xml:space="preserve">New Zealand Journal of Marine and Freshwater Research</w:t>
      </w:r>
      <w:r>
        <w:t xml:space="preserve">,</w:t>
      </w:r>
      <w:r>
        <w:t xml:space="preserve"> </w:t>
      </w:r>
      <w:r>
        <w:rPr>
          <w:i/>
          <w:iCs/>
        </w:rPr>
        <w:t xml:space="preserve">31</w:t>
      </w:r>
      <w:r>
        <w:t xml:space="preserve">(5), 651–664.</w:t>
      </w:r>
      <w:r>
        <w:t xml:space="preserve"> </w:t>
      </w:r>
      <w:hyperlink r:id="rId104">
        <w:r>
          <w:rPr>
            <w:rStyle w:val="Hyperlink"/>
          </w:rPr>
          <w:t xml:space="preserve">https://doi.org/10.1080/00288330.1997.9516796</w:t>
        </w:r>
      </w:hyperlink>
    </w:p>
    <w:bookmarkEnd w:id="105"/>
    <w:bookmarkStart w:id="107" w:name="ref-Johnson2014"/>
    <w:p>
      <w:pPr>
        <w:pStyle w:val="Bibliography"/>
      </w:pPr>
      <w:r>
        <w:t xml:space="preserve">Johnson, M. F., Rice, S. P., &amp; Reid, I. (2014). The activity of signal crayfish (pacifastacus leniusculus) in relation to thermal and hydraulic dynamics of an alluvial stream, UK.</w:t>
      </w:r>
      <w:r>
        <w:t xml:space="preserve"> </w:t>
      </w:r>
      <w:r>
        <w:rPr>
          <w:i/>
          <w:iCs/>
        </w:rPr>
        <w:t xml:space="preserve">Hydrobiologia</w:t>
      </w:r>
      <w:r>
        <w:t xml:space="preserve">,</w:t>
      </w:r>
      <w:r>
        <w:t xml:space="preserve"> </w:t>
      </w:r>
      <w:r>
        <w:rPr>
          <w:i/>
          <w:iCs/>
        </w:rPr>
        <w:t xml:space="preserve">724</w:t>
      </w:r>
      <w:r>
        <w:t xml:space="preserve">(1), 41–54.</w:t>
      </w:r>
      <w:r>
        <w:t xml:space="preserve"> </w:t>
      </w:r>
      <w:hyperlink r:id="rId106">
        <w:r>
          <w:rPr>
            <w:rStyle w:val="Hyperlink"/>
          </w:rPr>
          <w:t xml:space="preserve">https://doi.org/10.1007/s10750-013-1708-1</w:t>
        </w:r>
      </w:hyperlink>
    </w:p>
    <w:bookmarkEnd w:id="107"/>
    <w:bookmarkStart w:id="109" w:name="ref-Kindlinger2017"/>
    <w:p>
      <w:pPr>
        <w:pStyle w:val="Bibliography"/>
      </w:pPr>
      <w:r>
        <w:t xml:space="preserve">Kindinger, T. L., &amp; Albins, M. A. (2017). Consumptive and non-consumptive effects of an invasive marine predator on native coral-reef herbivores.</w:t>
      </w:r>
      <w:r>
        <w:t xml:space="preserve"> </w:t>
      </w:r>
      <w:r>
        <w:rPr>
          <w:i/>
          <w:iCs/>
        </w:rPr>
        <w:t xml:space="preserve">Biological Invasions</w:t>
      </w:r>
      <w:r>
        <w:t xml:space="preserve">,</w:t>
      </w:r>
      <w:r>
        <w:t xml:space="preserve"> </w:t>
      </w:r>
      <w:r>
        <w:rPr>
          <w:i/>
          <w:iCs/>
        </w:rPr>
        <w:t xml:space="preserve">19</w:t>
      </w:r>
      <w:r>
        <w:t xml:space="preserve">(1), 131–146.</w:t>
      </w:r>
      <w:r>
        <w:t xml:space="preserve"> </w:t>
      </w:r>
      <w:hyperlink r:id="rId108">
        <w:r>
          <w:rPr>
            <w:rStyle w:val="Hyperlink"/>
          </w:rPr>
          <w:t xml:space="preserve">https://doi.org/10.1007/s10530-016-1268-1</w:t>
        </w:r>
      </w:hyperlink>
    </w:p>
    <w:bookmarkEnd w:id="109"/>
    <w:bookmarkStart w:id="110" w:name="ref-Kusabsinrevision"/>
    <w:p>
      <w:pPr>
        <w:pStyle w:val="Bibliography"/>
      </w:pPr>
      <w:r>
        <w:t xml:space="preserve">Kusabs, I. A., Duggan, I. C., Scholes, P., Bruere, A., Te Kurapa, T. W., Grant, T., &amp; Burdon, F. J. (n.d.). Invasive catfish linked to the decline of freshwater crayfish in two aotearoa new zealand lakes.</w:t>
      </w:r>
      <w:r>
        <w:t xml:space="preserve"> </w:t>
      </w:r>
      <w:r>
        <w:rPr>
          <w:i/>
          <w:iCs/>
        </w:rPr>
        <w:t xml:space="preserve">Manuscript Submitted for Publication</w:t>
      </w:r>
      <w:r>
        <w:t xml:space="preserve">.</w:t>
      </w:r>
    </w:p>
    <w:bookmarkEnd w:id="110"/>
    <w:bookmarkStart w:id="112"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11">
        <w:r>
          <w:rPr>
            <w:rStyle w:val="Hyperlink"/>
          </w:rPr>
          <w:t xml:space="preserve">https://doi.org/10.1080/00288330909510036</w:t>
        </w:r>
      </w:hyperlink>
    </w:p>
    <w:bookmarkEnd w:id="112"/>
    <w:bookmarkStart w:id="114" w:name="ref-Laundre2001"/>
    <w:p>
      <w:pPr>
        <w:pStyle w:val="Bibliography"/>
      </w:pPr>
      <w:r>
        <w:t xml:space="preserve">Laundré, J. W., Hernández, L., &amp; Altendorf, K. B. (2001). Wolves, elk, and bison: Reestablishing the</w:t>
      </w:r>
      <w:r>
        <w:t xml:space="preserve"> </w:t>
      </w:r>
      <w:r>
        <w:t xml:space="preserve">“landscape of fear”</w:t>
      </w:r>
      <w:r>
        <w:t xml:space="preserve"> </w:t>
      </w:r>
      <w:r>
        <w:t xml:space="preserve">in yellowstone national park, u.s.a.</w:t>
      </w:r>
      <w:r>
        <w:t xml:space="preserve"> </w:t>
      </w:r>
      <w:r>
        <w:rPr>
          <w:i/>
          <w:iCs/>
        </w:rPr>
        <w:t xml:space="preserve">Canadian Journal of Zoology</w:t>
      </w:r>
      <w:r>
        <w:t xml:space="preserve">,</w:t>
      </w:r>
      <w:r>
        <w:t xml:space="preserve"> </w:t>
      </w:r>
      <w:r>
        <w:rPr>
          <w:i/>
          <w:iCs/>
        </w:rPr>
        <w:t xml:space="preserve">79</w:t>
      </w:r>
      <w:r>
        <w:t xml:space="preserve">(8), 1401–1409.</w:t>
      </w:r>
      <w:r>
        <w:t xml:space="preserve"> </w:t>
      </w:r>
      <w:hyperlink r:id="rId113">
        <w:r>
          <w:rPr>
            <w:rStyle w:val="Hyperlink"/>
          </w:rPr>
          <w:t xml:space="preserve">https://doi.org/10.1139/z01-094</w:t>
        </w:r>
      </w:hyperlink>
    </w:p>
    <w:bookmarkEnd w:id="114"/>
    <w:bookmarkStart w:id="116"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15">
        <w:r>
          <w:rPr>
            <w:rStyle w:val="Hyperlink"/>
          </w:rPr>
          <w:t xml:space="preserve">https://doi.org/10.5194/we-25-221-2025</w:t>
        </w:r>
      </w:hyperlink>
    </w:p>
    <w:bookmarkEnd w:id="116"/>
    <w:bookmarkStart w:id="118" w:name="ref-Lenth2026"/>
    <w:p>
      <w:pPr>
        <w:pStyle w:val="Bibliography"/>
      </w:pPr>
      <w:r>
        <w:t xml:space="preserve">Lenth, R. V., Piaskowski, J., Banfai, B., Bolker, B., Buerkner, P., Giné-Vázquez, I., Hervé, M., Jung, M., Love, J., Miguez, F., Riebl, H., &amp; Singmann, H. (2026).</w:t>
      </w:r>
      <w:r>
        <w:t xml:space="preserve"> </w:t>
      </w:r>
      <w:r>
        <w:rPr>
          <w:i/>
          <w:iCs/>
        </w:rPr>
        <w:t xml:space="preserve">Emmeans: Estimated marginal means, aka least-squares means</w:t>
      </w:r>
      <w:r>
        <w:t xml:space="preserve"> </w:t>
      </w:r>
      <w:r>
        <w:t xml:space="preserve">(Version 2.0.2) [Computer software].</w:t>
      </w:r>
      <w:r>
        <w:t xml:space="preserve"> </w:t>
      </w:r>
      <w:hyperlink r:id="rId117">
        <w:r>
          <w:rPr>
            <w:rStyle w:val="Hyperlink"/>
          </w:rPr>
          <w:t xml:space="preserve">https://cran.r-project.org/web/packages/emmeans/index.html</w:t>
        </w:r>
      </w:hyperlink>
    </w:p>
    <w:bookmarkEnd w:id="118"/>
    <w:bookmarkStart w:id="120" w:name="ref-Lima1990"/>
    <w:p>
      <w:pPr>
        <w:pStyle w:val="Bibliography"/>
      </w:pPr>
      <w:r>
        <w:t xml:space="preserve">Lima, S. L., &amp; Dill, L. M. (1990). Behavioral decisions made under the risk of predation: A review and prospectus.</w:t>
      </w:r>
      <w:r>
        <w:t xml:space="preserve"> </w:t>
      </w:r>
      <w:r>
        <w:rPr>
          <w:i/>
          <w:iCs/>
        </w:rPr>
        <w:t xml:space="preserve">Canadian Journal of Zoology</w:t>
      </w:r>
      <w:r>
        <w:t xml:space="preserve">,</w:t>
      </w:r>
      <w:r>
        <w:t xml:space="preserve"> </w:t>
      </w:r>
      <w:r>
        <w:rPr>
          <w:i/>
          <w:iCs/>
        </w:rPr>
        <w:t xml:space="preserve">68</w:t>
      </w:r>
      <w:r>
        <w:t xml:space="preserve">(4), 619–640.</w:t>
      </w:r>
      <w:r>
        <w:t xml:space="preserve"> </w:t>
      </w:r>
      <w:hyperlink r:id="rId119">
        <w:r>
          <w:rPr>
            <w:rStyle w:val="Hyperlink"/>
          </w:rPr>
          <w:t xml:space="preserve">https://doi.org/10.1139/z90-092</w:t>
        </w:r>
      </w:hyperlink>
    </w:p>
    <w:bookmarkEnd w:id="120"/>
    <w:bookmarkStart w:id="122" w:name="ref-MacNeil2025"/>
    <w:p>
      <w:pPr>
        <w:pStyle w:val="Bibliography"/>
      </w:pPr>
      <w:r>
        <w:t xml:space="preserve">MacNeil, C., Lee, F., Kusabs, I., &amp; Holmes, R. (2025). The biter bit; scavenging behaviour of native freshwater crayfish on the carrion of native and introduced fish predators in aotearoa-new zealand.</w:t>
      </w:r>
      <w:r>
        <w:t xml:space="preserve"> </w:t>
      </w:r>
      <w:r>
        <w:rPr>
          <w:i/>
          <w:iCs/>
        </w:rPr>
        <w:t xml:space="preserve">Knowledge &amp; Management of Aquatic Ecosystems</w:t>
      </w:r>
      <w:r>
        <w:t xml:space="preserve">, (426), 29.</w:t>
      </w:r>
      <w:r>
        <w:t xml:space="preserve"> </w:t>
      </w:r>
      <w:hyperlink r:id="rId121">
        <w:r>
          <w:rPr>
            <w:rStyle w:val="Hyperlink"/>
          </w:rPr>
          <w:t xml:space="preserve">https://doi.org/10.1051/kmae/2025022</w:t>
        </w:r>
      </w:hyperlink>
    </w:p>
    <w:bookmarkEnd w:id="122"/>
    <w:bookmarkStart w:id="124" w:name="ref-Martin2014"/>
    <w:p>
      <w:pPr>
        <w:pStyle w:val="Bibliography"/>
      </w:pPr>
      <w:r>
        <w:t xml:space="preserve">Martin, C. W. (2014). Naïve prey exhibit reduced antipredator behavior and survivorship.</w:t>
      </w:r>
      <w:r>
        <w:t xml:space="preserve"> </w:t>
      </w:r>
      <w:r>
        <w:rPr>
          <w:i/>
          <w:iCs/>
        </w:rPr>
        <w:t xml:space="preserve">PeerJ</w:t>
      </w:r>
      <w:r>
        <w:t xml:space="preserve">,</w:t>
      </w:r>
      <w:r>
        <w:t xml:space="preserve"> </w:t>
      </w:r>
      <w:r>
        <w:rPr>
          <w:i/>
          <w:iCs/>
        </w:rPr>
        <w:t xml:space="preserve">2</w:t>
      </w:r>
      <w:r>
        <w:t xml:space="preserve">, e665.</w:t>
      </w:r>
      <w:r>
        <w:t xml:space="preserve"> </w:t>
      </w:r>
      <w:hyperlink r:id="rId123">
        <w:r>
          <w:rPr>
            <w:rStyle w:val="Hyperlink"/>
          </w:rPr>
          <w:t xml:space="preserve">https://doi.org/10.7717/peerj.665</w:t>
        </w:r>
      </w:hyperlink>
    </w:p>
    <w:bookmarkEnd w:id="124"/>
    <w:bookmarkStart w:id="126" w:name="ref-McDowall1990"/>
    <w:p>
      <w:pPr>
        <w:pStyle w:val="Bibliography"/>
      </w:pPr>
      <w:r>
        <w:t xml:space="preserve">McDowall, R. M. (1990).</w:t>
      </w:r>
      <w:r>
        <w:t xml:space="preserve"> </w:t>
      </w:r>
      <w:r>
        <w:rPr>
          <w:i/>
          <w:iCs/>
        </w:rPr>
        <w:t xml:space="preserve">New zealand freshwater fishes: A natural history and guide</w:t>
      </w:r>
      <w:r>
        <w:t xml:space="preserve">.</w:t>
      </w:r>
      <w:r>
        <w:t xml:space="preserve"> </w:t>
      </w:r>
      <w:hyperlink r:id="rId125">
        <w:r>
          <w:rPr>
            <w:rStyle w:val="Hyperlink"/>
          </w:rPr>
          <w:t xml:space="preserve">https://agris.fao.org/search/en/providers/122621/records/6473966cce9437aa76003d0e</w:t>
        </w:r>
      </w:hyperlink>
    </w:p>
    <w:bookmarkEnd w:id="126"/>
    <w:bookmarkStart w:id="128" w:name="ref-Nystrom2005"/>
    <w:p>
      <w:pPr>
        <w:pStyle w:val="Bibliography"/>
      </w:pPr>
      <w:r>
        <w:t xml:space="preserve">Nyström, P. (2005). Non‐lethal predator effects on the performance of a native and an exotic crayfish species.</w:t>
      </w:r>
      <w:r>
        <w:t xml:space="preserve"> </w:t>
      </w:r>
      <w:r>
        <w:rPr>
          <w:i/>
          <w:iCs/>
        </w:rPr>
        <w:t xml:space="preserve">Freshwater Biology</w:t>
      </w:r>
      <w:r>
        <w:t xml:space="preserve">,</w:t>
      </w:r>
      <w:r>
        <w:t xml:space="preserve"> </w:t>
      </w:r>
      <w:r>
        <w:rPr>
          <w:i/>
          <w:iCs/>
        </w:rPr>
        <w:t xml:space="preserve">50</w:t>
      </w:r>
      <w:r>
        <w:t xml:space="preserve">(12), 1938–1949.</w:t>
      </w:r>
      <w:r>
        <w:t xml:space="preserve"> </w:t>
      </w:r>
      <w:hyperlink r:id="rId127">
        <w:r>
          <w:rPr>
            <w:rStyle w:val="Hyperlink"/>
          </w:rPr>
          <w:t xml:space="preserve">https://doi.org/10.1111/j.1365-2427.2005.01438.x</w:t>
        </w:r>
      </w:hyperlink>
    </w:p>
    <w:bookmarkEnd w:id="128"/>
    <w:bookmarkStart w:id="130"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29">
        <w:r>
          <w:rPr>
            <w:rStyle w:val="Hyperlink"/>
          </w:rPr>
          <w:t xml:space="preserve">https://doi.org/10.1046/j.1365-2427.2001.00702.x</w:t>
        </w:r>
      </w:hyperlink>
    </w:p>
    <w:bookmarkEnd w:id="130"/>
    <w:bookmarkStart w:id="132" w:name="ref-Peacor2001"/>
    <w:p>
      <w:pPr>
        <w:pStyle w:val="Bibliography"/>
      </w:pPr>
      <w:r>
        <w:t xml:space="preserve">Peacor, S. D., &amp; Werner, E. E. (2001). The contribution of trait-mediated indirect effects to the net effects of a predator.</w:t>
      </w:r>
      <w:r>
        <w:t xml:space="preserve"> </w:t>
      </w:r>
      <w:r>
        <w:rPr>
          <w:i/>
          <w:iCs/>
        </w:rPr>
        <w:t xml:space="preserve">Proceedings of the National Academy of Sciences</w:t>
      </w:r>
      <w:r>
        <w:t xml:space="preserve">,</w:t>
      </w:r>
      <w:r>
        <w:t xml:space="preserve"> </w:t>
      </w:r>
      <w:r>
        <w:rPr>
          <w:i/>
          <w:iCs/>
        </w:rPr>
        <w:t xml:space="preserve">98</w:t>
      </w:r>
      <w:r>
        <w:t xml:space="preserve">(7), 3904–3908.</w:t>
      </w:r>
      <w:r>
        <w:t xml:space="preserve"> </w:t>
      </w:r>
      <w:hyperlink r:id="rId131">
        <w:r>
          <w:rPr>
            <w:rStyle w:val="Hyperlink"/>
          </w:rPr>
          <w:t xml:space="preserve">https://doi.org/10.1073/pnas.071061998</w:t>
        </w:r>
      </w:hyperlink>
    </w:p>
    <w:bookmarkEnd w:id="132"/>
    <w:bookmarkStart w:id="134" w:name="ref-Preisser2005"/>
    <w:p>
      <w:pPr>
        <w:pStyle w:val="Bibliography"/>
      </w:pPr>
      <w:r>
        <w:t xml:space="preserve">Preisser, E. L., Bolnick, D. I., &amp; Benard, M. F. (2005). Scared to death? The effects of intimidation and consumption in predator–prey interactions.</w:t>
      </w:r>
      <w:r>
        <w:t xml:space="preserve"> </w:t>
      </w:r>
      <w:r>
        <w:rPr>
          <w:i/>
          <w:iCs/>
        </w:rPr>
        <w:t xml:space="preserve">Ecology</w:t>
      </w:r>
      <w:r>
        <w:t xml:space="preserve">,</w:t>
      </w:r>
      <w:r>
        <w:t xml:space="preserve"> </w:t>
      </w:r>
      <w:r>
        <w:rPr>
          <w:i/>
          <w:iCs/>
        </w:rPr>
        <w:t xml:space="preserve">86</w:t>
      </w:r>
      <w:r>
        <w:t xml:space="preserve">(2), 501–509.</w:t>
      </w:r>
      <w:r>
        <w:t xml:space="preserve"> </w:t>
      </w:r>
      <w:hyperlink r:id="rId133">
        <w:r>
          <w:rPr>
            <w:rStyle w:val="Hyperlink"/>
          </w:rPr>
          <w:t xml:space="preserve">https://doi.org/10.1890/04-0719</w:t>
        </w:r>
      </w:hyperlink>
    </w:p>
    <w:bookmarkEnd w:id="134"/>
    <w:bookmarkStart w:id="136" w:name="ref-Preisser2008"/>
    <w:p>
      <w:pPr>
        <w:pStyle w:val="Bibliography"/>
      </w:pPr>
      <w:r>
        <w:t xml:space="preserve">Preisser, E. L., &amp; Bolnick, D. I. (2008). The many faces of fear: Comparing the pathways and impacts of nonconsumptive predator effects on prey populations.</w:t>
      </w:r>
      <w:r>
        <w:t xml:space="preserve"> </w:t>
      </w:r>
      <w:r>
        <w:rPr>
          <w:i/>
          <w:iCs/>
        </w:rPr>
        <w:t xml:space="preserve">PLoS ONE</w:t>
      </w:r>
      <w:r>
        <w:t xml:space="preserve">,</w:t>
      </w:r>
      <w:r>
        <w:t xml:space="preserve"> </w:t>
      </w:r>
      <w:r>
        <w:rPr>
          <w:i/>
          <w:iCs/>
        </w:rPr>
        <w:t xml:space="preserve">3</w:t>
      </w:r>
      <w:r>
        <w:t xml:space="preserve">(6), e2465.</w:t>
      </w:r>
      <w:r>
        <w:t xml:space="preserve"> </w:t>
      </w:r>
      <w:hyperlink r:id="rId135">
        <w:r>
          <w:rPr>
            <w:rStyle w:val="Hyperlink"/>
          </w:rPr>
          <w:t xml:space="preserve">https://doi.org/10.1371/journal.pone.0002465</w:t>
        </w:r>
      </w:hyperlink>
    </w:p>
    <w:bookmarkEnd w:id="136"/>
    <w:bookmarkStart w:id="138" w:name="ref-RCoreTeam2025"/>
    <w:p>
      <w:pPr>
        <w:pStyle w:val="Bibliography"/>
      </w:pPr>
      <w:r>
        <w:t xml:space="preserve">R Core Team. (2025).</w:t>
      </w:r>
      <w:r>
        <w:t xml:space="preserve"> </w:t>
      </w:r>
      <w:r>
        <w:rPr>
          <w:i/>
          <w:iCs/>
        </w:rPr>
        <w:t xml:space="preserve">R: A language and environment for statistical computing</w:t>
      </w:r>
      <w:r>
        <w:t xml:space="preserve"> </w:t>
      </w:r>
      <w:r>
        <w:t xml:space="preserve">[Computer software]. R Foundation for Statistical Computing.</w:t>
      </w:r>
      <w:r>
        <w:t xml:space="preserve"> </w:t>
      </w:r>
      <w:hyperlink r:id="rId137">
        <w:r>
          <w:rPr>
            <w:rStyle w:val="Hyperlink"/>
          </w:rPr>
          <w:t xml:space="preserve">https://www.R-project.org/</w:t>
        </w:r>
      </w:hyperlink>
    </w:p>
    <w:bookmarkEnd w:id="138"/>
    <w:bookmarkStart w:id="140" w:name="ref-RambergPihl2020"/>
    <w:p>
      <w:pPr>
        <w:pStyle w:val="Bibliography"/>
      </w:pPr>
      <w:r>
        <w:t xml:space="preserve">Ramberg-Pihl, N. C., &amp; Yurewicz, K. L. (2020). Behavioral responses of northern crayfish (faxonius virilis) to conspecific alarm cues and predator cues from smallmouth bass (micropterus dolomieu).</w:t>
      </w:r>
      <w:r>
        <w:t xml:space="preserve"> </w:t>
      </w:r>
      <w:r>
        <w:rPr>
          <w:i/>
          <w:iCs/>
        </w:rPr>
        <w:t xml:space="preserve">Marine and Freshwater Behaviour and Physiology</w:t>
      </w:r>
      <w:r>
        <w:t xml:space="preserve">,</w:t>
      </w:r>
      <w:r>
        <w:t xml:space="preserve"> </w:t>
      </w:r>
      <w:r>
        <w:rPr>
          <w:i/>
          <w:iCs/>
        </w:rPr>
        <w:t xml:space="preserve">53</w:t>
      </w:r>
      <w:r>
        <w:t xml:space="preserve">(1), 1–16.</w:t>
      </w:r>
      <w:r>
        <w:t xml:space="preserve"> </w:t>
      </w:r>
      <w:hyperlink r:id="rId139">
        <w:r>
          <w:rPr>
            <w:rStyle w:val="Hyperlink"/>
          </w:rPr>
          <w:t xml:space="preserve">https://doi.org/10.1080/10236244.2020.1717338</w:t>
        </w:r>
      </w:hyperlink>
    </w:p>
    <w:bookmarkEnd w:id="140"/>
    <w:bookmarkStart w:id="142" w:name="ref-Ryan2009"/>
    <w:p>
      <w:pPr>
        <w:pStyle w:val="Bibliography"/>
      </w:pPr>
      <w:r>
        <w:t xml:space="preserve">Ryan, P. (2009).</w:t>
      </w:r>
      <w:r>
        <w:t xml:space="preserve"> </w:t>
      </w:r>
      <w:r>
        <w:rPr>
          <w:i/>
          <w:iCs/>
        </w:rPr>
        <w:t xml:space="preserve">Eels | te ara encyclopedia of new zealand</w:t>
      </w:r>
      <w:r>
        <w:t xml:space="preserve">.</w:t>
      </w:r>
      <w:r>
        <w:t xml:space="preserve"> </w:t>
      </w:r>
      <w:hyperlink r:id="rId141">
        <w:r>
          <w:rPr>
            <w:rStyle w:val="Hyperlink"/>
          </w:rPr>
          <w:t xml:space="preserve">https://teara.govt.nz/en/eels</w:t>
        </w:r>
      </w:hyperlink>
    </w:p>
    <w:bookmarkEnd w:id="142"/>
    <w:bookmarkStart w:id="144" w:name="ref-Schmitz1997"/>
    <w:p>
      <w:pPr>
        <w:pStyle w:val="Bibliography"/>
      </w:pPr>
      <w:r>
        <w:t xml:space="preserve">Schmitz, O. J., Beckerman, A. P., &amp; O’Brien, K. M. (1997). Behaviorally mediated trophic cascades: Effects of predation risk on food web interactions.</w:t>
      </w:r>
      <w:r>
        <w:t xml:space="preserve"> </w:t>
      </w:r>
      <w:r>
        <w:rPr>
          <w:i/>
          <w:iCs/>
        </w:rPr>
        <w:t xml:space="preserve">Ecology</w:t>
      </w:r>
      <w:r>
        <w:t xml:space="preserve">,</w:t>
      </w:r>
      <w:r>
        <w:t xml:space="preserve"> </w:t>
      </w:r>
      <w:r>
        <w:rPr>
          <w:i/>
          <w:iCs/>
        </w:rPr>
        <w:t xml:space="preserve">78</w:t>
      </w:r>
      <w:r>
        <w:t xml:space="preserve">(5), 1388–1399.</w:t>
      </w:r>
      <w:r>
        <w:t xml:space="preserve"> </w:t>
      </w:r>
      <w:hyperlink r:id="rId143">
        <w:r>
          <w:rPr>
            <w:rStyle w:val="Hyperlink"/>
          </w:rPr>
          <w:t xml:space="preserve">https://doi.org/10.1890/0012-9658(1997)078[1388:bmtceo]2.0.co;2</w:t>
        </w:r>
      </w:hyperlink>
    </w:p>
    <w:bookmarkEnd w:id="144"/>
    <w:bookmarkStart w:id="145" w:name="ref-Scott1973"/>
    <w:p>
      <w:pPr>
        <w:pStyle w:val="Bibliography"/>
      </w:pPr>
      <w:r>
        <w:t xml:space="preserve">Scott, W. B., &amp; Crossman, E. J. (1973).</w:t>
      </w:r>
      <w:r>
        <w:t xml:space="preserve"> </w:t>
      </w:r>
      <w:r>
        <w:rPr>
          <w:i/>
          <w:iCs/>
        </w:rPr>
        <w:t xml:space="preserve">Freshwater fishes of canada</w:t>
      </w:r>
      <w:r>
        <w:t xml:space="preserve">. Fisheries Research Board of Canada.</w:t>
      </w:r>
    </w:p>
    <w:bookmarkEnd w:id="145"/>
    <w:bookmarkStart w:id="146" w:name="ref-Shave1994"/>
    <w:p>
      <w:pPr>
        <w:pStyle w:val="Bibliography"/>
      </w:pPr>
      <w:r>
        <w:t xml:space="preserve">Shave, Cathy. R., Townsend, C. R., &amp; Crowl, T. A. (1994). Anti-predator behaviours of a freshwater crayfish (paranephrops zealandicus)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46"/>
    <w:bookmarkStart w:id="148" w:name="ref-Sheriff2020"/>
    <w:p>
      <w:pPr>
        <w:pStyle w:val="Bibliography"/>
      </w:pPr>
      <w:r>
        <w:t xml:space="preserve">Sheriff, M. J., Peacor, S. D., Hawlena, D., &amp; Thaker, M. (2020). Non-consumptive predator effects on prey population size: A dearth of evidence.</w:t>
      </w:r>
      <w:r>
        <w:t xml:space="preserve"> </w:t>
      </w:r>
      <w:r>
        <w:rPr>
          <w:i/>
          <w:iCs/>
        </w:rPr>
        <w:t xml:space="preserve">Journal of Animal Ecology</w:t>
      </w:r>
      <w:r>
        <w:t xml:space="preserve">,</w:t>
      </w:r>
      <w:r>
        <w:t xml:space="preserve"> </w:t>
      </w:r>
      <w:r>
        <w:rPr>
          <w:i/>
          <w:iCs/>
        </w:rPr>
        <w:t xml:space="preserve">89</w:t>
      </w:r>
      <w:r>
        <w:t xml:space="preserve">(6), 1302–1316.</w:t>
      </w:r>
      <w:r>
        <w:t xml:space="preserve"> </w:t>
      </w:r>
      <w:hyperlink r:id="rId147">
        <w:r>
          <w:rPr>
            <w:rStyle w:val="Hyperlink"/>
          </w:rPr>
          <w:t xml:space="preserve">https://doi.org/10.1111/1365-2656.13213</w:t>
        </w:r>
      </w:hyperlink>
    </w:p>
    <w:bookmarkEnd w:id="148"/>
    <w:bookmarkStart w:id="150" w:name="ref-Sih2010"/>
    <w:p>
      <w:pPr>
        <w:pStyle w:val="Bibliography"/>
      </w:pPr>
      <w:r>
        <w:t xml:space="preserve">Sih, A., Bolnick, D. I., Luttbeg, B., Orrock, J. L., Peacor, S. D., Pintor, L. M., Preisser, E., Rehage, J. S., &amp; Vonesh, J. R. (2010). Predator–prey naïveté, antipredator behavior, and the ecology of predator invasions.</w:t>
      </w:r>
      <w:r>
        <w:t xml:space="preserve"> </w:t>
      </w:r>
      <w:r>
        <w:rPr>
          <w:i/>
          <w:iCs/>
        </w:rPr>
        <w:t xml:space="preserve">Oikos</w:t>
      </w:r>
      <w:r>
        <w:t xml:space="preserve">,</w:t>
      </w:r>
      <w:r>
        <w:t xml:space="preserve"> </w:t>
      </w:r>
      <w:r>
        <w:rPr>
          <w:i/>
          <w:iCs/>
        </w:rPr>
        <w:t xml:space="preserve">119</w:t>
      </w:r>
      <w:r>
        <w:t xml:space="preserve">(4), 610–621.</w:t>
      </w:r>
      <w:r>
        <w:t xml:space="preserve"> </w:t>
      </w:r>
      <w:hyperlink r:id="rId149">
        <w:r>
          <w:rPr>
            <w:rStyle w:val="Hyperlink"/>
          </w:rPr>
          <w:t xml:space="preserve">https://doi.org/10.1111/j.1600-0706.2009.18039.x</w:t>
        </w:r>
      </w:hyperlink>
    </w:p>
    <w:bookmarkEnd w:id="150"/>
    <w:bookmarkStart w:id="152" w:name="ref-Sih2023"/>
    <w:p>
      <w:pPr>
        <w:pStyle w:val="Bibliography"/>
      </w:pPr>
      <w:r>
        <w:t xml:space="preserve">Sih, A., Chung, H. J., Neylan, I., Ortiz-Jimenez, C., Sakai, O., &amp; Szeligowski, R. (2023). Fear generalization and behavioral responses to multiple dangers.</w:t>
      </w:r>
      <w:r>
        <w:t xml:space="preserve"> </w:t>
      </w:r>
      <w:r>
        <w:rPr>
          <w:i/>
          <w:iCs/>
        </w:rPr>
        <w:t xml:space="preserve">Trends in Ecology &amp; Evolution</w:t>
      </w:r>
      <w:r>
        <w:t xml:space="preserve">,</w:t>
      </w:r>
      <w:r>
        <w:t xml:space="preserve"> </w:t>
      </w:r>
      <w:r>
        <w:rPr>
          <w:i/>
          <w:iCs/>
        </w:rPr>
        <w:t xml:space="preserve">38</w:t>
      </w:r>
      <w:r>
        <w:t xml:space="preserve">(4), 369–380.</w:t>
      </w:r>
      <w:r>
        <w:t xml:space="preserve"> </w:t>
      </w:r>
      <w:hyperlink r:id="rId151">
        <w:r>
          <w:rPr>
            <w:rStyle w:val="Hyperlink"/>
          </w:rPr>
          <w:t xml:space="preserve">https://doi.org/10.1016/j.tree.2022.11.001</w:t>
        </w:r>
      </w:hyperlink>
    </w:p>
    <w:bookmarkEnd w:id="152"/>
    <w:bookmarkStart w:id="154" w:name="ref-Sih2011"/>
    <w:p>
      <w:pPr>
        <w:pStyle w:val="Bibliography"/>
      </w:pPr>
      <w:r>
        <w:t xml:space="preserve">Sih, A., Ferrari, M. C. O., &amp; Harris, D. J. (2011). Evolution and behavioural responses to human‐induced rapid environmental change.</w:t>
      </w:r>
      <w:r>
        <w:t xml:space="preserve"> </w:t>
      </w:r>
      <w:r>
        <w:rPr>
          <w:i/>
          <w:iCs/>
        </w:rPr>
        <w:t xml:space="preserve">Evolutionary Applications</w:t>
      </w:r>
      <w:r>
        <w:t xml:space="preserve">,</w:t>
      </w:r>
      <w:r>
        <w:t xml:space="preserve"> </w:t>
      </w:r>
      <w:r>
        <w:rPr>
          <w:i/>
          <w:iCs/>
        </w:rPr>
        <w:t xml:space="preserve">4</w:t>
      </w:r>
      <w:r>
        <w:t xml:space="preserve">(2), 367–387.</w:t>
      </w:r>
      <w:r>
        <w:t xml:space="preserve"> </w:t>
      </w:r>
      <w:hyperlink r:id="rId153">
        <w:r>
          <w:rPr>
            <w:rStyle w:val="Hyperlink"/>
          </w:rPr>
          <w:t xml:space="preserve">https://doi.org/10.1111/j.1752-4571.2010.00166.x</w:t>
        </w:r>
      </w:hyperlink>
    </w:p>
    <w:bookmarkEnd w:id="154"/>
    <w:bookmarkStart w:id="156" w:name="ref-Smee2006"/>
    <w:p>
      <w:pPr>
        <w:pStyle w:val="Bibliography"/>
      </w:pPr>
      <w:r>
        <w:t xml:space="preserve">Smee, D. L., &amp; Weissburg, M. J. (2006). Hard clams (mercenaria mercenaria) evaluate predation risk using chemical signals from predators and injured conspecifics.</w:t>
      </w:r>
      <w:r>
        <w:t xml:space="preserve"> </w:t>
      </w:r>
      <w:r>
        <w:rPr>
          <w:i/>
          <w:iCs/>
        </w:rPr>
        <w:t xml:space="preserve">Journal of Chemical Ecology</w:t>
      </w:r>
      <w:r>
        <w:t xml:space="preserve">,</w:t>
      </w:r>
      <w:r>
        <w:t xml:space="preserve"> </w:t>
      </w:r>
      <w:r>
        <w:rPr>
          <w:i/>
          <w:iCs/>
        </w:rPr>
        <w:t xml:space="preserve">32</w:t>
      </w:r>
      <w:r>
        <w:t xml:space="preserve">(3), 605–619.</w:t>
      </w:r>
      <w:r>
        <w:t xml:space="preserve"> </w:t>
      </w:r>
      <w:hyperlink r:id="rId155">
        <w:r>
          <w:rPr>
            <w:rStyle w:val="Hyperlink"/>
          </w:rPr>
          <w:t xml:space="preserve">https://doi.org/10.1007/s10886-005-9021-8</w:t>
        </w:r>
      </w:hyperlink>
    </w:p>
    <w:bookmarkEnd w:id="156"/>
    <w:bookmarkStart w:id="158" w:name="ref-Sniegula2025"/>
    <w:p>
      <w:pPr>
        <w:pStyle w:val="Bibliography"/>
      </w:pPr>
      <w:r>
        <w:t xml:space="preserve">Sniegula, S., Konczarek, D., Bonk, M., Antoł, A., Amer, N. R., &amp; Stoks, R. (2025). Non-consumptive effects of native, alien and invasive alien crayfish on damselfly egg life history and carry-over effects on larval physiology.</w:t>
      </w:r>
      <w:r>
        <w:t xml:space="preserve"> </w:t>
      </w:r>
      <w:r>
        <w:rPr>
          <w:i/>
          <w:iCs/>
        </w:rPr>
        <w:t xml:space="preserve">NeoBiota</w:t>
      </w:r>
      <w:r>
        <w:t xml:space="preserve">,</w:t>
      </w:r>
      <w:r>
        <w:t xml:space="preserve"> </w:t>
      </w:r>
      <w:r>
        <w:rPr>
          <w:i/>
          <w:iCs/>
        </w:rPr>
        <w:t xml:space="preserve">97</w:t>
      </w:r>
      <w:r>
        <w:t xml:space="preserve">, 215–235.</w:t>
      </w:r>
      <w:r>
        <w:t xml:space="preserve"> </w:t>
      </w:r>
      <w:hyperlink r:id="rId157">
        <w:r>
          <w:rPr>
            <w:rStyle w:val="Hyperlink"/>
          </w:rPr>
          <w:t xml:space="preserve">https://doi.org/10.3897/neobiota.97.139760</w:t>
        </w:r>
      </w:hyperlink>
    </w:p>
    <w:bookmarkEnd w:id="158"/>
    <w:bookmarkStart w:id="160" w:name="ref-Stebbing2010"/>
    <w:p>
      <w:pPr>
        <w:pStyle w:val="Bibliography"/>
      </w:pPr>
      <w:r>
        <w:t xml:space="preserve">Stebbing, P. D., Watson, G. J., &amp; Bentley, M. G. (2010). The response to disturbance chemicals and predator odours of juvenile and adult signal crayfish pacifastacus leniusculus (dana).</w:t>
      </w:r>
      <w:r>
        <w:t xml:space="preserve"> </w:t>
      </w:r>
      <w:r>
        <w:rPr>
          <w:i/>
          <w:iCs/>
        </w:rPr>
        <w:t xml:space="preserve">Marine and Freshwater Behaviour and Physiology</w:t>
      </w:r>
      <w:r>
        <w:t xml:space="preserve">,</w:t>
      </w:r>
      <w:r>
        <w:t xml:space="preserve"> </w:t>
      </w:r>
      <w:r>
        <w:rPr>
          <w:i/>
          <w:iCs/>
        </w:rPr>
        <w:t xml:space="preserve">43</w:t>
      </w:r>
      <w:r>
        <w:t xml:space="preserve">(3), 183–195.</w:t>
      </w:r>
      <w:r>
        <w:t xml:space="preserve"> </w:t>
      </w:r>
      <w:hyperlink r:id="rId159">
        <w:r>
          <w:rPr>
            <w:rStyle w:val="Hyperlink"/>
          </w:rPr>
          <w:t xml:space="preserve">https://doi.org/10.1080/10236244.2010.487301</w:t>
        </w:r>
      </w:hyperlink>
    </w:p>
    <w:bookmarkEnd w:id="160"/>
    <w:bookmarkStart w:id="162" w:name="ref-Stein1976"/>
    <w:p>
      <w:pPr>
        <w:pStyle w:val="Bibliography"/>
      </w:pPr>
      <w:r>
        <w:t xml:space="preserve">Stein, R. A., &amp; Magnuson, J. J. (1976). Behavioral response of crayfish to a fish predator.</w:t>
      </w:r>
      <w:r>
        <w:t xml:space="preserve"> </w:t>
      </w:r>
      <w:r>
        <w:rPr>
          <w:i/>
          <w:iCs/>
        </w:rPr>
        <w:t xml:space="preserve">Ecology</w:t>
      </w:r>
      <w:r>
        <w:t xml:space="preserve">,</w:t>
      </w:r>
      <w:r>
        <w:t xml:space="preserve"> </w:t>
      </w:r>
      <w:r>
        <w:rPr>
          <w:i/>
          <w:iCs/>
        </w:rPr>
        <w:t xml:space="preserve">57</w:t>
      </w:r>
      <w:r>
        <w:t xml:space="preserve">(4), 751–761.</w:t>
      </w:r>
      <w:r>
        <w:t xml:space="preserve"> </w:t>
      </w:r>
      <w:hyperlink r:id="rId161">
        <w:r>
          <w:rPr>
            <w:rStyle w:val="Hyperlink"/>
          </w:rPr>
          <w:t xml:space="preserve">https://doi.org/10.2307/1936188</w:t>
        </w:r>
      </w:hyperlink>
    </w:p>
    <w:bookmarkEnd w:id="162"/>
    <w:bookmarkStart w:id="164"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63">
        <w:r>
          <w:rPr>
            <w:rStyle w:val="Hyperlink"/>
          </w:rPr>
          <w:t xml:space="preserve">https://doi.org/10.1890/02-0618</w:t>
        </w:r>
      </w:hyperlink>
    </w:p>
    <w:bookmarkEnd w:id="164"/>
    <w:bookmarkStart w:id="166" w:name="ref-Wood2020a"/>
    <w:p>
      <w:pPr>
        <w:pStyle w:val="Bibliography"/>
      </w:pPr>
      <w:r>
        <w:t xml:space="preserve">Wood, T. C., &amp; Moore, P. A. (2020a). Big and bad: How relative predator size and dietary information influence rusty crayfish (faxonius rusticus) behavior and resource-use decisions.</w:t>
      </w:r>
      <w:r>
        <w:t xml:space="preserve"> </w:t>
      </w:r>
      <w:r>
        <w:rPr>
          <w:i/>
          <w:iCs/>
        </w:rPr>
        <w:t xml:space="preserve">Canadian Journal of Zoology</w:t>
      </w:r>
      <w:r>
        <w:t xml:space="preserve">,</w:t>
      </w:r>
      <w:r>
        <w:t xml:space="preserve"> </w:t>
      </w:r>
      <w:r>
        <w:rPr>
          <w:i/>
          <w:iCs/>
        </w:rPr>
        <w:t xml:space="preserve">98</w:t>
      </w:r>
      <w:r>
        <w:t xml:space="preserve">(1), 62–72.</w:t>
      </w:r>
      <w:r>
        <w:t xml:space="preserve"> </w:t>
      </w:r>
      <w:hyperlink r:id="rId165">
        <w:r>
          <w:rPr>
            <w:rStyle w:val="Hyperlink"/>
          </w:rPr>
          <w:t xml:space="preserve">https://doi.org/10.1139/cjz-2019-0089</w:t>
        </w:r>
      </w:hyperlink>
    </w:p>
    <w:bookmarkEnd w:id="166"/>
    <w:bookmarkStart w:id="168" w:name="ref-Wood2020b"/>
    <w:p>
      <w:pPr>
        <w:pStyle w:val="Bibliography"/>
      </w:pPr>
      <w:r>
        <w:t xml:space="preserve">Wood, T. C., &amp; Moore, P. A. (2020b). Fine-tuned responses to chemical landscapes: Crayfish use predator odors to assess threats based on relative size ratios.</w:t>
      </w:r>
      <w:r>
        <w:t xml:space="preserve"> </w:t>
      </w:r>
      <w:r>
        <w:rPr>
          <w:i/>
          <w:iCs/>
        </w:rPr>
        <w:t xml:space="preserve">Ecosphere</w:t>
      </w:r>
      <w:r>
        <w:t xml:space="preserve">,</w:t>
      </w:r>
      <w:r>
        <w:t xml:space="preserve"> </w:t>
      </w:r>
      <w:r>
        <w:rPr>
          <w:i/>
          <w:iCs/>
        </w:rPr>
        <w:t xml:space="preserve">11</w:t>
      </w:r>
      <w:r>
        <w:t xml:space="preserve">(9), e03188.</w:t>
      </w:r>
      <w:r>
        <w:t xml:space="preserve"> </w:t>
      </w:r>
      <w:hyperlink r:id="rId167">
        <w:r>
          <w:rPr>
            <w:rStyle w:val="Hyperlink"/>
          </w:rPr>
          <w:t xml:space="preserve">https://doi.org/10.1002/ecs2.3188</w:t>
        </w:r>
      </w:hyperlink>
    </w:p>
    <w:bookmarkEnd w:id="168"/>
    <w:bookmarkStart w:id="170" w:name="ref-Wright2010"/>
    <w:p>
      <w:pPr>
        <w:pStyle w:val="Bibliography"/>
      </w:pPr>
      <w:r>
        <w:t xml:space="preserve">Wright, T. F., Eberhard, J. R., Hobson, E. A., Avery, M. L., &amp; Russello, M. A. (2010). Behavioral flexibility and species invasions: The adaptive flexibility hypothesis.</w:t>
      </w:r>
      <w:r>
        <w:t xml:space="preserve"> </w:t>
      </w:r>
      <w:r>
        <w:rPr>
          <w:i/>
          <w:iCs/>
        </w:rPr>
        <w:t xml:space="preserve">Ethology Ecology &amp; Evolution</w:t>
      </w:r>
      <w:r>
        <w:t xml:space="preserve">,</w:t>
      </w:r>
      <w:r>
        <w:t xml:space="preserve"> </w:t>
      </w:r>
      <w:r>
        <w:rPr>
          <w:i/>
          <w:iCs/>
        </w:rPr>
        <w:t xml:space="preserve">22</w:t>
      </w:r>
      <w:r>
        <w:t xml:space="preserve">(4), 393–404.</w:t>
      </w:r>
      <w:r>
        <w:t xml:space="preserve"> </w:t>
      </w:r>
      <w:hyperlink r:id="rId169">
        <w:r>
          <w:rPr>
            <w:rStyle w:val="Hyperlink"/>
          </w:rPr>
          <w:t xml:space="preserve">https://doi.org/10.1080/03949370.2010.505580</w:t>
        </w:r>
      </w:hyperlink>
    </w:p>
    <w:bookmarkEnd w:id="170"/>
    <w:bookmarkStart w:id="172"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71">
        <w:r>
          <w:rPr>
            <w:rStyle w:val="Hyperlink"/>
          </w:rPr>
          <w:t xml:space="preserve">https://doi.org/10.3390/ani14081147</w:t>
        </w:r>
      </w:hyperlink>
    </w:p>
    <w:bookmarkEnd w:id="172"/>
    <w:bookmarkEnd w:id="173"/>
    <w:bookmarkEnd w:id="174"/>
    <w:sectPr w:rsidR="000654DB"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510764"/>
    <w:rsid w:val="0051102F"/>
    <w:rsid w:val="006327B2"/>
    <w:rsid w:val="00634882"/>
    <w:rsid w:val="00696C14"/>
    <w:rsid w:val="008000A7"/>
    <w:rsid w:val="00917306"/>
    <w:rsid w:val="009B7F83"/>
    <w:rsid w:val="00B43B10"/>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0654DB"/>
    <w:pPr>
      <w:keepNext/>
      <w:keepLines/>
      <w:spacing w:after="80" w:before="360"/>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0654DB"/>
    <w:pPr>
      <w:keepNext/>
      <w:keepLines/>
      <w:spacing w:after="80" w:before="160"/>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654DB"/>
    <w:rPr>
      <w:rFonts w:cstheme="majorBidi" w:eastAsiaTheme="majorEastAsia"/>
      <w:b/>
      <w:sz w:val="32"/>
      <w:szCs w:val="40"/>
      <w:lang w:val="en-GB"/>
    </w:rPr>
  </w:style>
  <w:style w:customStyle="1" w:styleId="Heading2Char" w:type="character">
    <w:name w:val="Heading 2 Char"/>
    <w:basedOn w:val="DefaultParagraphFont"/>
    <w:link w:val="Heading2"/>
    <w:uiPriority w:val="9"/>
    <w:rsid w:val="000654DB"/>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hyperlink" Id="rId77" Target="http://hdl.handle.net/10179/1168" TargetMode="External" /><Relationship Type="http://schemas.openxmlformats.org/officeDocument/2006/relationships/hyperlink" Id="rId34" Target="https://OlivierRaven.github.io/https---github.com-OlivierRaven-NCE_Koura_catfish/analysis-preview.html#cell-tbl-emmeans-stratified" TargetMode="External" /><Relationship Type="http://schemas.openxmlformats.org/officeDocument/2006/relationships/hyperlink" Id="rId60" Target="https://OlivierRaven.github.io/https---github.com-OlivierRaven-NCE_Koura_catfish/analysis-preview.html#cell-tbl-feeding-summary" TargetMode="External" /><Relationship Type="http://schemas.openxmlformats.org/officeDocument/2006/relationships/hyperlink" Id="rId58" Target="https://OlivierRaven.github.io/https---github.com-OlivierRaven-NCE_Koura_catfish/analysis-preview.html#cell-tbl-refuge-prop" TargetMode="External" /><Relationship Type="http://schemas.openxmlformats.org/officeDocument/2006/relationships/hyperlink" Id="rId44" Target="https://OlivierRaven.github.io/https---github.com-OlivierRaven-NCE_Koura_catfish/index.qmd.html" TargetMode="External" /><Relationship Type="http://schemas.openxmlformats.org/officeDocument/2006/relationships/hyperlink" Id="rId125" Target="https://agris.fao.org/search/en/providers/122621/records/6473966cce9437aa76003d0e"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100" Target="https://cran.r-project.org/web/packages/DHARMa/index.html" TargetMode="External" /><Relationship Type="http://schemas.openxmlformats.org/officeDocument/2006/relationships/hyperlink" Id="rId117" Target="https://cran.r-project.org/web/packages/emmeans/index.html" TargetMode="External" /><Relationship Type="http://schemas.openxmlformats.org/officeDocument/2006/relationships/hyperlink" Id="rId167" Target="https://doi.org/10.1002/ecs2.3188" TargetMode="External" /><Relationship Type="http://schemas.openxmlformats.org/officeDocument/2006/relationships/hyperlink" Id="rId79" Target="https://doi.org/10.1007/978-0-387-22456-5_6" TargetMode="External" /><Relationship Type="http://schemas.openxmlformats.org/officeDocument/2006/relationships/hyperlink" Id="rId108" Target="https://doi.org/10.1007/s10530-016-1268-1" TargetMode="External" /><Relationship Type="http://schemas.openxmlformats.org/officeDocument/2006/relationships/hyperlink" Id="rId106" Target="https://doi.org/10.1007/s10750-013-1708-1" TargetMode="External" /><Relationship Type="http://schemas.openxmlformats.org/officeDocument/2006/relationships/hyperlink" Id="rId155" Target="https://doi.org/10.1007/s10886-005-9021-8" TargetMode="External" /><Relationship Type="http://schemas.openxmlformats.org/officeDocument/2006/relationships/hyperlink" Id="rId151" Target="https://doi.org/10.1016/j.tree.2022.11.001" TargetMode="External" /><Relationship Type="http://schemas.openxmlformats.org/officeDocument/2006/relationships/hyperlink" Id="rId129" Target="https://doi.org/10.1046/j.1365-2427.2001.00702.x" TargetMode="External" /><Relationship Type="http://schemas.openxmlformats.org/officeDocument/2006/relationships/hyperlink" Id="rId102" Target="https://doi.org/10.1046/j.1439-0310.2003.00902.x" TargetMode="External" /><Relationship Type="http://schemas.openxmlformats.org/officeDocument/2006/relationships/hyperlink" Id="rId121" Target="https://doi.org/10.1051/kmae/2025022" TargetMode="External" /><Relationship Type="http://schemas.openxmlformats.org/officeDocument/2006/relationships/hyperlink" Id="rId131" Target="https://doi.org/10.1073/pnas.071061998" TargetMode="External" /><Relationship Type="http://schemas.openxmlformats.org/officeDocument/2006/relationships/hyperlink" Id="rId91" Target="https://doi.org/10.1073/pnas.1602480113" TargetMode="External" /><Relationship Type="http://schemas.openxmlformats.org/officeDocument/2006/relationships/hyperlink" Id="rId104" Target="https://doi.org/10.1080/00288330.1997.9516796" TargetMode="External" /><Relationship Type="http://schemas.openxmlformats.org/officeDocument/2006/relationships/hyperlink" Id="rId111" Target="https://doi.org/10.1080/00288330909510036" TargetMode="External" /><Relationship Type="http://schemas.openxmlformats.org/officeDocument/2006/relationships/hyperlink" Id="rId169"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59" Target="https://doi.org/10.1080/10236244.2010.487301" TargetMode="External" /><Relationship Type="http://schemas.openxmlformats.org/officeDocument/2006/relationships/hyperlink" Id="rId13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6" Target="https://doi.org/10.1098/rspb.1979.0081" TargetMode="External" /><Relationship Type="http://schemas.openxmlformats.org/officeDocument/2006/relationships/hyperlink" Id="rId83" Target="https://doi.org/10.1111/1365-2435.12007" TargetMode="External" /><Relationship Type="http://schemas.openxmlformats.org/officeDocument/2006/relationships/hyperlink" Id="rId147" Target="https://doi.org/10.1111/1365-2656.13213" TargetMode="External" /><Relationship Type="http://schemas.openxmlformats.org/officeDocument/2006/relationships/hyperlink" Id="rId81" Target="https://doi.org/10.1111/brv.12087" TargetMode="External" /><Relationship Type="http://schemas.openxmlformats.org/officeDocument/2006/relationships/hyperlink" Id="rId70" Target="https://doi.org/10.1111/j.1365-2427.1993.tb00747.x" TargetMode="External" /><Relationship Type="http://schemas.openxmlformats.org/officeDocument/2006/relationships/hyperlink" Id="rId127" Target="https://doi.org/10.1111/j.1365-2427.2005.01438.x" TargetMode="External" /><Relationship Type="http://schemas.openxmlformats.org/officeDocument/2006/relationships/hyperlink" Id="rId98" Target="https://doi.org/10.1111/j.1365-2427.2011.02595.x" TargetMode="External" /><Relationship Type="http://schemas.openxmlformats.org/officeDocument/2006/relationships/hyperlink" Id="rId149" Target="https://doi.org/10.1111/j.1600-0706.2009.18039.x" TargetMode="External" /><Relationship Type="http://schemas.openxmlformats.org/officeDocument/2006/relationships/hyperlink" Id="rId153" Target="https://doi.org/10.1111/j.1752-4571.2010.00166.x" TargetMode="External" /><Relationship Type="http://schemas.openxmlformats.org/officeDocument/2006/relationships/hyperlink" Id="rId165" Target="https://doi.org/10.1139/cjz-2019-0089" TargetMode="External" /><Relationship Type="http://schemas.openxmlformats.org/officeDocument/2006/relationships/hyperlink" Id="rId113" Target="https://doi.org/10.1139/z01-094" TargetMode="External" /><Relationship Type="http://schemas.openxmlformats.org/officeDocument/2006/relationships/hyperlink" Id="rId119" Target="https://doi.org/10.1139/z90-092" TargetMode="External" /><Relationship Type="http://schemas.openxmlformats.org/officeDocument/2006/relationships/hyperlink" Id="rId61"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135" Target="https://doi.org/10.1371/journal.pone.0002465" TargetMode="External" /><Relationship Type="http://schemas.openxmlformats.org/officeDocument/2006/relationships/hyperlink" Id="rId63" Target="https://doi.org/10.1371/journal.pone.0340001" TargetMode="External" /><Relationship Type="http://schemas.openxmlformats.org/officeDocument/2006/relationships/hyperlink" Id="rId65" Target="https://doi.org/10.1674/0003-0031(2007)158[85:daieoc]2.0.co;2" TargetMode="External" /><Relationship Type="http://schemas.openxmlformats.org/officeDocument/2006/relationships/hyperlink" Id="rId143" Target="https://doi.org/10.1890/0012-9658(1997)078[1388:bmtceo]2.0.co;2" TargetMode="External" /><Relationship Type="http://schemas.openxmlformats.org/officeDocument/2006/relationships/hyperlink" Id="rId163" Target="https://doi.org/10.1890/02-0618" TargetMode="External" /><Relationship Type="http://schemas.openxmlformats.org/officeDocument/2006/relationships/hyperlink" Id="rId133" Target="https://doi.org/10.1890/04-0719" TargetMode="External" /><Relationship Type="http://schemas.openxmlformats.org/officeDocument/2006/relationships/hyperlink" Id="rId161" Target="https://doi.org/10.2307/1936188" TargetMode="External" /><Relationship Type="http://schemas.openxmlformats.org/officeDocument/2006/relationships/hyperlink" Id="rId73" Target="https://doi.org/10.32614/rj-2017-066" TargetMode="External" /><Relationship Type="http://schemas.openxmlformats.org/officeDocument/2006/relationships/hyperlink" Id="rId171" Target="https://doi.org/10.3390/ani14081147" TargetMode="External" /><Relationship Type="http://schemas.openxmlformats.org/officeDocument/2006/relationships/hyperlink" Id="rId157" Target="https://doi.org/10.3897/neobiota.97.139760" TargetMode="External" /><Relationship Type="http://schemas.openxmlformats.org/officeDocument/2006/relationships/hyperlink" Id="rId115" Target="https://doi.org/10.5194/we-25-221-2025" TargetMode="External" /><Relationship Type="http://schemas.openxmlformats.org/officeDocument/2006/relationships/hyperlink" Id="rId123" Target="https://doi.org/10.7717/peerj.665" TargetMode="External" /><Relationship Type="http://schemas.openxmlformats.org/officeDocument/2006/relationships/hyperlink" Id="rId141" Target="https://teara.govt.nz/en/eels" TargetMode="External" /><Relationship Type="http://schemas.openxmlformats.org/officeDocument/2006/relationships/hyperlink" Id="rId13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34" Target="https://OlivierRaven.github.io/https---github.com-OlivierRaven-NCE_Koura_catfish/analysis-preview.html#cell-tbl-emmeans-stratified" TargetMode="External" /><Relationship Type="http://schemas.openxmlformats.org/officeDocument/2006/relationships/hyperlink" Id="rId60" Target="https://OlivierRaven.github.io/https---github.com-OlivierRaven-NCE_Koura_catfish/analysis-preview.html#cell-tbl-feeding-summary" TargetMode="External" /><Relationship Type="http://schemas.openxmlformats.org/officeDocument/2006/relationships/hyperlink" Id="rId58" Target="https://OlivierRaven.github.io/https---github.com-OlivierRaven-NCE_Koura_catfish/analysis-preview.html#cell-tbl-refuge-prop" TargetMode="External" /><Relationship Type="http://schemas.openxmlformats.org/officeDocument/2006/relationships/hyperlink" Id="rId44" Target="https://OlivierRaven.github.io/https---github.com-OlivierRaven-NCE_Koura_catfish/index.qmd.html" TargetMode="External" /><Relationship Type="http://schemas.openxmlformats.org/officeDocument/2006/relationships/hyperlink" Id="rId125" Target="https://agris.fao.org/search/en/providers/122621/records/6473966cce9437aa76003d0e"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100" Target="https://cran.r-project.org/web/packages/DHARMa/index.html" TargetMode="External" /><Relationship Type="http://schemas.openxmlformats.org/officeDocument/2006/relationships/hyperlink" Id="rId117" Target="https://cran.r-project.org/web/packages/emmeans/index.html" TargetMode="External" /><Relationship Type="http://schemas.openxmlformats.org/officeDocument/2006/relationships/hyperlink" Id="rId167" Target="https://doi.org/10.1002/ecs2.3188" TargetMode="External" /><Relationship Type="http://schemas.openxmlformats.org/officeDocument/2006/relationships/hyperlink" Id="rId79" Target="https://doi.org/10.1007/978-0-387-22456-5_6" TargetMode="External" /><Relationship Type="http://schemas.openxmlformats.org/officeDocument/2006/relationships/hyperlink" Id="rId108" Target="https://doi.org/10.1007/s10530-016-1268-1" TargetMode="External" /><Relationship Type="http://schemas.openxmlformats.org/officeDocument/2006/relationships/hyperlink" Id="rId106" Target="https://doi.org/10.1007/s10750-013-1708-1" TargetMode="External" /><Relationship Type="http://schemas.openxmlformats.org/officeDocument/2006/relationships/hyperlink" Id="rId155" Target="https://doi.org/10.1007/s10886-005-9021-8" TargetMode="External" /><Relationship Type="http://schemas.openxmlformats.org/officeDocument/2006/relationships/hyperlink" Id="rId151" Target="https://doi.org/10.1016/j.tree.2022.11.001" TargetMode="External" /><Relationship Type="http://schemas.openxmlformats.org/officeDocument/2006/relationships/hyperlink" Id="rId129" Target="https://doi.org/10.1046/j.1365-2427.2001.00702.x" TargetMode="External" /><Relationship Type="http://schemas.openxmlformats.org/officeDocument/2006/relationships/hyperlink" Id="rId102" Target="https://doi.org/10.1046/j.1439-0310.2003.00902.x" TargetMode="External" /><Relationship Type="http://schemas.openxmlformats.org/officeDocument/2006/relationships/hyperlink" Id="rId121" Target="https://doi.org/10.1051/kmae/2025022" TargetMode="External" /><Relationship Type="http://schemas.openxmlformats.org/officeDocument/2006/relationships/hyperlink" Id="rId131" Target="https://doi.org/10.1073/pnas.071061998" TargetMode="External" /><Relationship Type="http://schemas.openxmlformats.org/officeDocument/2006/relationships/hyperlink" Id="rId91" Target="https://doi.org/10.1073/pnas.1602480113" TargetMode="External" /><Relationship Type="http://schemas.openxmlformats.org/officeDocument/2006/relationships/hyperlink" Id="rId104" Target="https://doi.org/10.1080/00288330.1997.9516796" TargetMode="External" /><Relationship Type="http://schemas.openxmlformats.org/officeDocument/2006/relationships/hyperlink" Id="rId111" Target="https://doi.org/10.1080/00288330909510036" TargetMode="External" /><Relationship Type="http://schemas.openxmlformats.org/officeDocument/2006/relationships/hyperlink" Id="rId169"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59" Target="https://doi.org/10.1080/10236244.2010.487301" TargetMode="External" /><Relationship Type="http://schemas.openxmlformats.org/officeDocument/2006/relationships/hyperlink" Id="rId13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6" Target="https://doi.org/10.1098/rspb.1979.0081" TargetMode="External" /><Relationship Type="http://schemas.openxmlformats.org/officeDocument/2006/relationships/hyperlink" Id="rId83" Target="https://doi.org/10.1111/1365-2435.12007" TargetMode="External" /><Relationship Type="http://schemas.openxmlformats.org/officeDocument/2006/relationships/hyperlink" Id="rId147" Target="https://doi.org/10.1111/1365-2656.13213" TargetMode="External" /><Relationship Type="http://schemas.openxmlformats.org/officeDocument/2006/relationships/hyperlink" Id="rId81" Target="https://doi.org/10.1111/brv.12087" TargetMode="External" /><Relationship Type="http://schemas.openxmlformats.org/officeDocument/2006/relationships/hyperlink" Id="rId70" Target="https://doi.org/10.1111/j.1365-2427.1993.tb00747.x" TargetMode="External" /><Relationship Type="http://schemas.openxmlformats.org/officeDocument/2006/relationships/hyperlink" Id="rId127" Target="https://doi.org/10.1111/j.1365-2427.2005.01438.x" TargetMode="External" /><Relationship Type="http://schemas.openxmlformats.org/officeDocument/2006/relationships/hyperlink" Id="rId98" Target="https://doi.org/10.1111/j.1365-2427.2011.02595.x" TargetMode="External" /><Relationship Type="http://schemas.openxmlformats.org/officeDocument/2006/relationships/hyperlink" Id="rId149" Target="https://doi.org/10.1111/j.1600-0706.2009.18039.x" TargetMode="External" /><Relationship Type="http://schemas.openxmlformats.org/officeDocument/2006/relationships/hyperlink" Id="rId153" Target="https://doi.org/10.1111/j.1752-4571.2010.00166.x" TargetMode="External" /><Relationship Type="http://schemas.openxmlformats.org/officeDocument/2006/relationships/hyperlink" Id="rId165" Target="https://doi.org/10.1139/cjz-2019-0089" TargetMode="External" /><Relationship Type="http://schemas.openxmlformats.org/officeDocument/2006/relationships/hyperlink" Id="rId113" Target="https://doi.org/10.1139/z01-094" TargetMode="External" /><Relationship Type="http://schemas.openxmlformats.org/officeDocument/2006/relationships/hyperlink" Id="rId119" Target="https://doi.org/10.1139/z90-092" TargetMode="External" /><Relationship Type="http://schemas.openxmlformats.org/officeDocument/2006/relationships/hyperlink" Id="rId61"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135" Target="https://doi.org/10.1371/journal.pone.0002465" TargetMode="External" /><Relationship Type="http://schemas.openxmlformats.org/officeDocument/2006/relationships/hyperlink" Id="rId63" Target="https://doi.org/10.1371/journal.pone.0340001" TargetMode="External" /><Relationship Type="http://schemas.openxmlformats.org/officeDocument/2006/relationships/hyperlink" Id="rId65" Target="https://doi.org/10.1674/0003-0031(2007)158[85:daieoc]2.0.co;2" TargetMode="External" /><Relationship Type="http://schemas.openxmlformats.org/officeDocument/2006/relationships/hyperlink" Id="rId143" Target="https://doi.org/10.1890/0012-9658(1997)078[1388:bmtceo]2.0.co;2" TargetMode="External" /><Relationship Type="http://schemas.openxmlformats.org/officeDocument/2006/relationships/hyperlink" Id="rId163" Target="https://doi.org/10.1890/02-0618" TargetMode="External" /><Relationship Type="http://schemas.openxmlformats.org/officeDocument/2006/relationships/hyperlink" Id="rId133" Target="https://doi.org/10.1890/04-0719" TargetMode="External" /><Relationship Type="http://schemas.openxmlformats.org/officeDocument/2006/relationships/hyperlink" Id="rId161" Target="https://doi.org/10.2307/1936188" TargetMode="External" /><Relationship Type="http://schemas.openxmlformats.org/officeDocument/2006/relationships/hyperlink" Id="rId73" Target="https://doi.org/10.32614/rj-2017-066" TargetMode="External" /><Relationship Type="http://schemas.openxmlformats.org/officeDocument/2006/relationships/hyperlink" Id="rId171" Target="https://doi.org/10.3390/ani14081147" TargetMode="External" /><Relationship Type="http://schemas.openxmlformats.org/officeDocument/2006/relationships/hyperlink" Id="rId157" Target="https://doi.org/10.3897/neobiota.97.139760" TargetMode="External" /><Relationship Type="http://schemas.openxmlformats.org/officeDocument/2006/relationships/hyperlink" Id="rId115" Target="https://doi.org/10.5194/we-25-221-2025" TargetMode="External" /><Relationship Type="http://schemas.openxmlformats.org/officeDocument/2006/relationships/hyperlink" Id="rId123" Target="https://doi.org/10.7717/peerj.665" TargetMode="External" /><Relationship Type="http://schemas.openxmlformats.org/officeDocument/2006/relationships/hyperlink" Id="rId141" Target="https://teara.govt.nz/en/eels" TargetMode="External" /><Relationship Type="http://schemas.openxmlformats.org/officeDocument/2006/relationships/hyperlink" Id="rId13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2026-05-28T23:22:09Z</dcterms:created>
  <dcterms:modified xsi:type="dcterms:W3CDTF">2026-05-28T23:22:09Z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