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1.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drawing>
          <wp:inline>
            <wp:extent cx="5727700" cy="4295775"/>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How do native and non-native predators differentially influence antipredator behaviour and refuge use in kōura?</w:t>
      </w:r>
    </w:p>
    <w:p>
      <w:r>
        <w:br w:type="page"/>
      </w:r>
    </w:p>
    <w:bookmarkStart w:id="19"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19"/>
    <w:bookmarkStart w:id="24" w:name="materials-and-methods"/>
    <w:p>
      <w:pPr>
        <w:pStyle w:val="Heading2"/>
      </w:pPr>
      <w:r>
        <w:t xml:space="preserve">Materials and Methods</w:t>
      </w:r>
    </w:p>
    <w:bookmarkStart w:id="20"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0"/>
    <w:bookmarkStart w:id="21"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1"/>
    <w:bookmarkStart w:id="22"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2"/>
    <w:bookmarkStart w:id="23"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3"/>
    <w:bookmarkEnd w:id="24"/>
    <w:bookmarkStart w:id="27" w:name="results"/>
    <w:p>
      <w:pPr>
        <w:pStyle w:val="Heading2"/>
      </w:pPr>
      <w:r>
        <w:t xml:space="preserve">Results</w:t>
      </w:r>
    </w:p>
    <w:bookmarkStart w:id="25"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5"/>
    <w:bookmarkStart w:id="26"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2</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6"/>
    <w:bookmarkEnd w:id="27"/>
    <w:bookmarkStart w:id="31"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8"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8"/>
    <w:bookmarkStart w:id="29"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9"/>
    <w:bookmarkStart w:id="30"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3"/>
    <w:bookmarkStart w:id="34"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6"/>
    <w:bookmarkEnd w:id="37"/>
    <w:bookmarkStart w:id="4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8"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aquarium-setup"/>
          <w:p>
            <w:pPr>
              <w:pStyle w:val="Compact"/>
              <w:jc w:val="center"/>
            </w:pPr>
            <w:r>
              <w:drawing>
                <wp:inline>
                  <wp:extent cx="5727700" cy="4480989"/>
                  <wp:effectExtent b="0" l="0" r="0" t="0"/>
                  <wp:docPr descr="" title="" id="42" name="Picture"/>
                  <a:graphic>
                    <a:graphicData uri="http://schemas.openxmlformats.org/drawingml/2006/picture">
                      <pic:pic>
                        <pic:nvPicPr>
                          <pic:cNvPr descr="images/setup_combined.png" id="43" name="Picture"/>
                          <pic:cNvPicPr>
                            <a:picLocks noChangeArrowheads="1" noChangeAspect="1"/>
                          </pic:cNvPicPr>
                        </pic:nvPicPr>
                        <pic:blipFill>
                          <a:blip r:embed="rId41"/>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fig-emmeans-stratified"/>
          <w:p>
            <w:pPr>
              <w:pStyle w:val="Compact"/>
              <w:jc w:val="center"/>
            </w:pPr>
            <w:r>
              <w:drawing>
                <wp:inline>
                  <wp:extent cx="5727700" cy="4582160"/>
                  <wp:effectExtent b="0" l="0" r="0" t="0"/>
                  <wp:docPr descr="" title="" id="46" name="Picture"/>
                  <a:graphic>
                    <a:graphicData uri="http://schemas.openxmlformats.org/drawingml/2006/picture">
                      <pic:pic>
                        <pic:nvPicPr>
                          <pic:cNvPr descr="outputs/fig-emmeans-stratified.png" id="47" name="Picture"/>
                          <pic:cNvPicPr>
                            <a:picLocks noChangeArrowheads="1" noChangeAspect="1"/>
                          </pic:cNvPicPr>
                        </pic:nvPicPr>
                        <pic:blipFill>
                          <a:blip r:embed="rId45"/>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fig-refuge-plot"/>
          <w:p>
            <w:pPr>
              <w:pStyle w:val="Compact"/>
              <w:jc w:val="center"/>
            </w:pPr>
            <w:r>
              <w:drawing>
                <wp:inline>
                  <wp:extent cx="5727700" cy="3579812"/>
                  <wp:effectExtent b="0" l="0" r="0" t="0"/>
                  <wp:docPr descr="" title="" id="50" name="Picture"/>
                  <a:graphic>
                    <a:graphicData uri="http://schemas.openxmlformats.org/drawingml/2006/picture">
                      <pic:pic>
                        <pic:nvPicPr>
                          <pic:cNvPr descr="outputs/fig-refuge-plot.png" id="51" name="Picture"/>
                          <pic:cNvPicPr>
                            <a:picLocks noChangeArrowheads="1" noChangeAspect="1"/>
                          </pic:cNvPicPr>
                        </pic:nvPicPr>
                        <pic:blipFill>
                          <a:blip r:embed="rId49"/>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feeding-plot"/>
          <w:p>
            <w:pPr>
              <w:pStyle w:val="Compact"/>
              <w:jc w:val="center"/>
            </w:pPr>
            <w:r>
              <w:drawing>
                <wp:inline>
                  <wp:extent cx="4572000" cy="3657600"/>
                  <wp:effectExtent b="0" l="0" r="0" t="0"/>
                  <wp:docPr descr="" title="" id="54" name="Picture"/>
                  <a:graphic>
                    <a:graphicData uri="http://schemas.openxmlformats.org/drawingml/2006/picture">
                      <pic:pic>
                        <pic:nvPicPr>
                          <pic:cNvPr descr="outputs/fig-feeding-plot.png" id="55" name="Picture"/>
                          <pic:cNvPicPr>
                            <a:picLocks noChangeArrowheads="1" noChangeAspect="1"/>
                          </pic:cNvPicPr>
                        </pic:nvPicPr>
                        <pic:blipFill>
                          <a:blip r:embed="rId53"/>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6"/>
        </w:tc>
      </w:tr>
    </w:tbl>
    <w:bookmarkEnd w:id="57"/>
    <w:bookmarkStart w:id="184" w:name="supplementary-information"/>
    <w:p>
      <w:pPr>
        <w:pStyle w:val="Heading2"/>
      </w:pPr>
      <w:r>
        <w:t xml:space="preserve">Supplementary information</w:t>
      </w:r>
    </w:p>
    <w:p>
      <w:pPr>
        <w:pStyle w:val="TableCaption"/>
      </w:pPr>
      <w:r>
        <w:t xml:space="preserve">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5000"/>
        <w:tblLayout w:type="fixed"/>
        <w:tblLook w:firstRow="1" w:lastRow="0" w:firstColumn="0" w:lastColumn="0" w:noHBand="0" w:noVBand="0" w:val="0020"/>
        <w:tblCaption w:val="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
      </w:tblPr>
      <w:tblGrid>
        <w:gridCol w:w="1080"/>
        <w:gridCol w:w="1200"/>
        <w:gridCol w:w="1080"/>
        <w:gridCol w:w="960"/>
        <w:gridCol w:w="1080"/>
        <w:gridCol w:w="2520"/>
      </w:tblGrid>
      <w:tr>
        <w:trPr>
          <w:tblHeader w:val="on"/>
        </w:trPr>
        <w:tc>
          <w:tcPr/>
          <w:p>
            <w:pPr>
              <w:pStyle w:val="Compact"/>
              <w:jc w:val="left"/>
            </w:pPr>
            <w:r>
              <w:t xml:space="preserve">Light</w:t>
            </w:r>
          </w:p>
        </w:tc>
        <w:tc>
          <w:tcPr/>
          <w:p>
            <w:pPr>
              <w:pStyle w:val="Compact"/>
              <w:jc w:val="left"/>
            </w:pPr>
            <w:r>
              <w:t xml:space="preserve">Treatment</w:t>
            </w:r>
          </w:p>
        </w:tc>
        <w:tc>
          <w:tcPr/>
          <w:p>
            <w:pPr>
              <w:pStyle w:val="Compact"/>
              <w:jc w:val="left"/>
            </w:pPr>
            <w:r>
              <w:t xml:space="preserve">Period</w:t>
            </w:r>
          </w:p>
        </w:tc>
        <w:tc>
          <w:tcPr/>
          <w:p>
            <w:pPr>
              <w:pStyle w:val="Compact"/>
              <w:jc w:val="right"/>
            </w:pPr>
            <w:r>
              <w:t xml:space="preserve">N total</w:t>
            </w:r>
          </w:p>
        </w:tc>
        <w:tc>
          <w:tcPr/>
          <w:p>
            <w:pPr>
              <w:pStyle w:val="Compact"/>
              <w:jc w:val="right"/>
            </w:pPr>
            <w:r>
              <w:t xml:space="preserve">N refuge</w:t>
            </w:r>
          </w:p>
        </w:tc>
        <w:tc>
          <w:tcPr/>
          <w:p>
            <w:pPr>
              <w:pStyle w:val="Compact"/>
              <w:jc w:val="right"/>
            </w:pPr>
            <w:r>
              <w:t xml:space="preserve">Proportion in refuge</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34</w:t>
            </w:r>
          </w:p>
        </w:tc>
        <w:tc>
          <w:tcPr/>
          <w:p>
            <w:pPr>
              <w:pStyle w:val="Compact"/>
              <w:jc w:val="right"/>
            </w:pPr>
            <w:r>
              <w:t xml:space="preserve">0.52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71</w:t>
            </w:r>
          </w:p>
        </w:tc>
        <w:tc>
          <w:tcPr/>
          <w:p>
            <w:pPr>
              <w:pStyle w:val="Compact"/>
              <w:jc w:val="right"/>
            </w:pPr>
            <w:r>
              <w:t xml:space="preserve">0.72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48</w:t>
            </w:r>
          </w:p>
        </w:tc>
        <w:tc>
          <w:tcPr/>
          <w:p>
            <w:pPr>
              <w:pStyle w:val="Compact"/>
              <w:jc w:val="right"/>
            </w:pPr>
            <w:r>
              <w:t xml:space="preserve">0.73</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23</w:t>
            </w:r>
          </w:p>
        </w:tc>
        <w:tc>
          <w:tcPr/>
          <w:p>
            <w:pPr>
              <w:pStyle w:val="Compact"/>
              <w:jc w:val="right"/>
            </w:pPr>
            <w:r>
              <w:t xml:space="preserve">0.35</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49</w:t>
            </w:r>
          </w:p>
        </w:tc>
        <w:tc>
          <w:tcPr/>
          <w:p>
            <w:pPr>
              <w:pStyle w:val="Compact"/>
              <w:jc w:val="right"/>
            </w:pPr>
            <w:r>
              <w:t xml:space="preserve">0.49</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35</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24</w:t>
            </w:r>
          </w:p>
        </w:tc>
        <w:tc>
          <w:tcPr/>
          <w:p>
            <w:pPr>
              <w:pStyle w:val="Compact"/>
              <w:jc w:val="right"/>
            </w:pPr>
            <w:r>
              <w:t xml:space="preserve">0.40</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48</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49</w:t>
            </w:r>
          </w:p>
        </w:tc>
        <w:tc>
          <w:tcPr/>
          <w:p>
            <w:pPr>
              <w:pStyle w:val="Compact"/>
              <w:jc w:val="right"/>
            </w:pPr>
            <w:r>
              <w:t xml:space="preserve">0.82</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26</w:t>
            </w:r>
          </w:p>
        </w:tc>
        <w:tc>
          <w:tcPr/>
          <w:p>
            <w:pPr>
              <w:pStyle w:val="Compact"/>
              <w:jc w:val="right"/>
            </w:pPr>
            <w:r>
              <w:t xml:space="preserve">0.39</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47</w:t>
            </w:r>
          </w:p>
        </w:tc>
        <w:tc>
          <w:tcPr/>
          <w:p>
            <w:pPr>
              <w:pStyle w:val="Compact"/>
              <w:jc w:val="right"/>
            </w:pPr>
            <w:r>
              <w:t xml:space="preserve">0.47</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46</w:t>
            </w:r>
          </w:p>
        </w:tc>
        <w:tc>
          <w:tcPr/>
          <w:p>
            <w:pPr>
              <w:pStyle w:val="Compact"/>
              <w:jc w:val="right"/>
            </w:pPr>
            <w:r>
              <w:t xml:space="preserve">0.70</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0.27</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41</w:t>
            </w:r>
          </w:p>
        </w:tc>
        <w:tc>
          <w:tcPr/>
          <w:p>
            <w:pPr>
              <w:pStyle w:val="Compact"/>
              <w:jc w:val="right"/>
            </w:pPr>
            <w:r>
              <w:t xml:space="preserve">0.41</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24</w:t>
            </w:r>
          </w:p>
        </w:tc>
        <w:tc>
          <w:tcPr/>
          <w:p>
            <w:pPr>
              <w:pStyle w:val="Compact"/>
              <w:jc w:val="right"/>
            </w:pPr>
            <w:r>
              <w:t xml:space="preserve">0.36</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22</w:t>
            </w:r>
          </w:p>
        </w:tc>
        <w:tc>
          <w:tcPr/>
          <w:p>
            <w:pPr>
              <w:pStyle w:val="Compact"/>
              <w:jc w:val="right"/>
            </w:pPr>
            <w:r>
              <w:t xml:space="preserve">0.37</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38</w:t>
            </w:r>
          </w:p>
        </w:tc>
        <w:tc>
          <w:tcPr/>
          <w:p>
            <w:pPr>
              <w:pStyle w:val="Compact"/>
              <w:jc w:val="right"/>
            </w:pPr>
            <w:r>
              <w:t xml:space="preserve">0.42</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28</w:t>
            </w:r>
          </w:p>
        </w:tc>
        <w:tc>
          <w:tcPr/>
          <w:p>
            <w:pPr>
              <w:pStyle w:val="Compact"/>
              <w:jc w:val="right"/>
            </w:pPr>
            <w:r>
              <w:t xml:space="preserve">0.47</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60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118</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94</w:t>
            </w:r>
          </w:p>
        </w:tc>
        <w:tc>
          <w:tcPr/>
          <w:p>
            <w:pPr>
              <w:pStyle w:val="Compact"/>
              <w:jc w:val="right"/>
            </w:pPr>
            <w:r>
              <w:t xml:space="preserve">0.71</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120</w:t>
            </w:r>
          </w:p>
        </w:tc>
        <w:tc>
          <w:tcPr/>
          <w:p>
            <w:pPr>
              <w:pStyle w:val="Compact"/>
              <w:jc w:val="right"/>
            </w:pPr>
            <w:r>
              <w:t xml:space="preserve">46</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180</w:t>
            </w:r>
          </w:p>
        </w:tc>
        <w:tc>
          <w:tcPr/>
          <w:p>
            <w:pPr>
              <w:pStyle w:val="Compact"/>
              <w:jc w:val="right"/>
            </w:pPr>
            <w:r>
              <w:t xml:space="preserve">86</w:t>
            </w:r>
          </w:p>
        </w:tc>
        <w:tc>
          <w:tcPr/>
          <w:p>
            <w:pPr>
              <w:pStyle w:val="Compact"/>
              <w:jc w:val="right"/>
            </w:pPr>
            <w:r>
              <w:t xml:space="preserve">0.48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120</w:t>
            </w:r>
          </w:p>
        </w:tc>
        <w:tc>
          <w:tcPr/>
          <w:p>
            <w:pPr>
              <w:pStyle w:val="Compact"/>
              <w:jc w:val="right"/>
            </w:pPr>
            <w:r>
              <w:t xml:space="preserve">77</w:t>
            </w:r>
          </w:p>
        </w:tc>
        <w:tc>
          <w:tcPr/>
          <w:p>
            <w:pPr>
              <w:pStyle w:val="Compact"/>
              <w:jc w:val="right"/>
            </w:pPr>
            <w:r>
              <w:t xml:space="preserve">0.64</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41</w:t>
            </w:r>
          </w:p>
        </w:tc>
        <w:tc>
          <w:tcPr/>
          <w:p>
            <w:pPr>
              <w:pStyle w:val="Compact"/>
              <w:jc w:val="right"/>
            </w:pPr>
            <w:r>
              <w:t xml:space="preserve">0.31</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90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59</w:t>
            </w:r>
          </w:p>
        </w:tc>
        <w:tc>
          <w:tcPr/>
          <w:p>
            <w:pPr>
              <w:pStyle w:val="Compact"/>
              <w:jc w:val="right"/>
            </w:pPr>
            <w:r>
              <w:t xml:space="preserve">0.45</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81</w:t>
            </w:r>
          </w:p>
        </w:tc>
        <w:tc>
          <w:tcPr/>
          <w:p>
            <w:pPr>
              <w:pStyle w:val="Compact"/>
              <w:jc w:val="right"/>
            </w:pPr>
            <w:r>
              <w:t xml:space="preserve">0.42</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168</w:t>
            </w:r>
          </w:p>
        </w:tc>
        <w:tc>
          <w:tcPr/>
          <w:p>
            <w:pPr>
              <w:pStyle w:val="Compact"/>
              <w:jc w:val="right"/>
            </w:pPr>
            <w:r>
              <w:t xml:space="preserve">0.58</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132</w:t>
            </w:r>
          </w:p>
        </w:tc>
        <w:tc>
          <w:tcPr/>
          <w:p>
            <w:pPr>
              <w:pStyle w:val="Compact"/>
              <w:jc w:val="right"/>
            </w:pPr>
            <w:r>
              <w:t xml:space="preserve">0.69</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66</w:t>
            </w:r>
          </w:p>
        </w:tc>
        <w:tc>
          <w:tcPr/>
          <w:p>
            <w:pPr>
              <w:pStyle w:val="Compact"/>
              <w:jc w:val="right"/>
            </w:pPr>
            <w:r>
              <w:t xml:space="preserve">0.34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126</w:t>
            </w:r>
          </w:p>
        </w:tc>
        <w:tc>
          <w:tcPr/>
          <w:p>
            <w:pPr>
              <w:pStyle w:val="Compact"/>
              <w:jc w:val="right"/>
            </w:pPr>
            <w:r>
              <w:t xml:space="preserve">0.44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384</w:t>
            </w:r>
          </w:p>
        </w:tc>
        <w:tc>
          <w:tcPr/>
          <w:p>
            <w:pPr>
              <w:pStyle w:val="Compact"/>
              <w:jc w:val="right"/>
            </w:pPr>
            <w:r>
              <w:t xml:space="preserve">147</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576</w:t>
            </w:r>
          </w:p>
        </w:tc>
        <w:tc>
          <w:tcPr/>
          <w:p>
            <w:pPr>
              <w:pStyle w:val="Compact"/>
              <w:jc w:val="right"/>
            </w:pPr>
            <w:r>
              <w:t xml:space="preserve">294</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384</w:t>
            </w:r>
          </w:p>
        </w:tc>
        <w:tc>
          <w:tcPr/>
          <w:p>
            <w:pPr>
              <w:pStyle w:val="Compact"/>
              <w:jc w:val="right"/>
            </w:pPr>
            <w:r>
              <w:t xml:space="preserve">230</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combined</w:t>
            </w:r>
          </w:p>
        </w:tc>
        <w:tc>
          <w:tcPr/>
          <w:p>
            <w:pPr>
              <w:pStyle w:val="Compact"/>
              <w:jc w:val="right"/>
            </w:pPr>
            <w:r>
              <w:t xml:space="preserve">1344</w:t>
            </w:r>
          </w:p>
        </w:tc>
        <w:tc>
          <w:tcPr/>
          <w:p>
            <w:pPr>
              <w:pStyle w:val="Compact"/>
              <w:jc w:val="right"/>
            </w:pPr>
            <w:r>
              <w:t xml:space="preserve">671</w:t>
            </w:r>
          </w:p>
        </w:tc>
        <w:tc>
          <w:tcPr/>
          <w:p>
            <w:pPr>
              <w:pStyle w:val="Compact"/>
              <w:jc w:val="right"/>
            </w:pPr>
            <w:r>
              <w:t xml:space="preserve">0.50</w:t>
            </w:r>
          </w:p>
        </w:tc>
      </w:tr>
    </w:tbl>
    <w:tbl>
      <w:tblPr>
        <w:tblStyle w:val="Table"/>
        <w:tblW w:type="pct" w:w="5000"/>
        <w:tblLayout w:type="fixed"/>
        <w:tblLook w:firstRow="0" w:lastRow="0" w:firstColumn="0" w:lastColumn="0" w:noHBand="0" w:noVBand="0" w:val="0000"/>
      </w:tblPr>
      <w:tblGrid>
        <w:gridCol w:w="7920"/>
      </w:tblGrid>
      <w:tr>
        <w:tc>
          <w:tcPr/>
          <w:bookmarkStart w:id="58" w:name="tbl-feeding-summary"/>
          <w:p>
            <w:pPr>
              <w:jc w:val="center"/>
            </w:pPr>
            <w:pPr>
              <w:jc w:val="left"/>
              <w:spacing w:before="200"/>
              <w:pStyle w:val="ImageCaption"/>
            </w:pPr>
            <w:r>
              <w:t xml:space="preserve">Table 2: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58"/>
          <w:p/>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bookmarkEnd w:id="18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new: a predatory invader provokes stronger non-consumptive effects on a keystone native prey than a native predator</dc:title>
  <dc:creator/>
  <cp:keywords>Non-consumptive effects, Crayfish, Kōura, Brown bullhead catfish, Antipredator behaviour</cp:keywords>
  <dcterms:created xsi:type="dcterms:W3CDTF">2026-07-07T22:11:43Z</dcterms:created>
  <dcterms:modified xsi:type="dcterms:W3CDTF">2026-07-07T22:11:43Z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