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2.png" ContentType="image/png"/>
  <Override PartName="/word/media/rId5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bookmarkStart w:id="16" w:name="introduction"/>
    <w:p>
      <w:pPr>
        <w:pStyle w:val="Heading1"/>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w:t>
      </w:r>
      <w:r>
        <w:t xml:space="preserve"> </w:t>
      </w:r>
      <w:r>
        <w:rPr>
          <w:i/>
          <w:iCs/>
        </w:rPr>
        <w:t xml:space="preserve">taonga</w:t>
      </w:r>
      <w:r>
        <w:t xml:space="preserve"> </w:t>
      </w:r>
      <w:r>
        <w:t xml:space="preserve">(</w:t>
      </w:r>
      <w:r>
        <w:t xml:space="preserve">‘treasured’</w:t>
      </w:r>
      <w:r>
        <w:t xml:space="preserve">)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16"/>
    <w:bookmarkStart w:id="21" w:name="materials-and-methods"/>
    <w:p>
      <w:pPr>
        <w:pStyle w:val="Heading1"/>
      </w:pPr>
      <w:r>
        <w:t xml:space="preserve">Materials and Methods</w:t>
      </w:r>
    </w:p>
    <w:bookmarkStart w:id="17" w:name="animal-collection-and-preparation"/>
    <w:p>
      <w:pPr>
        <w:pStyle w:val="Heading2"/>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l⁻¹). These parameters reflect typical physiochemical conditions in the source lakes. Kōura and fish were fed every other day with commercial carnivore pellets (Hikari Tropical, Kyorin Food Industries Ltd., Japan; animal protein 47%).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17"/>
    <w:bookmarkStart w:id="18" w:name="refuge-experiment"/>
    <w:p>
      <w:pPr>
        <w:pStyle w:val="Heading2"/>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minimize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18"/>
    <w:bookmarkStart w:id="19" w:name="feeding-experiment"/>
    <w:p>
      <w:pPr>
        <w:pStyle w:val="Heading2"/>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19"/>
    <w:bookmarkStart w:id="20" w:name="data-analysis"/>
    <w:p>
      <w:pPr>
        <w:pStyle w:val="Heading2"/>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0"/>
    <w:bookmarkEnd w:id="21"/>
    <w:bookmarkStart w:id="24" w:name="results"/>
    <w:p>
      <w:pPr>
        <w:pStyle w:val="Heading1"/>
      </w:pPr>
      <w:r>
        <w:t xml:space="preserve">Results</w:t>
      </w:r>
    </w:p>
    <w:bookmarkStart w:id="22" w:name="refuge-experiment-1"/>
    <w:p>
      <w:pPr>
        <w:pStyle w:val="Heading2"/>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bookmarkEnd w:id="22"/>
    <w:bookmarkStart w:id="23" w:name="feeding-experiment-1"/>
    <w:p>
      <w:pPr>
        <w:pStyle w:val="Heading2"/>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w:t>
      </w:r>
      <w:r>
        <w:t xml:space="preserve"> </w:t>
      </w:r>
      <w:hyperlink w:anchor="tbl-feeding-summary">
        <w:r>
          <w:rPr>
            <w:rStyle w:val="Hyperlink"/>
          </w:rPr>
          <w:t xml:space="preserve">Table 3</w:t>
        </w:r>
      </w:hyperlink>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WW⁻¹) for the control was over two and a half times that of the catfish and eel treatments (0.148 ± 0.035 compared to 0.059 ± 0.039 and 0.052 ± 0.039 respectively).</w:t>
      </w:r>
    </w:p>
    <w:bookmarkEnd w:id="23"/>
    <w:bookmarkEnd w:id="24"/>
    <w:bookmarkStart w:id="28" w:name="discussion"/>
    <w:p>
      <w:pPr>
        <w:pStyle w:val="Heading1"/>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25" w:name="refuge-use"/>
    <w:p>
      <w:pPr>
        <w:pStyle w:val="Heading2"/>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25"/>
    <w:bookmarkStart w:id="26" w:name="feeding-behaviour"/>
    <w:p>
      <w:pPr>
        <w:pStyle w:val="Heading2"/>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26"/>
    <w:bookmarkStart w:id="27" w:name="conclusions"/>
    <w:p>
      <w:pPr>
        <w:pStyle w:val="Heading2"/>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27"/>
    <w:bookmarkEnd w:id="28"/>
    <w:bookmarkStart w:id="34"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29"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29"/>
    <w:bookmarkStart w:id="30" w:name="authors-contributions"/>
    <w:p>
      <w:pPr>
        <w:pStyle w:val="Heading2"/>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30"/>
    <w:bookmarkStart w:id="31" w:name="ethical-approval"/>
    <w:p>
      <w:pPr>
        <w:pStyle w:val="Heading2"/>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1"/>
    <w:bookmarkStart w:id="32" w:name="declarations"/>
    <w:p>
      <w:pPr>
        <w:pStyle w:val="Heading2"/>
      </w:pPr>
      <w:r>
        <w:t xml:space="preserve">Declarations</w:t>
      </w:r>
    </w:p>
    <w:p>
      <w:pPr>
        <w:pStyle w:val="FirstParagraph"/>
      </w:pPr>
      <w:r>
        <w:t xml:space="preserve">The corresponding author has declared that none of the authors has any competing interests.</w:t>
      </w:r>
    </w:p>
    <w:bookmarkEnd w:id="32"/>
    <w:bookmarkStart w:id="33"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3"/>
    <w:bookmarkEnd w:id="34"/>
    <w:bookmarkStart w:id="37"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35"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4881"/>
              <w:tblLayout w:type="fixed"/>
              <w:tblLook w:firstRow="1" w:lastRow="0" w:firstColumn="0" w:lastColumn="0" w:noHBand="0" w:noVBand="0" w:val="0020"/>
            </w:tblPr>
            <w:tblGrid>
              <w:gridCol w:w="1131"/>
              <w:gridCol w:w="1791"/>
              <w:gridCol w:w="1131"/>
              <w:gridCol w:w="754"/>
              <w:gridCol w:w="565"/>
              <w:gridCol w:w="660"/>
              <w:gridCol w:w="848"/>
              <w:gridCol w:w="848"/>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Analysis Notebook</w:t>
        </w:r>
      </w:hyperlink>
    </w:p>
    <w:bookmarkEnd w:id="37"/>
    <w:bookmarkStart w:id="5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1" w:name="fig-aquarium-setup"/>
          <w:p>
            <w:pPr>
              <w:pStyle w:val="Compact"/>
              <w:jc w:val="center"/>
            </w:pPr>
            <w:r>
              <w:drawing>
                <wp:inline>
                  <wp:extent cx="5727700" cy="4480989"/>
                  <wp:effectExtent b="0" l="0" r="0" t="0"/>
                  <wp:docPr descr="" title="" id="39" name="Picture"/>
                  <a:graphic>
                    <a:graphicData uri="http://schemas.openxmlformats.org/drawingml/2006/picture">
                      <pic:pic>
                        <pic:nvPicPr>
                          <pic:cNvPr descr="images/setup_combined.png" id="40" name="Picture"/>
                          <pic:cNvPicPr>
                            <a:picLocks noChangeArrowheads="1" noChangeAspect="1"/>
                          </pic:cNvPicPr>
                        </pic:nvPicPr>
                        <pic:blipFill>
                          <a:blip r:embed="rId38"/>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1"/>
        </w:tc>
      </w:tr>
    </w:tbl>
    <w:tbl>
      <w:tblPr>
        <w:tblStyle w:val="Table"/>
        <w:tblW w:type="pct" w:w="5000"/>
        <w:tblLayout w:type="fixed"/>
        <w:tblLook w:firstRow="0" w:lastRow="0" w:firstColumn="0" w:lastColumn="0" w:noHBand="0" w:noVBand="0" w:val="0000"/>
      </w:tblPr>
      <w:tblGrid>
        <w:gridCol w:w="7920"/>
      </w:tblGrid>
      <w:tr>
        <w:tc>
          <w:tcPr/>
          <w:bookmarkStart w:id="45" w:name="fig-emmeans-stratified"/>
          <w:p>
            <w:pPr>
              <w:pStyle w:val="Compact"/>
              <w:jc w:val="center"/>
            </w:pPr>
            <w:r>
              <w:drawing>
                <wp:inline>
                  <wp:extent cx="5727700" cy="2863850"/>
                  <wp:effectExtent b="0" l="0" r="0" t="0"/>
                  <wp:docPr descr="" title="" id="43" name="Picture"/>
                  <a:graphic>
                    <a:graphicData uri="http://schemas.openxmlformats.org/drawingml/2006/picture">
                      <pic:pic>
                        <pic:nvPicPr>
                          <pic:cNvPr descr="index_files/figure-docx/analysis-fig-emmeans-stratified-output-1.png" id="44" name="Picture"/>
                          <pic:cNvPicPr>
                            <a:picLocks noChangeArrowheads="1" noChangeAspect="1"/>
                          </pic:cNvPicPr>
                        </pic:nvPicPr>
                        <pic:blipFill>
                          <a:blip r:embed="rId42"/>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Analysis Notebook</w:t>
        </w:r>
      </w:hyperlink>
    </w:p>
    <w:p>
      <w:pPr>
        <w:pStyle w:val="SourceCode"/>
      </w:pPr>
      <w:r>
        <w:rPr>
          <w:rStyle w:val="VerbatimChar"/>
        </w:rPr>
        <w:t xml:space="preserve">systemfonts and textshaping have been compiled with different versions of Freetype. Because of this, textshaping will not use the font cache provided by systemfonts</w:t>
      </w:r>
    </w:p>
    <w:tbl>
      <w:tblPr>
        <w:tblStyle w:val="Table"/>
        <w:tblW w:type="pct" w:w="5000"/>
        <w:tblLayout w:type="fixed"/>
        <w:tblLook w:firstRow="0" w:lastRow="0" w:firstColumn="0" w:lastColumn="0" w:noHBand="0" w:noVBand="0" w:val="0000"/>
      </w:tblPr>
      <w:tblGrid>
        <w:gridCol w:w="7920"/>
      </w:tblGrid>
      <w:tr>
        <w:tc>
          <w:tcPr/>
          <w:bookmarkStart w:id="50" w:name="fig-refuge-plot"/>
          <w:p>
            <w:pPr>
              <w:pStyle w:val="Compact"/>
              <w:jc w:val="center"/>
            </w:pPr>
            <w:r>
              <w:drawing>
                <wp:inline>
                  <wp:extent cx="5727700" cy="3579812"/>
                  <wp:effectExtent b="0" l="0" r="0" t="0"/>
                  <wp:docPr descr="" title="" id="48" name="Picture"/>
                  <a:graphic>
                    <a:graphicData uri="http://schemas.openxmlformats.org/drawingml/2006/picture">
                      <pic:pic>
                        <pic:nvPicPr>
                          <pic:cNvPr descr="index_files/figure-docx/analysis-fig-refuge-plot-output-2.png" id="49" name="Picture"/>
                          <pic:cNvPicPr>
                            <a:picLocks noChangeArrowheads="1" noChangeAspect="1"/>
                          </pic:cNvPicPr>
                        </pic:nvPicPr>
                        <pic:blipFill>
                          <a:blip r:embed="rId47"/>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5" w:name="fig-feeding-plot"/>
          <w:p>
            <w:pPr>
              <w:pStyle w:val="Compact"/>
              <w:jc w:val="center"/>
            </w:pPr>
            <w:r>
              <w:drawing>
                <wp:inline>
                  <wp:extent cx="4595937" cy="3676749"/>
                  <wp:effectExtent b="0" l="0" r="0" t="0"/>
                  <wp:docPr descr="" title="" id="53" name="Picture"/>
                  <a:graphic>
                    <a:graphicData uri="http://schemas.openxmlformats.org/drawingml/2006/picture">
                      <pic:pic>
                        <pic:nvPicPr>
                          <pic:cNvPr descr="index_files/figure-docx/analysis-fig-feeding-plot-output-2.png" id="54" name="Picture"/>
                          <pic:cNvPicPr>
                            <a:picLocks noChangeArrowheads="1" noChangeAspect="1"/>
                          </pic:cNvPicPr>
                        </pic:nvPicPr>
                        <pic:blipFill>
                          <a:blip r:embed="rId52"/>
                          <a:stretch>
                            <a:fillRect/>
                          </a:stretch>
                        </pic:blipFill>
                        <pic:spPr bwMode="auto">
                          <a:xfrm>
                            <a:off x="0" y="0"/>
                            <a:ext cx="4595937" cy="3676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Analysis Notebook</w:t>
        </w:r>
      </w:hyperlink>
    </w:p>
    <w:bookmarkEnd w:id="57"/>
    <w:bookmarkStart w:id="186"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58" w:name="tbl-refuge-prop"/>
          <w:p>
            <w:pPr>
              <w:jc w:val="center"/>
            </w:pPr>
            <w:pPr>
              <w:jc w:val="left"/>
              <w:spacing w:before="200"/>
              <w:pStyle w:val="ImageCaption"/>
            </w:pPr>
            <w:r>
              <w:t xml:space="preserve">Table 2: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p>
            <w:pPr>
              <w:pStyle w:val="SourceCode"/>
              <w:jc w:val="center"/>
            </w:pPr>
            <w:r>
              <w:rPr>
                <w:rStyle w:val="VerbatimChar"/>
              </w:rPr>
              <w:t xml:space="preserve">Unable to display output for mime type(s): text/html</w:t>
            </w:r>
          </w:p>
          <w:bookmarkEnd w:id="58"/>
        </w:tc>
      </w:tr>
    </w:tbl>
    <w:p>
      <w:pPr>
        <w:pStyle w:val="FirstParagraph"/>
      </w:pPr>
      <w:r>
        <w:rPr>
          <w:vertAlign w:val="subscript"/>
        </w:rPr>
        <w:t xml:space="preserve">Source:</w:t>
      </w:r>
      <w:r>
        <w:rPr>
          <w:vertAlign w:val="subscript"/>
        </w:rPr>
        <w:t xml:space="preserve"> </w:t>
      </w:r>
      <w:hyperlink r:id="rId5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0" w:name="tbl-feeding-summary"/>
          <w:p>
            <w:pPr>
              <w:jc w:val="center"/>
            </w:pPr>
            <w:pPr>
              <w:jc w:val="left"/>
              <w:spacing w:before="200"/>
              <w:pStyle w:val="ImageCaption"/>
            </w:pPr>
            <w:r>
              <w:t xml:space="preserve">Table 3: Fixed effects from the linear mixed model of kōura feeding rate (pellets consumed per gram body weight). Starvation period included as fixed effect with tank as random intercept.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df</w:t>
                  </w:r>
                </w:p>
              </w:tc>
              <w:tc>
                <w:tcPr/>
                <w:p>
                  <w:pPr>
                    <w:pStyle w:val="Compact"/>
                    <w:jc w:val="right"/>
                    <w:jc w:val="center"/>
                  </w:pPr>
                  <w:r>
                    <w:t xml:space="preserve">t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0.023</w:t>
                  </w:r>
                </w:p>
              </w:tc>
              <w:tc>
                <w:tcPr/>
                <w:p>
                  <w:pPr>
                    <w:pStyle w:val="Compact"/>
                    <w:jc w:val="right"/>
                    <w:jc w:val="center"/>
                  </w:pPr>
                  <w:r>
                    <w:t xml:space="preserve">0.024</w:t>
                  </w:r>
                </w:p>
              </w:tc>
              <w:tc>
                <w:tcPr/>
                <w:p>
                  <w:pPr>
                    <w:pStyle w:val="Compact"/>
                    <w:jc w:val="right"/>
                    <w:jc w:val="center"/>
                  </w:pPr>
                  <w:r>
                    <w:t xml:space="preserve">43</w:t>
                  </w:r>
                </w:p>
              </w:tc>
              <w:tc>
                <w:tcPr/>
                <w:p>
                  <w:pPr>
                    <w:pStyle w:val="Compact"/>
                    <w:jc w:val="right"/>
                    <w:jc w:val="center"/>
                  </w:pPr>
                  <w:r>
                    <w:t xml:space="preserve">0.951</w:t>
                  </w:r>
                </w:p>
              </w:tc>
              <w:tc>
                <w:tcPr/>
                <w:p>
                  <w:pPr>
                    <w:pStyle w:val="Compact"/>
                    <w:jc w:val="right"/>
                    <w:jc w:val="center"/>
                  </w:pPr>
                  <w:r>
                    <w:t xml:space="preserve">0.347</w:t>
                  </w:r>
                </w:p>
              </w:tc>
            </w:tr>
            <w:tr>
              <w:tc>
                <w:tcPr/>
                <w:p>
                  <w:pPr>
                    <w:pStyle w:val="Compact"/>
                    <w:jc w:val="left"/>
                    <w:jc w:val="center"/>
                  </w:pPr>
                  <w:r>
                    <w:t xml:space="preserve">day_starve3</w:t>
                  </w:r>
                </w:p>
              </w:tc>
              <w:tc>
                <w:tcPr/>
                <w:p>
                  <w:pPr>
                    <w:pStyle w:val="Compact"/>
                    <w:jc w:val="right"/>
                    <w:jc w:val="center"/>
                  </w:pPr>
                  <w:r>
                    <w:t xml:space="preserve">0.132</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4.033</w:t>
                  </w:r>
                </w:p>
              </w:tc>
              <w:tc>
                <w:tcPr/>
                <w:p>
                  <w:pPr>
                    <w:pStyle w:val="Compact"/>
                    <w:jc w:val="right"/>
                    <w:jc w:val="center"/>
                  </w:pPr>
                  <w:r>
                    <w:t xml:space="preserve">0.000</w:t>
                  </w:r>
                </w:p>
              </w:tc>
            </w:tr>
            <w:tr>
              <w:tc>
                <w:tcPr/>
                <w:p>
                  <w:pPr>
                    <w:pStyle w:val="Compact"/>
                    <w:jc w:val="left"/>
                    <w:jc w:val="center"/>
                  </w:pPr>
                  <w:r>
                    <w:t xml:space="preserve">day_starve4</w:t>
                  </w:r>
                </w:p>
              </w:tc>
              <w:tc>
                <w:tcPr/>
                <w:p>
                  <w:pPr>
                    <w:pStyle w:val="Compact"/>
                    <w:jc w:val="right"/>
                    <w:jc w:val="center"/>
                  </w:pPr>
                  <w:r>
                    <w:t xml:space="preserve">0.067</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2.056</w:t>
                  </w:r>
                </w:p>
              </w:tc>
              <w:tc>
                <w:tcPr/>
                <w:p>
                  <w:pPr>
                    <w:pStyle w:val="Compact"/>
                    <w:jc w:val="right"/>
                    <w:jc w:val="center"/>
                  </w:pPr>
                  <w:r>
                    <w:t xml:space="preserve">0.046</w:t>
                  </w:r>
                </w:p>
              </w:tc>
            </w:tr>
          </w:tbl>
          <w:bookmarkEnd w:id="60"/>
          <w:p/>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Analysis Notebook</w:t>
        </w:r>
      </w:hyperlink>
    </w:p>
    <w:bookmarkStart w:id="185" w:name="refs"/>
    <w:bookmarkStart w:id="63" w:name="ref-Abrams2000"/>
    <w:p>
      <w:pPr>
        <w:pStyle w:val="Bibliography"/>
      </w:pPr>
      <w:r>
        <w:t xml:space="preserve">Abrams PA (2000) The evolution of predator-prey interactions: Theory and evidence. Annual Review of Ecology and Systematics 31:79–105.</w:t>
      </w:r>
      <w:r>
        <w:t xml:space="preserve"> </w:t>
      </w:r>
      <w:hyperlink r:id="rId62">
        <w:r>
          <w:rPr>
            <w:rStyle w:val="Hyperlink"/>
          </w:rPr>
          <w:t xml:space="preserve">https://doi.org/10.1146/annurev.ecolsys.31.1.79</w:t>
        </w:r>
      </w:hyperlink>
    </w:p>
    <w:bookmarkEnd w:id="63"/>
    <w:bookmarkStart w:id="65"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4">
        <w:r>
          <w:rPr>
            <w:rStyle w:val="Hyperlink"/>
          </w:rPr>
          <w:t xml:space="preserve">https://doi.org/10.1371/journal.pone.0340001</w:t>
        </w:r>
      </w:hyperlink>
    </w:p>
    <w:bookmarkEnd w:id="65"/>
    <w:bookmarkStart w:id="67"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6">
        <w:r>
          <w:rPr>
            <w:rStyle w:val="Hyperlink"/>
          </w:rPr>
          <w:t xml:space="preserve">https://doi.org/10.1674/0003-0031(2007)158[85:daieoc]2.0.co;2</w:t>
        </w:r>
      </w:hyperlink>
    </w:p>
    <w:bookmarkEnd w:id="67"/>
    <w:bookmarkStart w:id="68"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8"/>
    <w:bookmarkStart w:id="69"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w:t>
      </w:r>
      <w:r>
        <w:t xml:space="preserve">(</w:t>
      </w:r>
      <w:r>
        <w:t xml:space="preserve">Managing Invasive Freshwater Fish in New Zealand</w:t>
      </w:r>
      <w:r>
        <w:t xml:space="preserve">). Department of Conservation</w:t>
      </w:r>
    </w:p>
    <w:bookmarkEnd w:id="69"/>
    <w:bookmarkStart w:id="71"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70">
        <w:r>
          <w:rPr>
            <w:rStyle w:val="Hyperlink"/>
          </w:rPr>
          <w:t xml:space="preserve">https://doi.org/10.1163/1568539x-00003501</w:t>
        </w:r>
      </w:hyperlink>
    </w:p>
    <w:bookmarkEnd w:id="71"/>
    <w:bookmarkStart w:id="73"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72">
        <w:r>
          <w:rPr>
            <w:rStyle w:val="Hyperlink"/>
          </w:rPr>
          <w:t xml:space="preserve">https://doi.org/10.1111/j.1365-2427.1993.tb00747.x</w:t>
        </w:r>
      </w:hyperlink>
    </w:p>
    <w:bookmarkEnd w:id="73"/>
    <w:bookmarkStart w:id="74" w:name="ref-Bronmark2012"/>
    <w:p>
      <w:pPr>
        <w:pStyle w:val="Bibliography"/>
      </w:pPr>
      <w:r>
        <w:t xml:space="preserve">Brönmark C, Hansson L-A (2012) Chemical ecology in aquatic systems. Oxford University Press</w:t>
      </w:r>
    </w:p>
    <w:bookmarkEnd w:id="74"/>
    <w:bookmarkStart w:id="76" w:name="ref-Brooks2017"/>
    <w:p>
      <w:pPr>
        <w:pStyle w:val="Bibliography"/>
      </w:pPr>
      <w:r>
        <w:t xml:space="preserve">Brooks E Mollie, Kristensen K, Benthem J Koen, et al (2017)</w:t>
      </w:r>
      <w:r>
        <w:t xml:space="preserve"> </w:t>
      </w:r>
      <w:r>
        <w:t xml:space="preserve">glmmTMB</w:t>
      </w:r>
      <w:r>
        <w:t xml:space="preserve"> </w:t>
      </w:r>
      <w:r>
        <w:t xml:space="preserve">balances speed and flexibility among packages for zero-inflated generalized linear mixed modeling. The R Journal 9:378.</w:t>
      </w:r>
      <w:r>
        <w:t xml:space="preserve"> </w:t>
      </w:r>
      <w:hyperlink r:id="rId75">
        <w:r>
          <w:rPr>
            <w:rStyle w:val="Hyperlink"/>
          </w:rPr>
          <w:t xml:space="preserve">https://doi.org/10.32614/rj-2017-066</w:t>
        </w:r>
      </w:hyperlink>
    </w:p>
    <w:bookmarkEnd w:id="76"/>
    <w:bookmarkStart w:id="78"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7">
        <w:r>
          <w:rPr>
            <w:rStyle w:val="Hyperlink"/>
          </w:rPr>
          <w:t xml:space="preserve">https://doi.org/10.1093/beheco/arh084</w:t>
        </w:r>
      </w:hyperlink>
    </w:p>
    <w:bookmarkEnd w:id="78"/>
    <w:bookmarkStart w:id="80" w:name="ref-Brown2009"/>
    <w:p>
      <w:pPr>
        <w:pStyle w:val="Bibliography"/>
      </w:pPr>
      <w:r>
        <w:t xml:space="preserve">Brown LA (2009)</w:t>
      </w:r>
      <w:r>
        <w:t xml:space="preserve"> </w:t>
      </w:r>
      <w:hyperlink r:id="rId79">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Massey University</w:t>
      </w:r>
    </w:p>
    <w:bookmarkEnd w:id="80"/>
    <w:bookmarkStart w:id="82" w:name="ref-Carthey2014"/>
    <w:p>
      <w:pPr>
        <w:pStyle w:val="Bibliography"/>
      </w:pPr>
      <w:r>
        <w:t xml:space="preserve">Carthey AJR, Banks PB (2014) Naïveté in novel ecological interactions: Lessons from theory and experimental evidence. Biological Reviews 89:932–949.</w:t>
      </w:r>
      <w:r>
        <w:t xml:space="preserve"> </w:t>
      </w:r>
      <w:hyperlink r:id="rId81">
        <w:r>
          <w:rPr>
            <w:rStyle w:val="Hyperlink"/>
          </w:rPr>
          <w:t xml:space="preserve">https://doi.org/10.1111/brv.12087</w:t>
        </w:r>
      </w:hyperlink>
    </w:p>
    <w:bookmarkEnd w:id="82"/>
    <w:bookmarkStart w:id="84" w:name="ref-Clinchy2013"/>
    <w:p>
      <w:pPr>
        <w:pStyle w:val="Bibliography"/>
      </w:pPr>
      <w:r>
        <w:t xml:space="preserve">Clinchy M, Sheriff MJ, Zanette LY (2012) Predator‐induced stress and the ecology of fear. Functional Ecology 27:56–65.</w:t>
      </w:r>
      <w:r>
        <w:t xml:space="preserve"> </w:t>
      </w:r>
      <w:hyperlink r:id="rId83">
        <w:r>
          <w:rPr>
            <w:rStyle w:val="Hyperlink"/>
          </w:rPr>
          <w:t xml:space="preserve">https://doi.org/10.1111/1365-2435.12007</w:t>
        </w:r>
      </w:hyperlink>
    </w:p>
    <w:bookmarkEnd w:id="84"/>
    <w:bookmarkStart w:id="85" w:name="ref-Collier1997"/>
    <w:p>
      <w:pPr>
        <w:pStyle w:val="Bibliography"/>
      </w:pPr>
      <w:r>
        <w:t xml:space="preserve">Collier KJ, Parkyn SM, Rabeni CF (1997) Koura: A keystone species. Water and Atmosphere 5:18–20</w:t>
      </w:r>
    </w:p>
    <w:bookmarkEnd w:id="85"/>
    <w:bookmarkStart w:id="87" w:name="ref-Dawkins1979"/>
    <w:p>
      <w:pPr>
        <w:pStyle w:val="Bibliography"/>
      </w:pPr>
      <w:r>
        <w:t xml:space="preserve">Dawkins R, Krebs JR (1979) Arms races between and within species. Proceedings of the Royal Society of London B Biological Sciences 205:489–511.</w:t>
      </w:r>
      <w:r>
        <w:t xml:space="preserve"> </w:t>
      </w:r>
      <w:hyperlink r:id="rId86">
        <w:r>
          <w:rPr>
            <w:rStyle w:val="Hyperlink"/>
          </w:rPr>
          <w:t xml:space="preserve">https://doi.org/10.1098/rspb.1979.0081</w:t>
        </w:r>
      </w:hyperlink>
    </w:p>
    <w:bookmarkEnd w:id="87"/>
    <w:bookmarkStart w:id="89" w:name="ref-Dedual2019"/>
    <w:p>
      <w:pPr>
        <w:pStyle w:val="Bibliography"/>
      </w:pPr>
      <w:r>
        <w:t xml:space="preserve">Dedual M (2019)</w:t>
      </w:r>
      <w:r>
        <w:t xml:space="preserve"> </w:t>
      </w:r>
      <w:hyperlink r:id="rId88">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9"/>
    <w:bookmarkStart w:id="90"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0"/>
    <w:bookmarkStart w:id="92"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91">
        <w:r>
          <w:rPr>
            <w:rStyle w:val="Hyperlink"/>
          </w:rPr>
          <w:t xml:space="preserve">https://doi.org/10.1073/pnas.1602480113</w:t>
        </w:r>
      </w:hyperlink>
    </w:p>
    <w:bookmarkEnd w:id="92"/>
    <w:bookmarkStart w:id="94" w:name="ref-Driscoll2020"/>
    <w:p>
      <w:pPr>
        <w:pStyle w:val="Bibliography"/>
      </w:pPr>
      <w:r>
        <w:t xml:space="preserve">Driscoll J, Kola M, Mathews L (2020) Perception of alarm cues influences the outcome of shelter competition in crayfish20. Ethology 126:584–592.</w:t>
      </w:r>
      <w:r>
        <w:t xml:space="preserve"> </w:t>
      </w:r>
      <w:hyperlink r:id="rId93">
        <w:r>
          <w:rPr>
            <w:rStyle w:val="Hyperlink"/>
          </w:rPr>
          <w:t xml:space="preserve">https://doi.org/10.1111/eth.13011</w:t>
        </w:r>
      </w:hyperlink>
    </w:p>
    <w:bookmarkEnd w:id="94"/>
    <w:bookmarkStart w:id="96" w:name="ref-Ehlman2019"/>
    <w:p>
      <w:pPr>
        <w:pStyle w:val="Bibliography"/>
      </w:pPr>
      <w:r>
        <w:t xml:space="preserve">Ehlman SM, Trimmer PC, Sih A (2019) Prey responses to exotic predators: Effects of old risks and new cues. The American Naturalist 193:575–587.</w:t>
      </w:r>
      <w:r>
        <w:t xml:space="preserve"> </w:t>
      </w:r>
      <w:hyperlink r:id="rId95">
        <w:r>
          <w:rPr>
            <w:rStyle w:val="Hyperlink"/>
          </w:rPr>
          <w:t xml:space="preserve">https://doi.org/10.1086/702252</w:t>
        </w:r>
      </w:hyperlink>
    </w:p>
    <w:bookmarkEnd w:id="96"/>
    <w:bookmarkStart w:id="98"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7">
        <w:r>
          <w:rPr>
            <w:rStyle w:val="Hyperlink"/>
          </w:rPr>
          <w:t xml:space="preserve">https://doi.org/10.1080/00288306.1994.9514611</w:t>
        </w:r>
      </w:hyperlink>
    </w:p>
    <w:bookmarkEnd w:id="98"/>
    <w:bookmarkStart w:id="100"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9">
        <w:r>
          <w:rPr>
            <w:rStyle w:val="Hyperlink"/>
          </w:rPr>
          <w:t xml:space="preserve">https://doi.org/10.1080/10236240500376477</w:t>
        </w:r>
      </w:hyperlink>
    </w:p>
    <w:bookmarkEnd w:id="100"/>
    <w:bookmarkStart w:id="102" w:name="ref-Francis_2019"/>
    <w:p>
      <w:pPr>
        <w:pStyle w:val="Bibliography"/>
      </w:pPr>
      <w:r>
        <w:t xml:space="preserve">Francis LB (2019)</w:t>
      </w:r>
      <w:r>
        <w:t xml:space="preserve"> </w:t>
      </w:r>
      <w:hyperlink r:id="rId101">
        <w:r>
          <w:rPr>
            <w:rStyle w:val="Hyperlink"/>
          </w:rPr>
          <w:t xml:space="preserve">Evaluating the effects of invasive brown bullhead catfish (ameiurus nebulosus) on kōura (freshwater crayfish, paranephrops planifrons) in lake rotoiti</w:t>
        </w:r>
      </w:hyperlink>
      <w:r>
        <w:t xml:space="preserve">. Thesis, The University of Waikato</w:t>
      </w:r>
    </w:p>
    <w:bookmarkEnd w:id="102"/>
    <w:bookmarkStart w:id="104"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103">
        <w:r>
          <w:rPr>
            <w:rStyle w:val="Hyperlink"/>
          </w:rPr>
          <w:t xml:space="preserve">https://doi.org/10.1111/j.1365-2427.2011.02595.x</w:t>
        </w:r>
      </w:hyperlink>
    </w:p>
    <w:bookmarkEnd w:id="104"/>
    <w:bookmarkStart w:id="106" w:name="ref-Hartig2024"/>
    <w:p>
      <w:pPr>
        <w:pStyle w:val="Bibliography"/>
      </w:pPr>
      <w:r>
        <w:t xml:space="preserve">Hartig F, Lohse L, leite M de S</w:t>
      </w:r>
      <w:r>
        <w:t xml:space="preserve"> </w:t>
      </w:r>
      <w:r>
        <w:t xml:space="preserve">(2024)</w:t>
      </w:r>
      <w:r>
        <w:t xml:space="preserve"> </w:t>
      </w:r>
      <w:hyperlink r:id="rId105">
        <w:r>
          <w:rPr>
            <w:rStyle w:val="Hyperlink"/>
          </w:rPr>
          <w:t xml:space="preserve">DHARMa: Residual diagnostics for hierarchical (multi-level / mixed) regression models</w:t>
        </w:r>
      </w:hyperlink>
    </w:p>
    <w:bookmarkEnd w:id="106"/>
    <w:bookmarkStart w:id="108" w:name="ref-Hazlett2003"/>
    <w:p>
      <w:pPr>
        <w:pStyle w:val="Bibliography"/>
      </w:pPr>
      <w:r>
        <w:t xml:space="preserve">Hazlett BA (2003) The effects of starvation on crayfish responses to alarm odor. Ethology 109:587–592.</w:t>
      </w:r>
      <w:r>
        <w:t xml:space="preserve"> </w:t>
      </w:r>
      <w:hyperlink r:id="rId107">
        <w:r>
          <w:rPr>
            <w:rStyle w:val="Hyperlink"/>
          </w:rPr>
          <w:t xml:space="preserve">https://doi.org/10.1046/j.1439-0310.2003.00902.x</w:t>
        </w:r>
      </w:hyperlink>
    </w:p>
    <w:bookmarkEnd w:id="108"/>
    <w:bookmarkStart w:id="110"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9">
        <w:r>
          <w:rPr>
            <w:rStyle w:val="Hyperlink"/>
          </w:rPr>
          <w:t xml:space="preserve">https://doi.org/10.1080/00288330.1997.9516796</w:t>
        </w:r>
      </w:hyperlink>
    </w:p>
    <w:bookmarkEnd w:id="110"/>
    <w:bookmarkStart w:id="112"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11">
        <w:r>
          <w:rPr>
            <w:rStyle w:val="Hyperlink"/>
          </w:rPr>
          <w:t xml:space="preserve">https://doi.org/10.1017/s0003598x00061408</w:t>
        </w:r>
      </w:hyperlink>
    </w:p>
    <w:bookmarkEnd w:id="112"/>
    <w:bookmarkStart w:id="114"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13">
        <w:r>
          <w:rPr>
            <w:rStyle w:val="Hyperlink"/>
          </w:rPr>
          <w:t xml:space="preserve">https://doi.org/10.1007/s10750-013-1708-1</w:t>
        </w:r>
      </w:hyperlink>
    </w:p>
    <w:bookmarkEnd w:id="114"/>
    <w:bookmarkStart w:id="116" w:name="ref-Kasumyan2022"/>
    <w:p>
      <w:pPr>
        <w:pStyle w:val="Bibliography"/>
      </w:pPr>
      <w:r>
        <w:t xml:space="preserve">Kasumyan AO (2022) Fish as sources of kairomones-chemical signals for aquatic animals. Journal of Ichthyology 62:289–315.</w:t>
      </w:r>
      <w:r>
        <w:t xml:space="preserve"> </w:t>
      </w:r>
      <w:hyperlink r:id="rId115">
        <w:r>
          <w:rPr>
            <w:rStyle w:val="Hyperlink"/>
          </w:rPr>
          <w:t xml:space="preserve">https://doi.org/10.1134/s0032945222020084</w:t>
        </w:r>
      </w:hyperlink>
    </w:p>
    <w:bookmarkEnd w:id="116"/>
    <w:bookmarkStart w:id="118"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7">
        <w:r>
          <w:rPr>
            <w:rStyle w:val="Hyperlink"/>
          </w:rPr>
          <w:t xml:space="preserve">https://doi.org/10.1016/j.palaeo.2018.03.022</w:t>
        </w:r>
      </w:hyperlink>
    </w:p>
    <w:bookmarkEnd w:id="118"/>
    <w:bookmarkStart w:id="120"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9">
        <w:r>
          <w:rPr>
            <w:rStyle w:val="Hyperlink"/>
          </w:rPr>
          <w:t xml:space="preserve">https://doi.org/10.1007/s10530-016-1268-1</w:t>
        </w:r>
      </w:hyperlink>
    </w:p>
    <w:bookmarkEnd w:id="120"/>
    <w:bookmarkStart w:id="122"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1">
        <w:r>
          <w:rPr>
            <w:rStyle w:val="Hyperlink"/>
          </w:rPr>
          <w:t xml:space="preserve">https://doi.org/10.1007/s10530-026-03852-0</w:t>
        </w:r>
      </w:hyperlink>
    </w:p>
    <w:bookmarkEnd w:id="122"/>
    <w:bookmarkStart w:id="124"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23">
        <w:r>
          <w:rPr>
            <w:rStyle w:val="Hyperlink"/>
          </w:rPr>
          <w:t xml:space="preserve">https://doi.org/10.1080/00288330909510036</w:t>
        </w:r>
      </w:hyperlink>
    </w:p>
    <w:bookmarkEnd w:id="124"/>
    <w:bookmarkStart w:id="126"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5">
        <w:r>
          <w:rPr>
            <w:rStyle w:val="Hyperlink"/>
          </w:rPr>
          <w:t xml:space="preserve">https://doi.org/10.1139/z01-094</w:t>
        </w:r>
      </w:hyperlink>
    </w:p>
    <w:bookmarkEnd w:id="126"/>
    <w:bookmarkStart w:id="128"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7">
        <w:r>
          <w:rPr>
            <w:rStyle w:val="Hyperlink"/>
          </w:rPr>
          <w:t xml:space="preserve">https://doi.org/10.5194/we-25-221-2025</w:t>
        </w:r>
      </w:hyperlink>
    </w:p>
    <w:bookmarkEnd w:id="128"/>
    <w:bookmarkStart w:id="130" w:name="ref-Lenth2026"/>
    <w:p>
      <w:pPr>
        <w:pStyle w:val="Bibliography"/>
      </w:pPr>
      <w:r>
        <w:t xml:space="preserve">Lenth RV, Piaskowski J, Banfai B, et al (2026)</w:t>
      </w:r>
      <w:r>
        <w:t xml:space="preserve"> </w:t>
      </w:r>
      <w:hyperlink r:id="rId129">
        <w:r>
          <w:rPr>
            <w:rStyle w:val="Hyperlink"/>
          </w:rPr>
          <w:t xml:space="preserve">emmeans</w:t>
        </w:r>
        <w:r>
          <w:rPr>
            <w:rStyle w:val="Hyperlink"/>
          </w:rPr>
          <w:t xml:space="preserve">: Estimated marginal means, aka least-squares means</w:t>
        </w:r>
      </w:hyperlink>
    </w:p>
    <w:bookmarkEnd w:id="130"/>
    <w:bookmarkStart w:id="132" w:name="ref-Lima1990"/>
    <w:p>
      <w:pPr>
        <w:pStyle w:val="Bibliography"/>
      </w:pPr>
      <w:r>
        <w:t xml:space="preserve">Lima SL, Dill LM (1990) Behavioral decisions made under the risk of predation: A review and prospectus. Canadian Journal of Zoology 68:619–640.</w:t>
      </w:r>
      <w:r>
        <w:t xml:space="preserve"> </w:t>
      </w:r>
      <w:hyperlink r:id="rId131">
        <w:r>
          <w:rPr>
            <w:rStyle w:val="Hyperlink"/>
          </w:rPr>
          <w:t xml:space="preserve">https://doi.org/10.1139/z90-092</w:t>
        </w:r>
      </w:hyperlink>
    </w:p>
    <w:bookmarkEnd w:id="132"/>
    <w:bookmarkStart w:id="134"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&amp;amp; Management of Aquatic Ecosystems 29.</w:t>
      </w:r>
      <w:r>
        <w:t xml:space="preserve"> </w:t>
      </w:r>
      <w:hyperlink r:id="rId133">
        <w:r>
          <w:rPr>
            <w:rStyle w:val="Hyperlink"/>
          </w:rPr>
          <w:t xml:space="preserve">https://doi.org/10.1051/kmae/2025022</w:t>
        </w:r>
      </w:hyperlink>
    </w:p>
    <w:bookmarkEnd w:id="134"/>
    <w:bookmarkStart w:id="136" w:name="ref-Martin2014"/>
    <w:p>
      <w:pPr>
        <w:pStyle w:val="Bibliography"/>
      </w:pPr>
      <w:r>
        <w:t xml:space="preserve">Martin CW (2014) Naïve prey exhibit reduced antipredator behavior and survivorship. PeerJ 2:e665.</w:t>
      </w:r>
      <w:r>
        <w:t xml:space="preserve"> </w:t>
      </w:r>
      <w:hyperlink r:id="rId135">
        <w:r>
          <w:rPr>
            <w:rStyle w:val="Hyperlink"/>
          </w:rPr>
          <w:t xml:space="preserve">https://doi.org/10.7717/peerj.665</w:t>
        </w:r>
      </w:hyperlink>
    </w:p>
    <w:bookmarkEnd w:id="136"/>
    <w:bookmarkStart w:id="138" w:name="ref-Martin2007"/>
    <w:p>
      <w:pPr>
        <w:pStyle w:val="Bibliography"/>
      </w:pPr>
      <w:r>
        <w:t xml:space="preserve">Martin M, Boubée J, Kusabs I (2007)</w:t>
      </w:r>
      <w:r>
        <w:t xml:space="preserve"> </w:t>
      </w:r>
      <w:hyperlink r:id="rId137">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8"/>
    <w:bookmarkStart w:id="140" w:name="ref-McDowall1990"/>
    <w:p>
      <w:pPr>
        <w:pStyle w:val="Bibliography"/>
      </w:pPr>
      <w:r>
        <w:t xml:space="preserve">McDowall RM (1990)</w:t>
      </w:r>
      <w:r>
        <w:t xml:space="preserve"> </w:t>
      </w:r>
      <w:hyperlink r:id="rId139">
        <w:r>
          <w:rPr>
            <w:rStyle w:val="Hyperlink"/>
          </w:rPr>
          <w:t xml:space="preserve">New Zealand</w:t>
        </w:r>
        <w:r>
          <w:rPr>
            <w:rStyle w:val="Hyperlink"/>
          </w:rPr>
          <w:t xml:space="preserve"> </w:t>
        </w:r>
        <w:r>
          <w:rPr>
            <w:rStyle w:val="Hyperlink"/>
          </w:rPr>
          <w:t xml:space="preserve">freshwater fishes: A natural history and guide</w:t>
        </w:r>
      </w:hyperlink>
    </w:p>
    <w:bookmarkEnd w:id="140"/>
    <w:bookmarkStart w:id="142" w:name="ref-Nystrom2005"/>
    <w:p>
      <w:pPr>
        <w:pStyle w:val="Bibliography"/>
      </w:pPr>
      <w:r>
        <w:t xml:space="preserve">Nyström P (2005) Non‐lethal predator effects on the performance of a native and an exotic crayfish species. Freshwater Biology 50:1938–1949.</w:t>
      </w:r>
      <w:r>
        <w:t xml:space="preserve"> </w:t>
      </w:r>
      <w:hyperlink r:id="rId141">
        <w:r>
          <w:rPr>
            <w:rStyle w:val="Hyperlink"/>
          </w:rPr>
          <w:t xml:space="preserve">https://doi.org/10.1111/j.1365-2427.2005.01438.x</w:t>
        </w:r>
      </w:hyperlink>
    </w:p>
    <w:bookmarkEnd w:id="142"/>
    <w:bookmarkStart w:id="144"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43">
        <w:r>
          <w:rPr>
            <w:rStyle w:val="Hyperlink"/>
          </w:rPr>
          <w:t xml:space="preserve">https://doi.org/10.1046/j.1365-2427.2001.00702.x</w:t>
        </w:r>
      </w:hyperlink>
    </w:p>
    <w:bookmarkEnd w:id="144"/>
    <w:bookmarkStart w:id="146"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5">
        <w:r>
          <w:rPr>
            <w:rStyle w:val="Hyperlink"/>
          </w:rPr>
          <w:t xml:space="preserve">https://doi.org/10.1073/pnas.071061998</w:t>
        </w:r>
      </w:hyperlink>
    </w:p>
    <w:bookmarkEnd w:id="146"/>
    <w:bookmarkStart w:id="148" w:name="ref-Preisser2005"/>
    <w:p>
      <w:pPr>
        <w:pStyle w:val="Bibliography"/>
      </w:pPr>
      <w:r>
        <w:t xml:space="preserve">Preisser EL, Bolnick DI, Benard MF (2005) Scared to death? The effects of intimidation and consumption in predator-prey interactions. Ecology 86:501–509.</w:t>
      </w:r>
      <w:r>
        <w:t xml:space="preserve"> </w:t>
      </w:r>
      <w:hyperlink r:id="rId147">
        <w:r>
          <w:rPr>
            <w:rStyle w:val="Hyperlink"/>
          </w:rPr>
          <w:t xml:space="preserve">https://doi.org/10.1890/04-0719</w:t>
        </w:r>
      </w:hyperlink>
    </w:p>
    <w:bookmarkEnd w:id="148"/>
    <w:bookmarkStart w:id="150" w:name="ref-RCoreTeam2025"/>
    <w:p>
      <w:pPr>
        <w:pStyle w:val="Bibliography"/>
      </w:pPr>
      <w:r>
        <w:t xml:space="preserve">R Core Team (2025)</w:t>
      </w:r>
      <w:r>
        <w:t xml:space="preserve"> </w:t>
      </w:r>
      <w:hyperlink r:id="rId149">
        <w:r>
          <w:rPr>
            <w:rStyle w:val="Hyperlink"/>
          </w:rPr>
          <w:t xml:space="preserve">R: A language and environment for statistical computing</w:t>
        </w:r>
      </w:hyperlink>
    </w:p>
    <w:bookmarkEnd w:id="150"/>
    <w:bookmarkStart w:id="152"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51">
        <w:r>
          <w:rPr>
            <w:rStyle w:val="Hyperlink"/>
          </w:rPr>
          <w:t xml:space="preserve">https://doi.org/10.1080/10236244.2020.1717338</w:t>
        </w:r>
      </w:hyperlink>
    </w:p>
    <w:bookmarkEnd w:id="152"/>
    <w:bookmarkStart w:id="154" w:name="ref-Ryan2009"/>
    <w:p>
      <w:pPr>
        <w:pStyle w:val="Bibliography"/>
      </w:pPr>
      <w:r>
        <w:t xml:space="preserve">Ryan P (2009)</w:t>
      </w:r>
      <w:r>
        <w:t xml:space="preserve"> </w:t>
      </w:r>
      <w:hyperlink r:id="rId153">
        <w:r>
          <w:rPr>
            <w:rStyle w:val="Hyperlink"/>
          </w:rPr>
          <w:t xml:space="preserve">Eels |</w:t>
        </w:r>
        <w:r>
          <w:rPr>
            <w:rStyle w:val="Hyperlink"/>
          </w:rPr>
          <w:t xml:space="preserve"> </w:t>
        </w:r>
        <w:r>
          <w:rPr>
            <w:rStyle w:val="Hyperlink"/>
          </w:rPr>
          <w:t xml:space="preserve">Te Ara Encyclopedia of New Zealand</w:t>
        </w:r>
      </w:hyperlink>
    </w:p>
    <w:bookmarkEnd w:id="154"/>
    <w:bookmarkStart w:id="156"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5">
        <w:r>
          <w:rPr>
            <w:rStyle w:val="Hyperlink"/>
          </w:rPr>
          <w:t xml:space="preserve">https://doi.org/10.1890/0012-9658(1997)078[1388:bmtceo]2.0.co;2</w:t>
        </w:r>
      </w:hyperlink>
    </w:p>
    <w:bookmarkEnd w:id="156"/>
    <w:bookmarkStart w:id="157" w:name="ref-Scott1973"/>
    <w:p>
      <w:pPr>
        <w:pStyle w:val="Bibliography"/>
      </w:pPr>
      <w:r>
        <w:t xml:space="preserve">Scott WB, Crossman EJ (1973) Freshwater fishes of</w:t>
      </w:r>
      <w:r>
        <w:t xml:space="preserve"> </w:t>
      </w:r>
      <w:r>
        <w:t xml:space="preserve">Canada</w:t>
      </w:r>
      <w:r>
        <w:t xml:space="preserve">. Fisheries Research Board of Canada</w:t>
      </w:r>
    </w:p>
    <w:bookmarkEnd w:id="157"/>
    <w:bookmarkStart w:id="158"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8"/>
    <w:bookmarkStart w:id="160"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9">
        <w:r>
          <w:rPr>
            <w:rStyle w:val="Hyperlink"/>
          </w:rPr>
          <w:t xml:space="preserve">https://doi.org/10.1111/1365-2656.13213</w:t>
        </w:r>
      </w:hyperlink>
    </w:p>
    <w:bookmarkEnd w:id="160"/>
    <w:bookmarkStart w:id="162" w:name="ref-Sih2010"/>
    <w:p>
      <w:pPr>
        <w:pStyle w:val="Bibliography"/>
      </w:pPr>
      <w:r>
        <w:t xml:space="preserve">Sih A, Bolnick DI, Luttbeg B, et al (2010) Predator-prey naïveté, antipredator behavior, and the ecology of predator invasions. Oikos 119:610–621.</w:t>
      </w:r>
      <w:r>
        <w:t xml:space="preserve"> </w:t>
      </w:r>
      <w:hyperlink r:id="rId161">
        <w:r>
          <w:rPr>
            <w:rStyle w:val="Hyperlink"/>
          </w:rPr>
          <w:t xml:space="preserve">https://doi.org/10.1111/j.1600-0706.2009.18039.x</w:t>
        </w:r>
      </w:hyperlink>
    </w:p>
    <w:bookmarkEnd w:id="162"/>
    <w:bookmarkStart w:id="164" w:name="ref-Sih2023"/>
    <w:p>
      <w:pPr>
        <w:pStyle w:val="Bibliography"/>
      </w:pPr>
      <w:r>
        <w:t xml:space="preserve">Sih A, Chung HJ, Neylan I, et al (2023) Fear generalization and behavioral responses to multiple dangers. Trends in Ecology &amp; Evolution 38:369–380.</w:t>
      </w:r>
      <w:r>
        <w:t xml:space="preserve"> </w:t>
      </w:r>
      <w:hyperlink r:id="rId163">
        <w:r>
          <w:rPr>
            <w:rStyle w:val="Hyperlink"/>
          </w:rPr>
          <w:t xml:space="preserve">https://doi.org/10.1016/j.tree.2022.11.001</w:t>
        </w:r>
      </w:hyperlink>
    </w:p>
    <w:bookmarkEnd w:id="164"/>
    <w:bookmarkStart w:id="166" w:name="ref-Sih2011"/>
    <w:p>
      <w:pPr>
        <w:pStyle w:val="Bibliography"/>
      </w:pPr>
      <w:r>
        <w:t xml:space="preserve">Sih A, Ferrari MCO, Harris DJ (2011) Evolution and behavioural responses to human‐induced rapid environmental change. Evolutionary Applications 4:367–387.</w:t>
      </w:r>
      <w:r>
        <w:t xml:space="preserve"> </w:t>
      </w:r>
      <w:hyperlink r:id="rId165">
        <w:r>
          <w:rPr>
            <w:rStyle w:val="Hyperlink"/>
          </w:rPr>
          <w:t xml:space="preserve">https://doi.org/10.1111/j.1752-4571.2010.00166.x</w:t>
        </w:r>
      </w:hyperlink>
    </w:p>
    <w:bookmarkEnd w:id="166"/>
    <w:bookmarkStart w:id="168"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7">
        <w:r>
          <w:rPr>
            <w:rStyle w:val="Hyperlink"/>
          </w:rPr>
          <w:t xml:space="preserve">https://doi.org/10.1007/s10886-005-9021-8</w:t>
        </w:r>
      </w:hyperlink>
    </w:p>
    <w:bookmarkEnd w:id="168"/>
    <w:bookmarkStart w:id="170"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9">
        <w:r>
          <w:rPr>
            <w:rStyle w:val="Hyperlink"/>
          </w:rPr>
          <w:t xml:space="preserve">https://doi.org/10.3897/neobiota.97.139760</w:t>
        </w:r>
      </w:hyperlink>
    </w:p>
    <w:bookmarkEnd w:id="170"/>
    <w:bookmarkStart w:id="172"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71">
        <w:r>
          <w:rPr>
            <w:rStyle w:val="Hyperlink"/>
          </w:rPr>
          <w:t xml:space="preserve">https://doi.org/10.1080/10236244.2010.487301</w:t>
        </w:r>
      </w:hyperlink>
    </w:p>
    <w:bookmarkEnd w:id="172"/>
    <w:bookmarkStart w:id="174" w:name="ref-Stein1976"/>
    <w:p>
      <w:pPr>
        <w:pStyle w:val="Bibliography"/>
      </w:pPr>
      <w:r>
        <w:t xml:space="preserve">Stein RA, Magnuson JJ (1976) Behavioral response of crayfish to a fish predator. Ecology 57:751–761.</w:t>
      </w:r>
      <w:r>
        <w:t xml:space="preserve"> </w:t>
      </w:r>
      <w:hyperlink r:id="rId173">
        <w:r>
          <w:rPr>
            <w:rStyle w:val="Hyperlink"/>
          </w:rPr>
          <w:t xml:space="preserve">https://doi.org/10.2307/1936188</w:t>
        </w:r>
      </w:hyperlink>
    </w:p>
    <w:bookmarkEnd w:id="174"/>
    <w:bookmarkStart w:id="176" w:name="ref-Usio2004"/>
    <w:p>
      <w:pPr>
        <w:pStyle w:val="Bibliography"/>
      </w:pPr>
      <w:r>
        <w:t xml:space="preserve">Usio N, Townsend CR (2004) Roles of crayfish: Consequences of predation and bioturbation for stream invertebrates. Ecology 85:807–822.</w:t>
      </w:r>
      <w:r>
        <w:t xml:space="preserve"> </w:t>
      </w:r>
      <w:hyperlink r:id="rId175">
        <w:r>
          <w:rPr>
            <w:rStyle w:val="Hyperlink"/>
          </w:rPr>
          <w:t xml:space="preserve">https://doi.org/10.1890/02-0618</w:t>
        </w:r>
      </w:hyperlink>
    </w:p>
    <w:bookmarkEnd w:id="176"/>
    <w:bookmarkStart w:id="178"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7">
        <w:r>
          <w:rPr>
            <w:rStyle w:val="Hyperlink"/>
          </w:rPr>
          <w:t xml:space="preserve">https://doi.org/10.1139/cjz-2019-0089</w:t>
        </w:r>
      </w:hyperlink>
    </w:p>
    <w:bookmarkEnd w:id="178"/>
    <w:bookmarkStart w:id="180"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9">
        <w:r>
          <w:rPr>
            <w:rStyle w:val="Hyperlink"/>
          </w:rPr>
          <w:t xml:space="preserve">https://doi.org/10.1002/ecs2.3188</w:t>
        </w:r>
      </w:hyperlink>
    </w:p>
    <w:bookmarkEnd w:id="180"/>
    <w:bookmarkStart w:id="182"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81">
        <w:r>
          <w:rPr>
            <w:rStyle w:val="Hyperlink"/>
          </w:rPr>
          <w:t xml:space="preserve">https://doi.org/10.1080/03949370.2010.505580</w:t>
        </w:r>
      </w:hyperlink>
    </w:p>
    <w:bookmarkEnd w:id="182"/>
    <w:bookmarkStart w:id="184"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83">
        <w:r>
          <w:rPr>
            <w:rStyle w:val="Hyperlink"/>
          </w:rPr>
          <w:t xml:space="preserve">https://doi.org/10.3390/ani14081147</w:t>
        </w:r>
      </w:hyperlink>
    </w:p>
    <w:bookmarkEnd w:id="184"/>
    <w:bookmarkEnd w:id="185"/>
    <w:bookmarkEnd w:id="18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hyperlink" Id="rId79" Target="http://hdl.handle.net/10179/1168" TargetMode="External" /><Relationship Type="http://schemas.openxmlformats.org/officeDocument/2006/relationships/hyperlink" Id="rId46" Target="https://OlivierRaven.github.io/https---github.com-OlivierRaven-NCE_Koura_catfish/analysis-preview.html#cell-fig-emmeans-stratified" TargetMode="External" /><Relationship Type="http://schemas.openxmlformats.org/officeDocument/2006/relationships/hyperlink" Id="rId56" Target="https://OlivierRaven.github.io/https---github.com-OlivierRaven-NCE_Koura_catfish/analysis-preview.html#cell-fig-feeding-plot" TargetMode="External" /><Relationship Type="http://schemas.openxmlformats.org/officeDocument/2006/relationships/hyperlink" Id="rId51" Target="https://OlivierRaven.github.io/https---github.com-OlivierRaven-NCE_Koura_catfish/analysis-preview.html#cell-fig-refuge-plot" TargetMode="External" /><Relationship Type="http://schemas.openxmlformats.org/officeDocument/2006/relationships/hyperlink" Id="rId36" Target="https://OlivierRaven.github.io/https---github.com-OlivierRaven-NCE_Koura_catfish/analysis-preview.html#cell-tbl-emmeans-stratified" TargetMode="External" /><Relationship Type="http://schemas.openxmlformats.org/officeDocument/2006/relationships/hyperlink" Id="rId61" Target="https://OlivierRaven.github.io/https---github.com-OlivierRaven-NCE_Koura_catfish/analysis-preview.html#cell-tbl-feeding-summary" TargetMode="External" /><Relationship Type="http://schemas.openxmlformats.org/officeDocument/2006/relationships/hyperlink" Id="rId59" Target="https://OlivierRaven.github.io/https---github.com-OlivierRaven-NCE_Koura_catfish/analysis-preview.html#cell-tbl-refuge-prop" TargetMode="External" /><Relationship Type="http://schemas.openxmlformats.org/officeDocument/2006/relationships/hyperlink" Id="rId139" Target="https://agris.fao.org/search/en/providers/122621/records/6473966cce9437aa76003d0e" TargetMode="External" /><Relationship Type="http://schemas.openxmlformats.org/officeDocument/2006/relationships/hyperlink" Id="rId88" Target="https://atlas.boprc.govt.nz/api/v1/edms/document/A3591759/content" TargetMode="External" /><Relationship Type="http://schemas.openxmlformats.org/officeDocument/2006/relationships/hyperlink" Id="rId105" Target="https://cran.r-project.org/web/packages/DHARMa/index.html" TargetMode="External" /><Relationship Type="http://schemas.openxmlformats.org/officeDocument/2006/relationships/hyperlink" Id="rId129" Target="https://cran.r-project.org/web/packages/emmeans/index.html" TargetMode="External" /><Relationship Type="http://schemas.openxmlformats.org/officeDocument/2006/relationships/hyperlink" Id="rId179" Target="https://doi.org/10.1002/ecs2.3188" TargetMode="External" /><Relationship Type="http://schemas.openxmlformats.org/officeDocument/2006/relationships/hyperlink" Id="rId119" Target="https://doi.org/10.1007/s10530-016-1268-1" TargetMode="External" /><Relationship Type="http://schemas.openxmlformats.org/officeDocument/2006/relationships/hyperlink" Id="rId121" Target="https://doi.org/10.1007/s10530-026-03852-0" TargetMode="External" /><Relationship Type="http://schemas.openxmlformats.org/officeDocument/2006/relationships/hyperlink" Id="rId113" Target="https://doi.org/10.1007/s10750-013-1708-1" TargetMode="External" /><Relationship Type="http://schemas.openxmlformats.org/officeDocument/2006/relationships/hyperlink" Id="rId167" Target="https://doi.org/10.1007/s10886-005-9021-8" TargetMode="External" /><Relationship Type="http://schemas.openxmlformats.org/officeDocument/2006/relationships/hyperlink" Id="rId117" Target="https://doi.org/10.1016/j.palaeo.2018.03.022" TargetMode="External" /><Relationship Type="http://schemas.openxmlformats.org/officeDocument/2006/relationships/hyperlink" Id="rId163" Target="https://doi.org/10.1016/j.tree.2022.11.001" TargetMode="External" /><Relationship Type="http://schemas.openxmlformats.org/officeDocument/2006/relationships/hyperlink" Id="rId111" Target="https://doi.org/10.1017/s0003598x00061408" TargetMode="External" /><Relationship Type="http://schemas.openxmlformats.org/officeDocument/2006/relationships/hyperlink" Id="rId143" Target="https://doi.org/10.1046/j.1365-2427.2001.00702.x" TargetMode="External" /><Relationship Type="http://schemas.openxmlformats.org/officeDocument/2006/relationships/hyperlink" Id="rId107" Target="https://doi.org/10.1046/j.1439-0310.2003.00902.x" TargetMode="External" /><Relationship Type="http://schemas.openxmlformats.org/officeDocument/2006/relationships/hyperlink" Id="rId133" Target="https://doi.org/10.1051/kmae/2025022" TargetMode="External" /><Relationship Type="http://schemas.openxmlformats.org/officeDocument/2006/relationships/hyperlink" Id="rId145" Target="https://doi.org/10.1073/pnas.071061998" TargetMode="External" /><Relationship Type="http://schemas.openxmlformats.org/officeDocument/2006/relationships/hyperlink" Id="rId91" Target="https://doi.org/10.1073/pnas.1602480113" TargetMode="External" /><Relationship Type="http://schemas.openxmlformats.org/officeDocument/2006/relationships/hyperlink" Id="rId97" Target="https://doi.org/10.1080/00288306.1994.9514611" TargetMode="External" /><Relationship Type="http://schemas.openxmlformats.org/officeDocument/2006/relationships/hyperlink" Id="rId109" Target="https://doi.org/10.1080/00288330.1997.9516796" TargetMode="External" /><Relationship Type="http://schemas.openxmlformats.org/officeDocument/2006/relationships/hyperlink" Id="rId123" Target="https://doi.org/10.1080/00288330909510036" TargetMode="External" /><Relationship Type="http://schemas.openxmlformats.org/officeDocument/2006/relationships/hyperlink" Id="rId181" Target="https://doi.org/10.1080/03949370.2010.505580" TargetMode="External" /><Relationship Type="http://schemas.openxmlformats.org/officeDocument/2006/relationships/hyperlink" Id="rId99" Target="https://doi.org/10.1080/10236240500376477" TargetMode="External" /><Relationship Type="http://schemas.openxmlformats.org/officeDocument/2006/relationships/hyperlink" Id="rId171" Target="https://doi.org/10.1080/10236244.2010.487301" TargetMode="External" /><Relationship Type="http://schemas.openxmlformats.org/officeDocument/2006/relationships/hyperlink" Id="rId151" Target="https://doi.org/10.1080/10236244.2020.1717338" TargetMode="External" /><Relationship Type="http://schemas.openxmlformats.org/officeDocument/2006/relationships/hyperlink" Id="rId95" Target="https://doi.org/10.1086/702252" TargetMode="External" /><Relationship Type="http://schemas.openxmlformats.org/officeDocument/2006/relationships/hyperlink" Id="rId77" Target="https://doi.org/10.1093/beheco/arh084" TargetMode="External" /><Relationship Type="http://schemas.openxmlformats.org/officeDocument/2006/relationships/hyperlink" Id="rId86" Target="https://doi.org/10.1098/rspb.1979.0081" TargetMode="External" /><Relationship Type="http://schemas.openxmlformats.org/officeDocument/2006/relationships/hyperlink" Id="rId83" Target="https://doi.org/10.1111/1365-2435.12007" TargetMode="External" /><Relationship Type="http://schemas.openxmlformats.org/officeDocument/2006/relationships/hyperlink" Id="rId159" Target="https://doi.org/10.1111/1365-2656.13213" TargetMode="External" /><Relationship Type="http://schemas.openxmlformats.org/officeDocument/2006/relationships/hyperlink" Id="rId81" Target="https://doi.org/10.1111/brv.12087" TargetMode="External" /><Relationship Type="http://schemas.openxmlformats.org/officeDocument/2006/relationships/hyperlink" Id="rId93" Target="https://doi.org/10.1111/eth.13011" TargetMode="External" /><Relationship Type="http://schemas.openxmlformats.org/officeDocument/2006/relationships/hyperlink" Id="rId72" Target="https://doi.org/10.1111/j.1365-2427.1993.tb00747.x" TargetMode="External" /><Relationship Type="http://schemas.openxmlformats.org/officeDocument/2006/relationships/hyperlink" Id="rId141" Target="https://doi.org/10.1111/j.1365-2427.2005.01438.x" TargetMode="External" /><Relationship Type="http://schemas.openxmlformats.org/officeDocument/2006/relationships/hyperlink" Id="rId103" Target="https://doi.org/10.1111/j.1365-2427.2011.02595.x" TargetMode="External" /><Relationship Type="http://schemas.openxmlformats.org/officeDocument/2006/relationships/hyperlink" Id="rId161" Target="https://doi.org/10.1111/j.1600-0706.2009.18039.x" TargetMode="External" /><Relationship Type="http://schemas.openxmlformats.org/officeDocument/2006/relationships/hyperlink" Id="rId165" Target="https://doi.org/10.1111/j.1752-4571.2010.00166.x" TargetMode="External" /><Relationship Type="http://schemas.openxmlformats.org/officeDocument/2006/relationships/hyperlink" Id="rId115" Target="https://doi.org/10.1134/s0032945222020084" TargetMode="External" /><Relationship Type="http://schemas.openxmlformats.org/officeDocument/2006/relationships/hyperlink" Id="rId177" Target="https://doi.org/10.1139/cjz-2019-0089" TargetMode="External" /><Relationship Type="http://schemas.openxmlformats.org/officeDocument/2006/relationships/hyperlink" Id="rId125" Target="https://doi.org/10.1139/z01-094" TargetMode="External" /><Relationship Type="http://schemas.openxmlformats.org/officeDocument/2006/relationships/hyperlink" Id="rId131" Target="https://doi.org/10.1139/z90-092" TargetMode="External" /><Relationship Type="http://schemas.openxmlformats.org/officeDocument/2006/relationships/hyperlink" Id="rId62" Target="https://doi.org/10.1146/annurev.ecolsys.31.1.79" TargetMode="External" /><Relationship Type="http://schemas.openxmlformats.org/officeDocument/2006/relationships/hyperlink" Id="rId70" Target="https://doi.org/10.1163/1568539x-00003501" TargetMode="External" /><Relationship Type="http://schemas.openxmlformats.org/officeDocument/2006/relationships/hyperlink" Id="rId64" Target="https://doi.org/10.1371/journal.pone.0340001" TargetMode="External" /><Relationship Type="http://schemas.openxmlformats.org/officeDocument/2006/relationships/hyperlink" Id="rId66" Target="https://doi.org/10.1674/0003-0031(2007)158[85:daieoc]2.0.co;2" TargetMode="External" /><Relationship Type="http://schemas.openxmlformats.org/officeDocument/2006/relationships/hyperlink" Id="rId155" Target="https://doi.org/10.1890/0012-9658(1997)078[1388:bmtceo]2.0.co;2" TargetMode="External" /><Relationship Type="http://schemas.openxmlformats.org/officeDocument/2006/relationships/hyperlink" Id="rId175" Target="https://doi.org/10.1890/02-0618" TargetMode="External" /><Relationship Type="http://schemas.openxmlformats.org/officeDocument/2006/relationships/hyperlink" Id="rId147" Target="https://doi.org/10.1890/04-0719" TargetMode="External" /><Relationship Type="http://schemas.openxmlformats.org/officeDocument/2006/relationships/hyperlink" Id="rId173" Target="https://doi.org/10.2307/1936188" TargetMode="External" /><Relationship Type="http://schemas.openxmlformats.org/officeDocument/2006/relationships/hyperlink" Id="rId75" Target="https://doi.org/10.32614/rj-2017-066" TargetMode="External" /><Relationship Type="http://schemas.openxmlformats.org/officeDocument/2006/relationships/hyperlink" Id="rId183" Target="https://doi.org/10.3390/ani14081147" TargetMode="External" /><Relationship Type="http://schemas.openxmlformats.org/officeDocument/2006/relationships/hyperlink" Id="rId169" Target="https://doi.org/10.3897/neobiota.97.139760" TargetMode="External" /><Relationship Type="http://schemas.openxmlformats.org/officeDocument/2006/relationships/hyperlink" Id="rId127" Target="https://doi.org/10.5194/we-25-221-2025" TargetMode="External" /><Relationship Type="http://schemas.openxmlformats.org/officeDocument/2006/relationships/hyperlink" Id="rId135" Target="https://doi.org/10.7717/peerj.665" TargetMode="External" /><Relationship Type="http://schemas.openxmlformats.org/officeDocument/2006/relationships/hyperlink" Id="rId137" Target="https://niwa.co.nz/sites/default/files/2025-04/te_arawa_species_report_tuna_0.pdf" TargetMode="External" /><Relationship Type="http://schemas.openxmlformats.org/officeDocument/2006/relationships/hyperlink" Id="rId101" Target="https://researchcommons.waikato.ac.nz/handle/10289/12746" TargetMode="External" /><Relationship Type="http://schemas.openxmlformats.org/officeDocument/2006/relationships/hyperlink" Id="rId153" Target="https://teara.govt.nz/en/eels" TargetMode="External" /><Relationship Type="http://schemas.openxmlformats.org/officeDocument/2006/relationships/hyperlink" Id="rId14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9" Target="http://hdl.handle.net/10179/1168" TargetMode="External" /><Relationship Type="http://schemas.openxmlformats.org/officeDocument/2006/relationships/hyperlink" Id="rId46" Target="https://OlivierRaven.github.io/https---github.com-OlivierRaven-NCE_Koura_catfish/analysis-preview.html#cell-fig-emmeans-stratified" TargetMode="External" /><Relationship Type="http://schemas.openxmlformats.org/officeDocument/2006/relationships/hyperlink" Id="rId56" Target="https://OlivierRaven.github.io/https---github.com-OlivierRaven-NCE_Koura_catfish/analysis-preview.html#cell-fig-feeding-plot" TargetMode="External" /><Relationship Type="http://schemas.openxmlformats.org/officeDocument/2006/relationships/hyperlink" Id="rId51" Target="https://OlivierRaven.github.io/https---github.com-OlivierRaven-NCE_Koura_catfish/analysis-preview.html#cell-fig-refuge-plot" TargetMode="External" /><Relationship Type="http://schemas.openxmlformats.org/officeDocument/2006/relationships/hyperlink" Id="rId36" Target="https://OlivierRaven.github.io/https---github.com-OlivierRaven-NCE_Koura_catfish/analysis-preview.html#cell-tbl-emmeans-stratified" TargetMode="External" /><Relationship Type="http://schemas.openxmlformats.org/officeDocument/2006/relationships/hyperlink" Id="rId61" Target="https://OlivierRaven.github.io/https---github.com-OlivierRaven-NCE_Koura_catfish/analysis-preview.html#cell-tbl-feeding-summary" TargetMode="External" /><Relationship Type="http://schemas.openxmlformats.org/officeDocument/2006/relationships/hyperlink" Id="rId59" Target="https://OlivierRaven.github.io/https---github.com-OlivierRaven-NCE_Koura_catfish/analysis-preview.html#cell-tbl-refuge-prop" TargetMode="External" /><Relationship Type="http://schemas.openxmlformats.org/officeDocument/2006/relationships/hyperlink" Id="rId139" Target="https://agris.fao.org/search/en/providers/122621/records/6473966cce9437aa76003d0e" TargetMode="External" /><Relationship Type="http://schemas.openxmlformats.org/officeDocument/2006/relationships/hyperlink" Id="rId88" Target="https://atlas.boprc.govt.nz/api/v1/edms/document/A3591759/content" TargetMode="External" /><Relationship Type="http://schemas.openxmlformats.org/officeDocument/2006/relationships/hyperlink" Id="rId105" Target="https://cran.r-project.org/web/packages/DHARMa/index.html" TargetMode="External" /><Relationship Type="http://schemas.openxmlformats.org/officeDocument/2006/relationships/hyperlink" Id="rId129" Target="https://cran.r-project.org/web/packages/emmeans/index.html" TargetMode="External" /><Relationship Type="http://schemas.openxmlformats.org/officeDocument/2006/relationships/hyperlink" Id="rId179" Target="https://doi.org/10.1002/ecs2.3188" TargetMode="External" /><Relationship Type="http://schemas.openxmlformats.org/officeDocument/2006/relationships/hyperlink" Id="rId119" Target="https://doi.org/10.1007/s10530-016-1268-1" TargetMode="External" /><Relationship Type="http://schemas.openxmlformats.org/officeDocument/2006/relationships/hyperlink" Id="rId121" Target="https://doi.org/10.1007/s10530-026-03852-0" TargetMode="External" /><Relationship Type="http://schemas.openxmlformats.org/officeDocument/2006/relationships/hyperlink" Id="rId113" Target="https://doi.org/10.1007/s10750-013-1708-1" TargetMode="External" /><Relationship Type="http://schemas.openxmlformats.org/officeDocument/2006/relationships/hyperlink" Id="rId167" Target="https://doi.org/10.1007/s10886-005-9021-8" TargetMode="External" /><Relationship Type="http://schemas.openxmlformats.org/officeDocument/2006/relationships/hyperlink" Id="rId117" Target="https://doi.org/10.1016/j.palaeo.2018.03.022" TargetMode="External" /><Relationship Type="http://schemas.openxmlformats.org/officeDocument/2006/relationships/hyperlink" Id="rId163" Target="https://doi.org/10.1016/j.tree.2022.11.001" TargetMode="External" /><Relationship Type="http://schemas.openxmlformats.org/officeDocument/2006/relationships/hyperlink" Id="rId111" Target="https://doi.org/10.1017/s0003598x00061408" TargetMode="External" /><Relationship Type="http://schemas.openxmlformats.org/officeDocument/2006/relationships/hyperlink" Id="rId143" Target="https://doi.org/10.1046/j.1365-2427.2001.00702.x" TargetMode="External" /><Relationship Type="http://schemas.openxmlformats.org/officeDocument/2006/relationships/hyperlink" Id="rId107" Target="https://doi.org/10.1046/j.1439-0310.2003.00902.x" TargetMode="External" /><Relationship Type="http://schemas.openxmlformats.org/officeDocument/2006/relationships/hyperlink" Id="rId133" Target="https://doi.org/10.1051/kmae/2025022" TargetMode="External" /><Relationship Type="http://schemas.openxmlformats.org/officeDocument/2006/relationships/hyperlink" Id="rId145" Target="https://doi.org/10.1073/pnas.071061998" TargetMode="External" /><Relationship Type="http://schemas.openxmlformats.org/officeDocument/2006/relationships/hyperlink" Id="rId91" Target="https://doi.org/10.1073/pnas.1602480113" TargetMode="External" /><Relationship Type="http://schemas.openxmlformats.org/officeDocument/2006/relationships/hyperlink" Id="rId97" Target="https://doi.org/10.1080/00288306.1994.9514611" TargetMode="External" /><Relationship Type="http://schemas.openxmlformats.org/officeDocument/2006/relationships/hyperlink" Id="rId109" Target="https://doi.org/10.1080/00288330.1997.9516796" TargetMode="External" /><Relationship Type="http://schemas.openxmlformats.org/officeDocument/2006/relationships/hyperlink" Id="rId123" Target="https://doi.org/10.1080/00288330909510036" TargetMode="External" /><Relationship Type="http://schemas.openxmlformats.org/officeDocument/2006/relationships/hyperlink" Id="rId181" Target="https://doi.org/10.1080/03949370.2010.505580" TargetMode="External" /><Relationship Type="http://schemas.openxmlformats.org/officeDocument/2006/relationships/hyperlink" Id="rId99" Target="https://doi.org/10.1080/10236240500376477" TargetMode="External" /><Relationship Type="http://schemas.openxmlformats.org/officeDocument/2006/relationships/hyperlink" Id="rId171" Target="https://doi.org/10.1080/10236244.2010.487301" TargetMode="External" /><Relationship Type="http://schemas.openxmlformats.org/officeDocument/2006/relationships/hyperlink" Id="rId151" Target="https://doi.org/10.1080/10236244.2020.1717338" TargetMode="External" /><Relationship Type="http://schemas.openxmlformats.org/officeDocument/2006/relationships/hyperlink" Id="rId95" Target="https://doi.org/10.1086/702252" TargetMode="External" /><Relationship Type="http://schemas.openxmlformats.org/officeDocument/2006/relationships/hyperlink" Id="rId77" Target="https://doi.org/10.1093/beheco/arh084" TargetMode="External" /><Relationship Type="http://schemas.openxmlformats.org/officeDocument/2006/relationships/hyperlink" Id="rId86" Target="https://doi.org/10.1098/rspb.1979.0081" TargetMode="External" /><Relationship Type="http://schemas.openxmlformats.org/officeDocument/2006/relationships/hyperlink" Id="rId83" Target="https://doi.org/10.1111/1365-2435.12007" TargetMode="External" /><Relationship Type="http://schemas.openxmlformats.org/officeDocument/2006/relationships/hyperlink" Id="rId159" Target="https://doi.org/10.1111/1365-2656.13213" TargetMode="External" /><Relationship Type="http://schemas.openxmlformats.org/officeDocument/2006/relationships/hyperlink" Id="rId81" Target="https://doi.org/10.1111/brv.12087" TargetMode="External" /><Relationship Type="http://schemas.openxmlformats.org/officeDocument/2006/relationships/hyperlink" Id="rId93" Target="https://doi.org/10.1111/eth.13011" TargetMode="External" /><Relationship Type="http://schemas.openxmlformats.org/officeDocument/2006/relationships/hyperlink" Id="rId72" Target="https://doi.org/10.1111/j.1365-2427.1993.tb00747.x" TargetMode="External" /><Relationship Type="http://schemas.openxmlformats.org/officeDocument/2006/relationships/hyperlink" Id="rId141" Target="https://doi.org/10.1111/j.1365-2427.2005.01438.x" TargetMode="External" /><Relationship Type="http://schemas.openxmlformats.org/officeDocument/2006/relationships/hyperlink" Id="rId103" Target="https://doi.org/10.1111/j.1365-2427.2011.02595.x" TargetMode="External" /><Relationship Type="http://schemas.openxmlformats.org/officeDocument/2006/relationships/hyperlink" Id="rId161" Target="https://doi.org/10.1111/j.1600-0706.2009.18039.x" TargetMode="External" /><Relationship Type="http://schemas.openxmlformats.org/officeDocument/2006/relationships/hyperlink" Id="rId165" Target="https://doi.org/10.1111/j.1752-4571.2010.00166.x" TargetMode="External" /><Relationship Type="http://schemas.openxmlformats.org/officeDocument/2006/relationships/hyperlink" Id="rId115" Target="https://doi.org/10.1134/s0032945222020084" TargetMode="External" /><Relationship Type="http://schemas.openxmlformats.org/officeDocument/2006/relationships/hyperlink" Id="rId177" Target="https://doi.org/10.1139/cjz-2019-0089" TargetMode="External" /><Relationship Type="http://schemas.openxmlformats.org/officeDocument/2006/relationships/hyperlink" Id="rId125" Target="https://doi.org/10.1139/z01-094" TargetMode="External" /><Relationship Type="http://schemas.openxmlformats.org/officeDocument/2006/relationships/hyperlink" Id="rId131" Target="https://doi.org/10.1139/z90-092" TargetMode="External" /><Relationship Type="http://schemas.openxmlformats.org/officeDocument/2006/relationships/hyperlink" Id="rId62" Target="https://doi.org/10.1146/annurev.ecolsys.31.1.79" TargetMode="External" /><Relationship Type="http://schemas.openxmlformats.org/officeDocument/2006/relationships/hyperlink" Id="rId70" Target="https://doi.org/10.1163/1568539x-00003501" TargetMode="External" /><Relationship Type="http://schemas.openxmlformats.org/officeDocument/2006/relationships/hyperlink" Id="rId64" Target="https://doi.org/10.1371/journal.pone.0340001" TargetMode="External" /><Relationship Type="http://schemas.openxmlformats.org/officeDocument/2006/relationships/hyperlink" Id="rId66" Target="https://doi.org/10.1674/0003-0031(2007)158[85:daieoc]2.0.co;2" TargetMode="External" /><Relationship Type="http://schemas.openxmlformats.org/officeDocument/2006/relationships/hyperlink" Id="rId155" Target="https://doi.org/10.1890/0012-9658(1997)078[1388:bmtceo]2.0.co;2" TargetMode="External" /><Relationship Type="http://schemas.openxmlformats.org/officeDocument/2006/relationships/hyperlink" Id="rId175" Target="https://doi.org/10.1890/02-0618" TargetMode="External" /><Relationship Type="http://schemas.openxmlformats.org/officeDocument/2006/relationships/hyperlink" Id="rId147" Target="https://doi.org/10.1890/04-0719" TargetMode="External" /><Relationship Type="http://schemas.openxmlformats.org/officeDocument/2006/relationships/hyperlink" Id="rId173" Target="https://doi.org/10.2307/1936188" TargetMode="External" /><Relationship Type="http://schemas.openxmlformats.org/officeDocument/2006/relationships/hyperlink" Id="rId75" Target="https://doi.org/10.32614/rj-2017-066" TargetMode="External" /><Relationship Type="http://schemas.openxmlformats.org/officeDocument/2006/relationships/hyperlink" Id="rId183" Target="https://doi.org/10.3390/ani14081147" TargetMode="External" /><Relationship Type="http://schemas.openxmlformats.org/officeDocument/2006/relationships/hyperlink" Id="rId169" Target="https://doi.org/10.3897/neobiota.97.139760" TargetMode="External" /><Relationship Type="http://schemas.openxmlformats.org/officeDocument/2006/relationships/hyperlink" Id="rId127" Target="https://doi.org/10.5194/we-25-221-2025" TargetMode="External" /><Relationship Type="http://schemas.openxmlformats.org/officeDocument/2006/relationships/hyperlink" Id="rId135" Target="https://doi.org/10.7717/peerj.665" TargetMode="External" /><Relationship Type="http://schemas.openxmlformats.org/officeDocument/2006/relationships/hyperlink" Id="rId137" Target="https://niwa.co.nz/sites/default/files/2025-04/te_arawa_species_report_tuna_0.pdf" TargetMode="External" /><Relationship Type="http://schemas.openxmlformats.org/officeDocument/2006/relationships/hyperlink" Id="rId101" Target="https://researchcommons.waikato.ac.nz/handle/10289/12746" TargetMode="External" /><Relationship Type="http://schemas.openxmlformats.org/officeDocument/2006/relationships/hyperlink" Id="rId153" Target="https://teara.govt.nz/en/eels" TargetMode="External" /><Relationship Type="http://schemas.openxmlformats.org/officeDocument/2006/relationships/hyperlink" Id="rId14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new: a predatory invader provokes stronger non-consumptive effects on a keystone native prey than a native predator</dc:title>
  <dc:creator/>
  <cp:keywords>Non-consumptive effects, Crayfish, Kōura, Brown bullhead catfish, Antipredator behaviour</cp:keywords>
  <dcterms:created xsi:type="dcterms:W3CDTF">2026-06-26T03:16:19Z</dcterms:created>
  <dcterms:modified xsi:type="dcterms:W3CDTF">2026-06-26T03:16:19Z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