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16.jpg" ContentType="image/jpeg"/>
  <Override PartName="/word/media/rId32.png" ContentType="image/png"/>
  <Override PartName="/word/media/rId37.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31"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9"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tbl>
      <w:tblPr>
        <w:tblStyle w:val="Table"/>
        <w:tblW w:type="pct" w:w="5000"/>
        <w:tblLayout w:type="fixed"/>
        <w:tblLook w:firstRow="0" w:lastRow="0" w:firstColumn="0" w:lastColumn="0" w:noHBand="0" w:noVBand="0" w:val="0000"/>
      </w:tblPr>
      <w:tblGrid>
        <w:gridCol w:w="7920"/>
      </w:tblGrid>
      <w:tr>
        <w:tc>
          <w:tcPr/>
          <w:bookmarkStart w:id="28" w:name="fig-exp-setup"/>
          <w:p>
            <w:pPr>
              <w:pStyle w:val="Compact"/>
              <w:jc w:val="center"/>
            </w:pPr>
            <w:r>
              <w:drawing>
                <wp:inline>
                  <wp:extent cx="5727700" cy="4293634"/>
                  <wp:effectExtent b="0" l="0" r="0" t="0"/>
                  <wp:docPr descr="" title="" id="26" name="Picture"/>
                  <a:graphic>
                    <a:graphicData uri="http://schemas.openxmlformats.org/drawingml/2006/picture">
                      <pic:pic>
                        <pic:nvPicPr>
                          <pic:cNvPr descr="images/Setup_exp_tanks.png" id="27" name="Picture"/>
                          <pic:cNvPicPr>
                            <a:picLocks noChangeArrowheads="1" noChangeAspect="1"/>
                          </pic:cNvPicPr>
                        </pic:nvPicPr>
                        <pic:blipFill>
                          <a:blip r:embed="rId25"/>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28"/>
        </w:tc>
      </w:tr>
    </w:tbl>
    <w:bookmarkEnd w:id="29"/>
    <w:bookmarkStart w:id="30"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 2017, 2018)</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30"/>
    <w:bookmarkEnd w:id="31"/>
    <w:bookmarkStart w:id="52" w:name="results"/>
    <w:p>
      <w:pPr>
        <w:pStyle w:val="Heading2"/>
      </w:pPr>
      <w:r>
        <w:t xml:space="preserve">Results</w:t>
      </w:r>
    </w:p>
    <w:bookmarkStart w:id="36"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w:t>
      </w:r>
      <m:oMath>
        <m:r>
          <m:t>β</m:t>
        </m:r>
      </m:oMath>
      <w:r>
        <w:t xml:space="preserve"> </w:t>
      </w:r>
      <w:r>
        <w:t xml:space="preserve">=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tbl>
      <w:tblPr>
        <w:tblStyle w:val="Table"/>
        <w:tblW w:type="pct" w:w="5000"/>
        <w:tblLayout w:type="fixed"/>
        <w:tblLook w:firstRow="0" w:lastRow="0" w:firstColumn="0" w:lastColumn="0" w:noHBand="0" w:noVBand="0" w:val="0000"/>
      </w:tblPr>
      <w:tblGrid>
        <w:gridCol w:w="7920"/>
      </w:tblGrid>
      <w:tr>
        <w:tc>
          <w:tcPr/>
          <w:bookmarkStart w:id="35" w:name="fig-exp1"/>
          <w:p>
            <w:pPr>
              <w:pStyle w:val="Compact"/>
              <w:jc w:val="center"/>
            </w:pPr>
            <w:r>
              <w:drawing>
                <wp:inline>
                  <wp:extent cx="3723005" cy="2978404"/>
                  <wp:effectExtent b="0" l="0" r="0" t="0"/>
                  <wp:docPr descr="" title="" id="33" name="Picture"/>
                  <a:graphic>
                    <a:graphicData uri="http://schemas.openxmlformats.org/drawingml/2006/picture">
                      <pic:pic>
                        <pic:nvPicPr>
                          <pic:cNvPr descr="outputs/fig-exp1.png" id="34" name="Picture"/>
                          <pic:cNvPicPr>
                            <a:picLocks noChangeArrowheads="1" noChangeAspect="1"/>
                          </pic:cNvPicPr>
                        </pic:nvPicPr>
                        <pic:blipFill>
                          <a:blip r:embed="rId32"/>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35"/>
        </w:tc>
      </w:tr>
    </w:tbl>
    <w:bookmarkEnd w:id="36"/>
    <w:bookmarkStart w:id="41"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w:t>
      </w:r>
      <m:oMath>
        <m:r>
          <m:t>β</m:t>
        </m:r>
      </m:oMath>
      <w:r>
        <w:t xml:space="preserve"> </w:t>
      </w:r>
      <w:r>
        <w:t xml:space="preserve">=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tbl>
      <w:tblPr>
        <w:tblStyle w:val="Table"/>
        <w:tblW w:type="pct" w:w="5000"/>
        <w:tblLayout w:type="fixed"/>
        <w:tblLook w:firstRow="0" w:lastRow="0" w:firstColumn="0" w:lastColumn="0" w:noHBand="0" w:noVBand="0" w:val="0000"/>
      </w:tblPr>
      <w:tblGrid>
        <w:gridCol w:w="7920"/>
      </w:tblGrid>
      <w:tr>
        <w:tc>
          <w:tcPr/>
          <w:bookmarkStart w:id="40" w:name="fig-exp2"/>
          <w:p>
            <w:pPr>
              <w:pStyle w:val="Compact"/>
              <w:jc w:val="center"/>
            </w:pPr>
            <w:r>
              <w:drawing>
                <wp:inline>
                  <wp:extent cx="4582160" cy="2291080"/>
                  <wp:effectExtent b="0" l="0" r="0" t="0"/>
                  <wp:docPr descr="" title="" id="38" name="Picture"/>
                  <a:graphic>
                    <a:graphicData uri="http://schemas.openxmlformats.org/drawingml/2006/picture">
                      <pic:pic>
                        <pic:nvPicPr>
                          <pic:cNvPr descr="outputs/fig-exp2.png" id="39" name="Picture"/>
                          <pic:cNvPicPr>
                            <a:picLocks noChangeArrowheads="1" noChangeAspect="1"/>
                          </pic:cNvPicPr>
                        </pic:nvPicPr>
                        <pic:blipFill>
                          <a:blip r:embed="rId3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40"/>
        </w:tc>
      </w:tr>
    </w:tbl>
    <w:bookmarkEnd w:id="41"/>
    <w:bookmarkStart w:id="46"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w:t>
      </w:r>
      <m:oMath>
        <m:r>
          <m:t>β</m:t>
        </m:r>
      </m:oMath>
      <w:r>
        <w:t xml:space="preserve"> </w:t>
      </w:r>
      <w:r>
        <w:t xml:space="preserve">=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tbl>
      <w:tblPr>
        <w:tblStyle w:val="Table"/>
        <w:tblW w:type="pct" w:w="5000"/>
        <w:tblLayout w:type="fixed"/>
        <w:tblLook w:firstRow="0" w:lastRow="0" w:firstColumn="0" w:lastColumn="0" w:noHBand="0" w:noVBand="0" w:val="0000"/>
      </w:tblPr>
      <w:tblGrid>
        <w:gridCol w:w="7920"/>
      </w:tblGrid>
      <w:tr>
        <w:tc>
          <w:tcPr/>
          <w:bookmarkStart w:id="45" w:name="fig-exp3"/>
          <w:p>
            <w:pPr>
              <w:pStyle w:val="Compact"/>
              <w:jc w:val="center"/>
            </w:pPr>
            <w:r>
              <w:drawing>
                <wp:inline>
                  <wp:extent cx="4582160" cy="2291080"/>
                  <wp:effectExtent b="0" l="0" r="0" t="0"/>
                  <wp:docPr descr="" title="" id="43" name="Picture"/>
                  <a:graphic>
                    <a:graphicData uri="http://schemas.openxmlformats.org/drawingml/2006/picture">
                      <pic:pic>
                        <pic:nvPicPr>
                          <pic:cNvPr descr="outputs/fig-exp3.png" id="44" name="Picture"/>
                          <pic:cNvPicPr>
                            <a:picLocks noChangeArrowheads="1" noChangeAspect="1"/>
                          </pic:cNvPicPr>
                        </pic:nvPicPr>
                        <pic:blipFill>
                          <a:blip r:embed="rId42"/>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45"/>
        </w:tc>
      </w:tr>
    </w:tbl>
    <w:bookmarkEnd w:id="46"/>
    <w:bookmarkStart w:id="5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w:t>
      </w:r>
      <m:oMath>
        <m:r>
          <m:t>β</m:t>
        </m:r>
      </m:oMath>
      <w:r>
        <w:t xml:space="preserve"> </w:t>
      </w:r>
      <w:r>
        <w:t xml:space="preserve">= -0.18, 95% CI: -1.24 to 0.84; posterior probability = 0.65), indicating that both structures were equally suitable refuge for male and female kōura.</w:t>
      </w:r>
    </w:p>
    <w:tbl>
      <w:tblPr>
        <w:tblStyle w:val="Table"/>
        <w:tblW w:type="pct" w:w="5000"/>
        <w:tblLayout w:type="fixed"/>
        <w:tblLook w:firstRow="0" w:lastRow="0" w:firstColumn="0" w:lastColumn="0" w:noHBand="0" w:noVBand="0" w:val="0000"/>
      </w:tblPr>
      <w:tblGrid>
        <w:gridCol w:w="7920"/>
      </w:tblGrid>
      <w:tr>
        <w:tc>
          <w:tcPr/>
          <w:bookmarkStart w:id="50" w:name="fig-exp4"/>
          <w:p>
            <w:pPr>
              <w:pStyle w:val="Compact"/>
              <w:jc w:val="center"/>
            </w:pPr>
            <w:r>
              <w:drawing>
                <wp:inline>
                  <wp:extent cx="4582160" cy="2291080"/>
                  <wp:effectExtent b="0" l="0" r="0" t="0"/>
                  <wp:docPr descr="" title="" id="48" name="Picture"/>
                  <a:graphic>
                    <a:graphicData uri="http://schemas.openxmlformats.org/drawingml/2006/picture">
                      <pic:pic>
                        <pic:nvPicPr>
                          <pic:cNvPr descr="outputs/fig-exp4.png" id="49" name="Picture"/>
                          <pic:cNvPicPr>
                            <a:picLocks noChangeArrowheads="1" noChangeAspect="1"/>
                          </pic:cNvPicPr>
                        </pic:nvPicPr>
                        <pic:blipFill>
                          <a:blip r:embed="rId4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50"/>
        </w:tc>
      </w:tr>
    </w:tbl>
    <w:bookmarkEnd w:id="51"/>
    <w:bookmarkEnd w:id="52"/>
    <w:bookmarkStart w:id="57" w:name="discussion"/>
    <w:p>
      <w:pPr>
        <w:pStyle w:val="Heading2"/>
      </w:pPr>
      <w:r>
        <w:t xml:space="preserve">Discussion</w:t>
      </w:r>
    </w:p>
    <w:bookmarkStart w:id="5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53"/>
    <w:bookmarkStart w:id="5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54"/>
    <w:bookmarkStart w:id="5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55"/>
    <w:bookmarkStart w:id="5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56"/>
    <w:bookmarkEnd w:id="57"/>
    <w:bookmarkStart w:id="16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5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8"/>
    <w:bookmarkStart w:id="5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59"/>
    <w:bookmarkStart w:id="6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60"/>
    <w:bookmarkStart w:id="61" w:name="declarations"/>
    <w:p>
      <w:pPr>
        <w:pStyle w:val="Heading3"/>
      </w:pPr>
      <w:r>
        <w:t xml:space="preserve">Declarations</w:t>
      </w:r>
    </w:p>
    <w:p>
      <w:pPr>
        <w:pStyle w:val="FirstParagraph"/>
      </w:pPr>
      <w:r>
        <w:t xml:space="preserve">The corresponding author has declared that none of the authors has any competing interests.</w:t>
      </w:r>
    </w:p>
    <w:bookmarkEnd w:id="61"/>
    <w:bookmarkStart w:id="6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62"/>
    <w:bookmarkStart w:id="167"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17"/>
    <w:p>
      <w:pPr>
        <w:pStyle w:val="Bibliography"/>
      </w:pPr>
      <w:r>
        <w:t xml:space="preserve">Bürkner P-C. 2017. &lt;B&gt;brms&lt;/b&gt; : An &lt;i&gt;r&lt;/i&gt; package for bayesian multilevel models using &lt;i&gt;stan&lt;/i&gt;.</w:t>
      </w:r>
      <w:r>
        <w:t xml:space="preserve"> </w:t>
      </w:r>
      <w:r>
        <w:rPr>
          <w:i/>
          <w:iCs/>
        </w:rPr>
        <w:t xml:space="preserve">Journal of Statistical Software</w:t>
      </w:r>
      <w:r>
        <w:t xml:space="preserve"> </w:t>
      </w:r>
      <w:r>
        <w:rPr>
          <w:b/>
          <w:bCs/>
        </w:rPr>
        <w:t xml:space="preserve">80</w:t>
      </w:r>
      <w:r>
        <w:t xml:space="preserve">. https://doi.org/</w:t>
      </w:r>
      <w:hyperlink r:id="rId69">
        <w:r>
          <w:rPr>
            <w:rStyle w:val="Hyperlink"/>
          </w:rPr>
          <w:t xml:space="preserve">10.18637/jss.v080.i01</w:t>
        </w:r>
      </w:hyperlink>
    </w:p>
    <w:bookmarkEnd w:id="70"/>
    <w:bookmarkStart w:id="72" w:name="ref-Burkner2018"/>
    <w:p>
      <w:pPr>
        <w:pStyle w:val="Bibliography"/>
      </w:pPr>
      <w:r>
        <w:t xml:space="preserve">Bürkner P-C. 2018. Advanced bayesian multilevel modeling with the r package brms.</w:t>
      </w:r>
      <w:r>
        <w:t xml:space="preserve"> </w:t>
      </w:r>
      <w:r>
        <w:rPr>
          <w:i/>
          <w:iCs/>
        </w:rPr>
        <w:t xml:space="preserve">The R Journal</w:t>
      </w:r>
      <w:r>
        <w:t xml:space="preserve"> </w:t>
      </w:r>
      <w:r>
        <w:rPr>
          <w:b/>
          <w:bCs/>
        </w:rPr>
        <w:t xml:space="preserve">10</w:t>
      </w:r>
      <w:r>
        <w:t xml:space="preserve">: 395. https://doi.org/</w:t>
      </w:r>
      <w:hyperlink r:id="rId71">
        <w:r>
          <w:rPr>
            <w:rStyle w:val="Hyperlink"/>
          </w:rPr>
          <w:t xml:space="preserve">10.32614/rj-2018-017</w:t>
        </w:r>
      </w:hyperlink>
    </w:p>
    <w:bookmarkEnd w:id="72"/>
    <w:bookmarkStart w:id="74"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0">
        <w:r>
          <w:rPr>
            <w:rStyle w:val="Hyperlink"/>
          </w:rPr>
          <w:t xml:space="preserve">10.1016/j.fishres.2015.03.015</w:t>
        </w:r>
      </w:hyperlink>
    </w:p>
    <w:bookmarkEnd w:id="111"/>
    <w:bookmarkStart w:id="113"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2">
        <w:r>
          <w:rPr>
            <w:rStyle w:val="Hyperlink"/>
          </w:rPr>
          <w:t xml:space="preserve">10.1007/s10530-026-03852-0</w:t>
        </w:r>
      </w:hyperlink>
    </w:p>
    <w:bookmarkEnd w:id="113"/>
    <w:bookmarkStart w:id="115"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r>
        <w:t xml:space="preserve"> </w:t>
      </w:r>
      <w:r>
        <w:rPr>
          <w:b/>
          <w:bCs/>
        </w:rPr>
        <w:t xml:space="preserve">62</w:t>
      </w:r>
      <w:r>
        <w:t xml:space="preserve">: 183–188.</w:t>
      </w:r>
    </w:p>
    <w:bookmarkEnd w:id="122"/>
    <w:bookmarkStart w:id="124"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1">
        <w:r>
          <w:rPr>
            <w:rStyle w:val="Hyperlink"/>
          </w:rPr>
          <w:t xml:space="preserve">10.1007/s10750-026-06302-z</w:t>
        </w:r>
      </w:hyperlink>
    </w:p>
    <w:bookmarkEnd w:id="142"/>
    <w:bookmarkStart w:id="144"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3">
        <w:r>
          <w:rPr>
            <w:rStyle w:val="Hyperlink"/>
          </w:rPr>
          <w:t xml:space="preserve">10.21203/rs.3.rs-9891519/v1</w:t>
        </w:r>
      </w:hyperlink>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16" Target="media/rId16.jp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2026-09-03T02:45:20Z</dcterms:created>
  <dcterms:modified xsi:type="dcterms:W3CDTF">2026-09-03T02:45:20Z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The importance of structure: mesocosm evidence for shelter design in freshwater crayfish restoration</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