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3.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2026-05-29</w:t>
      </w:r>
    </w:p>
    <w:p>
      <w:pPr>
        <w:pStyle w:val="AbstractTitle"/>
      </w:pPr>
      <w:r>
        <w:t xml:space="preserve">Abstract</w:t>
      </w:r>
    </w:p>
    <w:p>
      <w:pPr>
        <w:pStyle w:val="Abstract"/>
      </w:pPr>
      <w:r>
        <w:t xml:space="preserve">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therefore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Additionally, enclosed structures such as PVC pipes also provide greater protection against predatory fish than stone or vegetation structures, likely due to their consistent hole dimensions</w:t>
      </w:r>
      <w:r>
        <w:t xml:space="preserve"> </w:t>
      </w:r>
      <w:r>
        <w:t xml:space="preserve">(Zhao et al.,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w:t>
      </w:r>
      <w:r>
        <w:t xml:space="preserve"> </w:t>
      </w:r>
      <w:r>
        <w:t xml:space="preserve">(Bates et al., 2015)</w:t>
      </w:r>
      <w:r>
        <w:t xml:space="preserve"> </w:t>
      </w:r>
      <w:r>
        <w:t xml:space="preserve">do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was fitted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0.456).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also shows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shows that when kōura were presented with similar refuge sizes in concrete bricks and wooden bricks no preference for material was detected. In experiment 3 FlatStone and WoodSplit were tested against each other and showed a difference in structure preference likely due to the stability of the stones compared to the wood splits. The WoodSplit were sinking but created less structurally stable refuge places in the sandy substrate than the FlatStone structures [O.V. Raven, pers. obs.]. Experiment 2 showed that when a group of kōura is presented with multiple structure types the structures that provide the most crevice complexity drive group-level preference. This was the case for FlatStone followed by StonePile for harbouring the most kōura. In experiment 1 the preference was different as individual kōura preferred WoodLog as refuge, this is consistent with prediction 1, as single kōura probably searched the refuge that would give most protection</w:t>
      </w:r>
      <w:r>
        <w:t xml:space="preserve"> </w:t>
      </w:r>
      <w:r>
        <w:t xml:space="preserve">(Jurcak et al., 2016)</w:t>
      </w:r>
      <w:r>
        <w:t xml:space="preserve">, and the drilled holes in the WoodLog offer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This may reflect larger kōura being more capable of asserting dominance over preferred stable refugia through competitive displacement, consistent with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when multiple stone structures are available larger individuals are less selective between stone configurations, likely because both provide suitable sized crevices for larger bodies. Small kōura may have particularly benefited from FlatStone’s large continuous surface area, which provides the most accessible refuge spaces also for smaller body dimensions without creating competition with larger individuals. The absence of sex effects in experiment 1 and 4 suggests that refuge preference in kōura is driven primarily by body size and social dominance rather than sex.</w:t>
      </w:r>
    </w:p>
    <w:p>
      <w:pPr>
        <w:pStyle w:val="BodyText"/>
      </w:pPr>
      <w:r>
        <w:t xml:space="preserve">When refuge availability is limited, competitive hierarchies lead to smaller and recently moulted crayfish to be displaced from refuge and left exposed</w:t>
      </w:r>
      <w:r>
        <w:t xml:space="preserve"> </w:t>
      </w:r>
      <w:r>
        <w:t xml:space="preserve">(Figler et al., 2005; Ranta &amp; Lindström, 1993)</w:t>
      </w:r>
      <w:r>
        <w:t xml:space="preserve">. Providing sufficient refuge spaces with a range of crevice size can reduce agonistic interactions and benefits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finding that structural configuration and stability drive refuge preference more strongly than material composition has broad implications for habitat enhancement structure design beyond kōura restoration. The availability of appropriate size and structurally stable crevices appears to be the most important driver for use by crayfish</w:t>
      </w:r>
      <w:r>
        <w:t xml:space="preserve"> </w:t>
      </w:r>
      <w:r>
        <w:t xml:space="preserve">(Huolila et al., 1997; Streissl &amp; Hödl, 2002)</w:t>
      </w:r>
      <w:r>
        <w:t xml:space="preserve">. These principles may also apply in marine environments to refuge-dependent species including lobsters and reef fish</w:t>
      </w:r>
      <w:r>
        <w:t xml:space="preserve"> </w:t>
      </w:r>
      <w:r>
        <w:t xml:space="preserve">(Hylkema et al., 2020; Spanier, 1994)</w:t>
      </w:r>
      <w:r>
        <w:t xml:space="preserve">. Other important factors are that habitat enhancement structures need to provide protection from predators, and there needs to be food in the vicinity</w:t>
      </w:r>
      <w:r>
        <w:t xml:space="preserve"> </w:t>
      </w:r>
      <w:r>
        <w:t xml:space="preserve">(Huolila et al., 1997)</w:t>
      </w:r>
      <w:r>
        <w:t xml:space="preserve">, therefore understanding of local dynamics is important. When building habitat enhancement structures, the use of locally sourced natural materials should be favoured as these align with both ecological best practice</w:t>
      </w:r>
      <w:r>
        <w:t xml:space="preserve"> </w:t>
      </w:r>
      <w:r>
        <w:t xml:space="preserve">(Cooke et al., 2023)</w:t>
      </w:r>
      <w:r>
        <w:t xml:space="preserve"> </w:t>
      </w:r>
      <w:r>
        <w:t xml:space="preserve">and with indigenous principles of guardianship over natural character of culturally significant lake environments. Natural wood structures have been shown to outperform bare substrates and plastic structures by attracting more marine shrimp and freshwater fish</w:t>
      </w:r>
      <w:r>
        <w:t xml:space="preserve"> </w:t>
      </w:r>
      <w:r>
        <w:t xml:space="preserve">(Dickson et al., 2023; Magnelia et al., 2008)</w:t>
      </w:r>
      <w:r>
        <w:t xml:space="preserve">.</w:t>
      </w:r>
    </w:p>
    <w:p>
      <w:pPr>
        <w:pStyle w:val="BodyText"/>
      </w:pPr>
      <w:r>
        <w:t xml:space="preserve">For kōura restoration in lake environments, stone pile configurations are recommended over flat arrangements. Pile structures provide a range of crevice sizes accommodating multiple size classes simultaneously and are less likely to gradually sink into soft substrates than flat configurations</w:t>
      </w:r>
      <w:r>
        <w:t xml:space="preserve"> </w:t>
      </w:r>
      <w:r>
        <w:t xml:space="preserve">(Garron et al., 2024)</w:t>
      </w:r>
      <w:r>
        <w:t xml:space="preserve">. For in-lake deployment, cobble substrate of 100–300 mm is recommended as kōura are positively associated with coarser substrate in this size range</w:t>
      </w:r>
      <w:r>
        <w:t xml:space="preserve"> </w:t>
      </w:r>
      <w:r>
        <w:t xml:space="preserve">(Johnsen &amp; Taugbøl, 2008; Jowett et al., 2008; Kusabs et al., 2015; Olsson et al., 2006)</w:t>
      </w:r>
      <w:r>
        <w:t xml:space="preserve">. Providing enclosed crevice spaces within structures is important in lakes where kōura are preyed upon by invasive species such as catfish</w:t>
      </w:r>
      <w:r>
        <w:t xml:space="preserve"> </w:t>
      </w:r>
      <w:r>
        <w:t xml:space="preserve">(Kusabs et al., inpress; Raven et al., inreview)</w:t>
      </w:r>
      <w:r>
        <w:t xml:space="preserve">, as refuge quality directly influences predation survival</w:t>
      </w:r>
      <w:r>
        <w:t xml:space="preserve"> </w:t>
      </w:r>
      <w:r>
        <w:t xml:space="preserve">(Zhao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Many crayfish species around the world live in degraded habitats with habitat complexity as the limiting factor. Restoration tools are needed to help them and protect their role in freshwater ecosystems. This study contributes to the understanding that structure and crevice complexity matter more than material. This study suggests that for lake-based kōura restoration, stone pile configurations represent the most effective and cost-efficient habitat enhancement structure design, provide a wide range of structurally stable crevices of different sizes for all life stages. Locally sourced stones also align with ecological and cultural values of restoring taonga species habitat using natural materials. Field validation of these mesocosm-derived preferences remains an important next step for translating these findings into effective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14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2" w:name="fig-exp-setup"/>
          <w:p>
            <w:pPr>
              <w:pStyle w:val="Compact"/>
              <w:jc w:val="center"/>
            </w:pPr>
            <w:r>
              <w:drawing>
                <wp:inline>
                  <wp:extent cx="5727700" cy="4293634"/>
                  <wp:effectExtent b="0" l="0" r="0" t="0"/>
                  <wp:docPr descr="" title="" id="40" name="Picture"/>
                  <a:graphic>
                    <a:graphicData uri="http://schemas.openxmlformats.org/drawingml/2006/picture">
                      <pic:pic>
                        <pic:nvPicPr>
                          <pic:cNvPr descr="images/Setup_exp_tanks.png" id="41" name="Picture"/>
                          <pic:cNvPicPr>
                            <a:picLocks noChangeArrowheads="1" noChangeAspect="1"/>
                          </pic:cNvPicPr>
                        </pic:nvPicPr>
                        <pic:blipFill>
                          <a:blip r:embed="rId39"/>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2"/>
        </w:tc>
      </w:tr>
    </w:tbl>
    <w:bookmarkStart w:id="48" w:name="cell-fig-exp1-ms"/>
    <w:tbl>
      <w:tblPr>
        <w:tblStyle w:val="Table"/>
        <w:tblW w:type="pct" w:w="5000"/>
        <w:tblLayout w:type="fixed"/>
        <w:tblLook w:firstRow="0" w:lastRow="0" w:firstColumn="0" w:lastColumn="0" w:noHBand="0" w:noVBand="0" w:val="0000"/>
      </w:tblPr>
      <w:tblGrid>
        <w:gridCol w:w="7920"/>
      </w:tblGrid>
      <w:tr>
        <w:tc>
          <w:tcPr/>
          <w:bookmarkStart w:id="46" w:name="fig-exp1-ms"/>
          <w:p>
            <w:pPr>
              <w:pStyle w:val="Compact"/>
              <w:jc w:val="center"/>
            </w:pPr>
            <w:r>
              <w:drawing>
                <wp:inline>
                  <wp:extent cx="4587290" cy="3669832"/>
                  <wp:effectExtent b="0" l="0" r="0" t="0"/>
                  <wp:docPr descr="" title="" id="44" name="Picture"/>
                  <a:graphic>
                    <a:graphicData uri="http://schemas.openxmlformats.org/drawingml/2006/picture">
                      <pic:pic>
                        <pic:nvPicPr>
                          <pic:cNvPr descr="outputs/fig-exp1.png" id="45" name="Picture"/>
                          <pic:cNvPicPr>
                            <a:picLocks noChangeArrowheads="1" noChangeAspect="1"/>
                          </pic:cNvPicPr>
                        </pic:nvPicPr>
                        <pic:blipFill>
                          <a:blip r:embed="rId43"/>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reef type at final observation (L1), shown separately for female and male kōura. Bars show observed proportions with sample sizes (n) shown in white. Letters above bars indicate significant pairwise differences (G-test, Bonferroni adjusted).</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48"/>
    <w:bookmarkStart w:id="53" w:name="cell-fig-exp2-ms"/>
    <w:tbl>
      <w:tblPr>
        <w:tblStyle w:val="Table"/>
        <w:tblW w:type="pct" w:w="5000"/>
        <w:tblLayout w:type="fixed"/>
        <w:tblLook w:firstRow="0" w:lastRow="0" w:firstColumn="0" w:lastColumn="0" w:noHBand="0" w:noVBand="0" w:val="0000"/>
      </w:tblPr>
      <w:tblGrid>
        <w:gridCol w:w="7920"/>
      </w:tblGrid>
      <w:tr>
        <w:tc>
          <w:tcPr/>
          <w:bookmarkStart w:id="52" w:name="fig-exp2-ms"/>
          <w:p>
            <w:pPr>
              <w:pStyle w:val="Compact"/>
              <w:jc w:val="center"/>
            </w:pPr>
            <w:r>
              <w:drawing>
                <wp:inline>
                  <wp:extent cx="5727700" cy="2863850"/>
                  <wp:effectExtent b="0" l="0" r="0" t="0"/>
                  <wp:docPr descr="" title="" id="50" name="Picture"/>
                  <a:graphic>
                    <a:graphicData uri="http://schemas.openxmlformats.org/drawingml/2006/picture">
                      <pic:pic>
                        <pic:nvPicPr>
                          <pic:cNvPr descr="outputs/fig-exp2.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Reef type preference of group kōura (Experiment 2). (A) Proportion of kōura found at each reef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reef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3"/>
    <w:bookmarkStart w:id="58" w:name="cell-fig-exp3-ms"/>
    <w:tbl>
      <w:tblPr>
        <w:tblStyle w:val="Table"/>
        <w:tblW w:type="pct" w:w="5000"/>
        <w:tblLayout w:type="fixed"/>
        <w:tblLook w:firstRow="0" w:lastRow="0" w:firstColumn="0" w:lastColumn="0" w:noHBand="0" w:noVBand="0" w:val="0000"/>
      </w:tblPr>
      <w:tblGrid>
        <w:gridCol w:w="7920"/>
      </w:tblGrid>
      <w:tr>
        <w:tc>
          <w:tcPr/>
          <w:bookmarkStart w:id="57" w:name="fig-exp3-ms"/>
          <w:p>
            <w:pPr>
              <w:pStyle w:val="Compact"/>
              <w:jc w:val="center"/>
            </w:pPr>
            <w:r>
              <w:drawing>
                <wp:inline>
                  <wp:extent cx="5727700" cy="2863850"/>
                  <wp:effectExtent b="0" l="0" r="0" t="0"/>
                  <wp:docPr descr="" title="" id="55" name="Picture"/>
                  <a:graphic>
                    <a:graphicData uri="http://schemas.openxmlformats.org/drawingml/2006/picture">
                      <pic:pic>
                        <pic:nvPicPr>
                          <pic:cNvPr descr="outputs/fig-exp3.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Reef type preference in stone versus wood comparison (Experiment 3). (A) Proportion of kōura found at each reef type at L1 across all groups and rounds. The dashed line indicates the null expectation of equal distribution (0.5). Significance symbols as in Figure 3. (B) Posterior predicted probability of reef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8"/>
    <w:bookmarkStart w:id="63" w:name="cell-fig-exp4-ms"/>
    <w:tbl>
      <w:tblPr>
        <w:tblStyle w:val="Table"/>
        <w:tblW w:type="pct" w:w="5000"/>
        <w:tblLayout w:type="fixed"/>
        <w:tblLook w:firstRow="0" w:lastRow="0" w:firstColumn="0" w:lastColumn="0" w:noHBand="0" w:noVBand="0" w:val="0000"/>
      </w:tblPr>
      <w:tblGrid>
        <w:gridCol w:w="7920"/>
      </w:tblGrid>
      <w:tr>
        <w:tc>
          <w:tcPr/>
          <w:bookmarkStart w:id="62" w:name="fig-exp4-ms"/>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reef type at L1 across all groups and rounds. The dashed line indicates the null expectation of equal distribution (0.5). (B) Posterior predicted probability of reef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63"/>
    <w:bookmarkStart w:id="146" w:name="refs"/>
    <w:bookmarkStart w:id="65"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4">
        <w:r>
          <w:rPr>
            <w:rStyle w:val="Hyperlink"/>
          </w:rPr>
          <w:t xml:space="preserve">https://doi.org/10.1674/0003-0031(2007)158[85:daieoc]2.0.co;2</w:t>
        </w:r>
      </w:hyperlink>
    </w:p>
    <w:bookmarkEnd w:id="65"/>
    <w:bookmarkStart w:id="67"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6">
        <w:r>
          <w:rPr>
            <w:rStyle w:val="Hyperlink"/>
          </w:rPr>
          <w:t xml:space="preserve">https://doi.org/10.1007/s00267-013-0197-3</w:t>
        </w:r>
      </w:hyperlink>
    </w:p>
    <w:bookmarkEnd w:id="67"/>
    <w:bookmarkStart w:id="69"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8">
        <w:r>
          <w:rPr>
            <w:rStyle w:val="Hyperlink"/>
          </w:rPr>
          <w:t xml:space="preserve">https://doi.org/10.18637/jss.v067.i01</w:t>
        </w:r>
      </w:hyperlink>
    </w:p>
    <w:bookmarkEnd w:id="69"/>
    <w:bookmarkStart w:id="71"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0">
        <w:r>
          <w:rPr>
            <w:rStyle w:val="Hyperlink"/>
          </w:rPr>
          <w:t xml:space="preserve">https://doi.org/10.1016/j.tree.2008.10.008</w:t>
        </w:r>
      </w:hyperlink>
    </w:p>
    <w:bookmarkEnd w:id="71"/>
    <w:bookmarkStart w:id="73"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2">
        <w:r>
          <w:rPr>
            <w:rStyle w:val="Hyperlink"/>
          </w:rPr>
          <w:t xml:space="preserve">https://cran.r-project.org/web/packages/brms/index.html</w:t>
        </w:r>
      </w:hyperlink>
    </w:p>
    <w:bookmarkEnd w:id="73"/>
    <w:bookmarkStart w:id="74"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4"/>
    <w:bookmarkStart w:id="76"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5">
        <w:r>
          <w:rPr>
            <w:rStyle w:val="Hyperlink"/>
          </w:rPr>
          <w:t xml:space="preserve">https://doi.org/10.1139/facets-2022-0210</w:t>
        </w:r>
      </w:hyperlink>
    </w:p>
    <w:bookmarkEnd w:id="76"/>
    <w:bookmarkStart w:id="78"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77">
        <w:r>
          <w:rPr>
            <w:rStyle w:val="Hyperlink"/>
          </w:rPr>
          <w:t xml:space="preserve">https://doi.org/10.3389/fmars.2023.1213790</w:t>
        </w:r>
      </w:hyperlink>
    </w:p>
    <w:bookmarkEnd w:id="78"/>
    <w:bookmarkStart w:id="80"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79">
        <w:r>
          <w:rPr>
            <w:rStyle w:val="Hyperlink"/>
          </w:rPr>
          <w:t xml:space="preserve">https://doi.org/10.32614/cran.package.xnomial</w:t>
        </w:r>
      </w:hyperlink>
    </w:p>
    <w:bookmarkEnd w:id="80"/>
    <w:bookmarkStart w:id="82"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1">
        <w:r>
          <w:rPr>
            <w:rStyle w:val="Hyperlink"/>
          </w:rPr>
          <w:t xml:space="preserve">https://doi.org/10.1080/10236240500376477</w:t>
        </w:r>
      </w:hyperlink>
    </w:p>
    <w:bookmarkEnd w:id="82"/>
    <w:bookmarkStart w:id="84"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3">
        <w:r>
          <w:rPr>
            <w:rStyle w:val="Hyperlink"/>
          </w:rPr>
          <w:t xml:space="preserve">https://doi.org/10.1007/s10750-024-05589-0</w:t>
        </w:r>
      </w:hyperlink>
    </w:p>
    <w:bookmarkEnd w:id="84"/>
    <w:bookmarkStart w:id="86"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85">
        <w:r>
          <w:rPr>
            <w:rStyle w:val="Hyperlink"/>
          </w:rPr>
          <w:t xml:space="preserve">https://doi.org/10.1002/aqc.4152</w:t>
        </w:r>
      </w:hyperlink>
    </w:p>
    <w:bookmarkEnd w:id="86"/>
    <w:bookmarkStart w:id="88"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87">
        <w:r>
          <w:rPr>
            <w:rStyle w:val="Hyperlink"/>
          </w:rPr>
          <w:t xml:space="preserve">https://doi.org/10.1214/ss/1177011136</w:t>
        </w:r>
      </w:hyperlink>
    </w:p>
    <w:bookmarkEnd w:id="88"/>
    <w:bookmarkStart w:id="90"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89">
        <w:r>
          <w:rPr>
            <w:rStyle w:val="Hyperlink"/>
          </w:rPr>
          <w:t xml:space="preserve">https://doi.org/10.1016/j.aquaculture.2005.05.032</w:t>
        </w:r>
      </w:hyperlink>
    </w:p>
    <w:bookmarkEnd w:id="90"/>
    <w:bookmarkStart w:id="92"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1">
        <w:r>
          <w:rPr>
            <w:rStyle w:val="Hyperlink"/>
          </w:rPr>
          <w:t xml:space="preserve">https://doi.org/10.1016/s0165-7836(97)00046-5</w:t>
        </w:r>
      </w:hyperlink>
    </w:p>
    <w:bookmarkEnd w:id="92"/>
    <w:bookmarkStart w:id="94"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3">
        <w:r>
          <w:rPr>
            <w:rStyle w:val="Hyperlink"/>
          </w:rPr>
          <w:t xml:space="preserve">https://doi.org/10.2307/1942661</w:t>
        </w:r>
      </w:hyperlink>
    </w:p>
    <w:bookmarkEnd w:id="94"/>
    <w:bookmarkStart w:id="96"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95">
        <w:r>
          <w:rPr>
            <w:rStyle w:val="Hyperlink"/>
          </w:rPr>
          <w:t xml:space="preserve">https://doi.org/10.1016/j.ecoleng.2020.105994</w:t>
        </w:r>
      </w:hyperlink>
    </w:p>
    <w:bookmarkEnd w:id="96"/>
    <w:bookmarkStart w:id="97"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97"/>
    <w:bookmarkStart w:id="99"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98">
        <w:r>
          <w:rPr>
            <w:rStyle w:val="Hyperlink"/>
          </w:rPr>
          <w:t xml:space="preserve">https://doi.org/10.1007/s10750-007-9108-z</w:t>
        </w:r>
      </w:hyperlink>
    </w:p>
    <w:bookmarkEnd w:id="99"/>
    <w:bookmarkStart w:id="100"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0"/>
    <w:bookmarkStart w:id="101"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1"/>
    <w:bookmarkStart w:id="103"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2">
        <w:r>
          <w:rPr>
            <w:rStyle w:val="Hyperlink"/>
          </w:rPr>
          <w:t xml:space="preserve">https://doi.org/10.1080/00288330909510036</w:t>
        </w:r>
      </w:hyperlink>
    </w:p>
    <w:bookmarkEnd w:id="103"/>
    <w:bookmarkStart w:id="105"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04">
        <w:r>
          <w:rPr>
            <w:rStyle w:val="Hyperlink"/>
          </w:rPr>
          <w:t xml:space="preserve">https://doi.org/10.1071/mf14148</w:t>
        </w:r>
      </w:hyperlink>
    </w:p>
    <w:bookmarkEnd w:id="105"/>
    <w:bookmarkStart w:id="107"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6">
        <w:r>
          <w:rPr>
            <w:rStyle w:val="Hyperlink"/>
          </w:rPr>
          <w:t xml:space="preserve">https://doi.org/10.5194/we-25-221-2025</w:t>
        </w:r>
      </w:hyperlink>
    </w:p>
    <w:bookmarkEnd w:id="107"/>
    <w:bookmarkStart w:id="108"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08"/>
    <w:bookmarkStart w:id="110"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09">
        <w:r>
          <w:rPr>
            <w:rStyle w:val="Hyperlink"/>
          </w:rPr>
          <w:t xml:space="preserve">https://doi.org/10.1163/15685403-00003724</w:t>
        </w:r>
      </w:hyperlink>
    </w:p>
    <w:bookmarkEnd w:id="110"/>
    <w:bookmarkStart w:id="111"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1"/>
    <w:bookmarkStart w:id="113"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2">
        <w:r>
          <w:rPr>
            <w:rStyle w:val="Hyperlink"/>
          </w:rPr>
          <w:t xml:space="preserve">https://doi.org/10.1080/10641269509388566</w:t>
        </w:r>
      </w:hyperlink>
    </w:p>
    <w:bookmarkEnd w:id="113"/>
    <w:bookmarkStart w:id="115"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14">
        <w:r>
          <w:rPr>
            <w:rStyle w:val="Hyperlink"/>
          </w:rPr>
          <w:t xml:space="preserve">https://doi.org/10.1111/j.1365-2427.2008.02089.x</w:t>
        </w:r>
      </w:hyperlink>
    </w:p>
    <w:bookmarkEnd w:id="115"/>
    <w:bookmarkStart w:id="117"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16">
        <w:r>
          <w:rPr>
            <w:rStyle w:val="Hyperlink"/>
          </w:rPr>
          <w:t xml:space="preserve">https://doi.org/10.1016/j.biocon.2005.12.019</w:t>
        </w:r>
      </w:hyperlink>
    </w:p>
    <w:bookmarkEnd w:id="117"/>
    <w:bookmarkStart w:id="119"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18">
        <w:r>
          <w:rPr>
            <w:rStyle w:val="Hyperlink"/>
          </w:rPr>
          <w:t xml:space="preserve">https://doi.org/10.1046/j.1365-2427.2001.00702.x</w:t>
        </w:r>
      </w:hyperlink>
    </w:p>
    <w:bookmarkEnd w:id="119"/>
    <w:bookmarkStart w:id="121"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0">
        <w:r>
          <w:rPr>
            <w:rStyle w:val="Hyperlink"/>
          </w:rPr>
          <w:t xml:space="preserve">https://doi.org/10.1080/00288330909510034</w:t>
        </w:r>
      </w:hyperlink>
    </w:p>
    <w:bookmarkEnd w:id="121"/>
    <w:bookmarkStart w:id="123"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2">
        <w:r>
          <w:rPr>
            <w:rStyle w:val="Hyperlink"/>
          </w:rPr>
          <w:t xml:space="preserve">https://doi.org/10.1163/000579509x12512685881053</w:t>
        </w:r>
      </w:hyperlink>
    </w:p>
    <w:bookmarkEnd w:id="123"/>
    <w:bookmarkStart w:id="124"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24"/>
    <w:bookmarkStart w:id="125"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25"/>
    <w:bookmarkStart w:id="127"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26">
        <w:r>
          <w:rPr>
            <w:rStyle w:val="Hyperlink"/>
          </w:rPr>
          <w:t xml:space="preserve">https://olivierraven.github.io/Koura_shoreline_habitats/</w:t>
        </w:r>
      </w:hyperlink>
    </w:p>
    <w:bookmarkEnd w:id="127"/>
    <w:bookmarkStart w:id="129"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28">
        <w:r>
          <w:rPr>
            <w:rStyle w:val="Hyperlink"/>
          </w:rPr>
          <w:t xml:space="preserve">https://olivierraven.github.io/NCE_Koura_catfish/</w:t>
        </w:r>
      </w:hyperlink>
    </w:p>
    <w:bookmarkEnd w:id="129"/>
    <w:bookmarkStart w:id="131"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0">
        <w:r>
          <w:rPr>
            <w:rStyle w:val="Hyperlink"/>
          </w:rPr>
          <w:t xml:space="preserve">https://doi.org/10.1098/rstb.2014.0060</w:t>
        </w:r>
      </w:hyperlink>
    </w:p>
    <w:bookmarkEnd w:id="131"/>
    <w:bookmarkStart w:id="132"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2"/>
    <w:bookmarkStart w:id="133"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3"/>
    <w:bookmarkStart w:id="135"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34">
        <w:r>
          <w:rPr>
            <w:rStyle w:val="Hyperlink"/>
          </w:rPr>
          <w:t xml:space="preserve">https://doi.org/10.1080/00288330.2011.559661</w:t>
        </w:r>
      </w:hyperlink>
    </w:p>
    <w:bookmarkEnd w:id="135"/>
    <w:bookmarkStart w:id="137"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36">
        <w:r>
          <w:rPr>
            <w:rStyle w:val="Hyperlink"/>
          </w:rPr>
          <w:t xml:space="preserve">https://doi.org/10.1023/A:1021094309738</w:t>
        </w:r>
      </w:hyperlink>
    </w:p>
    <w:bookmarkEnd w:id="137"/>
    <w:bookmarkStart w:id="139"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38">
        <w:r>
          <w:rPr>
            <w:rStyle w:val="Hyperlink"/>
          </w:rPr>
          <w:t xml:space="preserve">https://doi.org/10.1242/jeb.197301</w:t>
        </w:r>
      </w:hyperlink>
    </w:p>
    <w:bookmarkEnd w:id="139"/>
    <w:bookmarkStart w:id="141"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0">
        <w:r>
          <w:rPr>
            <w:rStyle w:val="Hyperlink"/>
          </w:rPr>
          <w:t xml:space="preserve">https://doi.org/10.1080/00288330.2000.9516957</w:t>
        </w:r>
      </w:hyperlink>
    </w:p>
    <w:bookmarkEnd w:id="141"/>
    <w:bookmarkStart w:id="143"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2">
        <w:r>
          <w:rPr>
            <w:rStyle w:val="Hyperlink"/>
          </w:rPr>
          <w:t xml:space="preserve">https://doi.org/10.1111/cobi.12915</w:t>
        </w:r>
      </w:hyperlink>
    </w:p>
    <w:bookmarkEnd w:id="143"/>
    <w:bookmarkStart w:id="145"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4">
        <w:r>
          <w:rPr>
            <w:rStyle w:val="Hyperlink"/>
          </w:rPr>
          <w:t xml:space="preserve">https://doi.org/10.3390/ani14081147</w:t>
        </w:r>
      </w:hyperlink>
    </w:p>
    <w:bookmarkEnd w:id="145"/>
    <w:bookmarkEnd w:id="146"/>
    <w:bookmarkEnd w:id="14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5"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8" Target="https://doi.org/10.1007/s10750-007-9108-z" TargetMode="External" /><Relationship Type="http://schemas.openxmlformats.org/officeDocument/2006/relationships/hyperlink" Id="rId83" Target="https://doi.org/10.1007/s10750-024-05589-0" TargetMode="External" /><Relationship Type="http://schemas.openxmlformats.org/officeDocument/2006/relationships/hyperlink" Id="rId89" Target="https://doi.org/10.1016/j.aquaculture.2005.05.032" TargetMode="External" /><Relationship Type="http://schemas.openxmlformats.org/officeDocument/2006/relationships/hyperlink" Id="rId116" Target="https://doi.org/10.1016/j.biocon.2005.12.019" TargetMode="External" /><Relationship Type="http://schemas.openxmlformats.org/officeDocument/2006/relationships/hyperlink" Id="rId95"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1" Target="https://doi.org/10.1016/s0165-7836(97)00046-5" TargetMode="External" /><Relationship Type="http://schemas.openxmlformats.org/officeDocument/2006/relationships/hyperlink" Id="rId136" Target="https://doi.org/10.1023/A:1021094309738" TargetMode="External" /><Relationship Type="http://schemas.openxmlformats.org/officeDocument/2006/relationships/hyperlink" Id="rId118"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40" Target="https://doi.org/10.1080/00288330.2000.9516957" TargetMode="External" /><Relationship Type="http://schemas.openxmlformats.org/officeDocument/2006/relationships/hyperlink" Id="rId134" Target="https://doi.org/10.1080/00288330.2011.559661" TargetMode="External" /><Relationship Type="http://schemas.openxmlformats.org/officeDocument/2006/relationships/hyperlink" Id="rId120"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1" Target="https://doi.org/10.1080/10236240500376477" TargetMode="External" /><Relationship Type="http://schemas.openxmlformats.org/officeDocument/2006/relationships/hyperlink" Id="rId112" Target="https://doi.org/10.1080/10641269509388566" TargetMode="External" /><Relationship Type="http://schemas.openxmlformats.org/officeDocument/2006/relationships/hyperlink" Id="rId130" Target="https://doi.org/10.1098/rstb.2014.0060" TargetMode="External" /><Relationship Type="http://schemas.openxmlformats.org/officeDocument/2006/relationships/hyperlink" Id="rId142" Target="https://doi.org/10.1111/cobi.12915" TargetMode="External" /><Relationship Type="http://schemas.openxmlformats.org/officeDocument/2006/relationships/hyperlink" Id="rId114" Target="https://doi.org/10.1111/j.1365-2427.2008.02089.x" TargetMode="External" /><Relationship Type="http://schemas.openxmlformats.org/officeDocument/2006/relationships/hyperlink" Id="rId75" Target="https://doi.org/10.1139/facets-2022-0210" TargetMode="External" /><Relationship Type="http://schemas.openxmlformats.org/officeDocument/2006/relationships/hyperlink" Id="rId122"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7" Target="https://doi.org/10.1214/ss/1177011136" TargetMode="External" /><Relationship Type="http://schemas.openxmlformats.org/officeDocument/2006/relationships/hyperlink" Id="rId138"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3" Target="https://doi.org/10.2307/1942661" TargetMode="External" /><Relationship Type="http://schemas.openxmlformats.org/officeDocument/2006/relationships/hyperlink" Id="rId79" Target="https://doi.org/10.32614/cran.package.xnomial" TargetMode="External" /><Relationship Type="http://schemas.openxmlformats.org/officeDocument/2006/relationships/hyperlink" Id="rId77" Target="https://doi.org/10.3389/fmars.2023.1213790" TargetMode="External" /><Relationship Type="http://schemas.openxmlformats.org/officeDocument/2006/relationships/hyperlink" Id="rId144"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6" Target="https://olivierraven.github.io/Koura_shoreline_habitats/" TargetMode="External" /><Relationship Type="http://schemas.openxmlformats.org/officeDocument/2006/relationships/hyperlink" Id="rId128"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5"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8" Target="https://doi.org/10.1007/s10750-007-9108-z" TargetMode="External" /><Relationship Type="http://schemas.openxmlformats.org/officeDocument/2006/relationships/hyperlink" Id="rId83" Target="https://doi.org/10.1007/s10750-024-05589-0" TargetMode="External" /><Relationship Type="http://schemas.openxmlformats.org/officeDocument/2006/relationships/hyperlink" Id="rId89" Target="https://doi.org/10.1016/j.aquaculture.2005.05.032" TargetMode="External" /><Relationship Type="http://schemas.openxmlformats.org/officeDocument/2006/relationships/hyperlink" Id="rId116" Target="https://doi.org/10.1016/j.biocon.2005.12.019" TargetMode="External" /><Relationship Type="http://schemas.openxmlformats.org/officeDocument/2006/relationships/hyperlink" Id="rId95"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91" Target="https://doi.org/10.1016/s0165-7836(97)00046-5" TargetMode="External" /><Relationship Type="http://schemas.openxmlformats.org/officeDocument/2006/relationships/hyperlink" Id="rId136" Target="https://doi.org/10.1023/A:1021094309738" TargetMode="External" /><Relationship Type="http://schemas.openxmlformats.org/officeDocument/2006/relationships/hyperlink" Id="rId118"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40" Target="https://doi.org/10.1080/00288330.2000.9516957" TargetMode="External" /><Relationship Type="http://schemas.openxmlformats.org/officeDocument/2006/relationships/hyperlink" Id="rId134" Target="https://doi.org/10.1080/00288330.2011.559661" TargetMode="External" /><Relationship Type="http://schemas.openxmlformats.org/officeDocument/2006/relationships/hyperlink" Id="rId120"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1" Target="https://doi.org/10.1080/10236240500376477" TargetMode="External" /><Relationship Type="http://schemas.openxmlformats.org/officeDocument/2006/relationships/hyperlink" Id="rId112" Target="https://doi.org/10.1080/10641269509388566" TargetMode="External" /><Relationship Type="http://schemas.openxmlformats.org/officeDocument/2006/relationships/hyperlink" Id="rId130" Target="https://doi.org/10.1098/rstb.2014.0060" TargetMode="External" /><Relationship Type="http://schemas.openxmlformats.org/officeDocument/2006/relationships/hyperlink" Id="rId142" Target="https://doi.org/10.1111/cobi.12915" TargetMode="External" /><Relationship Type="http://schemas.openxmlformats.org/officeDocument/2006/relationships/hyperlink" Id="rId114" Target="https://doi.org/10.1111/j.1365-2427.2008.02089.x" TargetMode="External" /><Relationship Type="http://schemas.openxmlformats.org/officeDocument/2006/relationships/hyperlink" Id="rId75" Target="https://doi.org/10.1139/facets-2022-0210" TargetMode="External" /><Relationship Type="http://schemas.openxmlformats.org/officeDocument/2006/relationships/hyperlink" Id="rId122"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7" Target="https://doi.org/10.1214/ss/1177011136" TargetMode="External" /><Relationship Type="http://schemas.openxmlformats.org/officeDocument/2006/relationships/hyperlink" Id="rId138"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3" Target="https://doi.org/10.2307/1942661" TargetMode="External" /><Relationship Type="http://schemas.openxmlformats.org/officeDocument/2006/relationships/hyperlink" Id="rId79" Target="https://doi.org/10.32614/cran.package.xnomial" TargetMode="External" /><Relationship Type="http://schemas.openxmlformats.org/officeDocument/2006/relationships/hyperlink" Id="rId77" Target="https://doi.org/10.3389/fmars.2023.1213790" TargetMode="External" /><Relationship Type="http://schemas.openxmlformats.org/officeDocument/2006/relationships/hyperlink" Id="rId144"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6" Target="https://olivierraven.github.io/Koura_shoreline_habitats/" TargetMode="External" /><Relationship Type="http://schemas.openxmlformats.org/officeDocument/2006/relationships/hyperlink" Id="rId128"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2026-05-28T23:13:37Z</dcterms:created>
  <dcterms:modified xsi:type="dcterms:W3CDTF">2026-05-28T23:13:37Z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