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44.png" ContentType="image/png"/>
  <Override PartName="/word/media/rId50.png" ContentType="image/png"/>
  <Override PartName="/word/media/rId5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 over material: mesocosm experiments reveal shelter design principles for threatened freshwater crayfish restoration</w:t>
      </w:r>
    </w:p>
    <w:p>
      <w:pPr>
        <w:pStyle w:val="FirstParagraph"/>
      </w:pPr>
      <w:r>
        <w:br/>
      </w:r>
      <w:r>
        <w:br/>
      </w:r>
      <w:r>
        <w:br/>
      </w:r>
      <w:r>
        <w:br/>
      </w:r>
    </w:p>
    <w:p>
      <w:pPr>
        <w:pStyle w:val="Heading2"/>
      </w:pPr>
      <w:r>
        <w:t xml:space="preserve">Abstract</w:t>
      </w:r>
    </w:p>
    <w:p>
      <w:pPr>
        <w:pStyle w:val="FirstParagraph"/>
      </w:pPr>
      <w:r>
        <w:t xml:space="preserve">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w:t>
      </w:r>
      <w:r>
        <w:rPr>
          <w:i/>
          <w:iCs/>
        </w:rPr>
        <w:t xml:space="preserve">Paranephrops planifrons</w:t>
      </w:r>
      <w:r>
        <w:t xml:space="preserve">)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w:t>
      </w:r>
    </w:p>
    <w:p>
      <w:pPr>
        <w:pStyle w:val="BodyText"/>
      </w:pPr>
      <w:r>
        <w:rPr>
          <w:b/>
          <w:bCs/>
        </w:rPr>
        <w:t xml:space="preserve">Key words:</w:t>
      </w:r>
      <w:r>
        <w:t xml:space="preserve"> </w:t>
      </w:r>
      <w:r>
        <w:t xml:space="preserve">Paranephrops planifrons</w:t>
      </w:r>
      <w:r>
        <w:t xml:space="preserve">; </w:t>
      </w:r>
      <w:r>
        <w:t xml:space="preserve">Behaviour</w:t>
      </w:r>
      <w:r>
        <w:t xml:space="preserve">; </w:t>
      </w:r>
      <w:r>
        <w:t xml:space="preserve">Habitat preference</w:t>
      </w:r>
      <w:r>
        <w:t xml:space="preserve">; </w:t>
      </w:r>
      <w:r>
        <w:t xml:space="preserve">Aotearoa New Zealand</w:t>
      </w:r>
      <w:r>
        <w:t xml:space="preserve">; </w:t>
      </w:r>
      <w:r>
        <w:t xml:space="preserve">Artificial reef</w:t>
      </w:r>
    </w:p>
    <w:bookmarkStart w:id="16" w:name="introduction"/>
    <w:p>
      <w:pPr>
        <w:pStyle w:val="Heading1"/>
      </w:pPr>
      <w:r>
        <w:t xml:space="preserve">Introduction</w:t>
      </w:r>
    </w:p>
    <w:p>
      <w:pPr>
        <w:pStyle w:val="FirstParagraph"/>
      </w:pPr>
      <w:r>
        <w:t xml:space="preserve">Crayfish are among the most threatened freshwater invertebrates globally, with 32% of species assessed as threatened with extinction due to habitat loss, water quality decline, and invasive species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While artificial aquatic habitats have received attention in marine systems [</w:t>
      </w:r>
      <w:r>
        <w:t xml:space="preserve">], equivalent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selected stones more than 3 times longer and 1.25 times wider than their carapace length, with larger males consistently selecting larger stones</w:t>
      </w:r>
      <w:r>
        <w:t xml:space="preserve"> </w:t>
      </w:r>
      <w:r>
        <w:t xml:space="preserve">(Streissl and Hödl, 2002)</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overtake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weight ratio between contestants is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influence their value as refugia. Studies comparing shelter configurations show that the availability and size of enclosed spaces matters more than total structure volume on reef fish assemblages</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remains largely unknown.</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w:t>
      </w:r>
      <w:r>
        <w:t xml:space="preserve"> </w:t>
      </w:r>
      <w:r>
        <w:rPr>
          <w:i/>
          <w:iCs/>
        </w:rPr>
        <w:t xml:space="preserve">taonga</w:t>
      </w:r>
      <w:r>
        <w:t xml:space="preserve"> </w:t>
      </w:r>
      <w:r>
        <w:t xml:space="preserve">(culturally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(Usio and Townsend, 2000; Jowett</w:t>
      </w:r>
      <w:r>
        <w:t xml:space="preserve"> </w:t>
      </w:r>
      <w:r>
        <w:rPr>
          <w:i/>
          <w:iCs/>
        </w:rPr>
        <w:t xml:space="preserve">et al.</w:t>
      </w:r>
      <w:r>
        <w:t xml:space="preserve">, 2008; Parkyn</w:t>
      </w:r>
      <w:r>
        <w:t xml:space="preserve"> </w:t>
      </w:r>
      <w:r>
        <w:rPr>
          <w:i/>
          <w:iCs/>
        </w:rPr>
        <w:t xml:space="preserve">et al.</w:t>
      </w:r>
      <w:r>
        <w:t xml:space="preserve">, 2009; Raven</w:t>
      </w:r>
      <w:r>
        <w:t xml:space="preserve"> </w:t>
      </w:r>
      <w:r>
        <w:rPr>
          <w:i/>
          <w:iCs/>
        </w:rPr>
        <w:t xml:space="preserve">et al.</w:t>
      </w:r>
      <w:r>
        <w:t xml:space="preserve">, in reviewa)</w:t>
      </w:r>
      <w:r>
        <w:t xml:space="preserve">. Kōura have been shown to significantly increase refuge use in the presence of predators</w:t>
      </w:r>
      <w:r>
        <w:t xml:space="preserve"> </w:t>
      </w:r>
      <w:r>
        <w:t xml:space="preserve">(Shave</w:t>
      </w:r>
      <w:r>
        <w:t xml:space="preserve"> </w:t>
      </w:r>
      <w:r>
        <w:rPr>
          <w:i/>
          <w:iCs/>
        </w:rPr>
        <w:t xml:space="preserve">et al.</w:t>
      </w:r>
      <w:r>
        <w:t xml:space="preserve">, 1994; Raven</w:t>
      </w:r>
      <w:r>
        <w:t xml:space="preserve"> </w:t>
      </w:r>
      <w:r>
        <w:rPr>
          <w:i/>
          <w:iCs/>
        </w:rPr>
        <w:t xml:space="preserve">et al.</w:t>
      </w:r>
      <w:r>
        <w:t xml:space="preserve">, in reviewb)</w:t>
      </w:r>
      <w:r>
        <w:t xml:space="preserve">. However, a systematic study on shelter design preference on crayfish remains largely absent from the literature. Habitat restoration by increasing shelter availability represents a promising management tool for kōura recovery, and the use of natural materials aligns with ecological and cultural values set for these naturally and culturally important lakes.</w:t>
      </w:r>
    </w:p>
    <w:p>
      <w:pPr>
        <w:pStyle w:val="BodyText"/>
      </w:pPr>
      <w:r>
        <w:t xml:space="preserve">In this study, four controlled mesocosm experiments were conducted to identify kōura preferences among different structures varying in material and configuration, to examine how individual behaviour, body size, and group interactions influence refuge selection.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support kōura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0.5 m deep), each filled to a depth of 0.4 m with dechlorinated tap water conditioned for three months. Paving sand was used as substrate, and shelters were provided as PVC pipes, broken terracotta pots, and perforated building bricks. Each holding tank housed 10–12 kōura. Kōura were fed every second day with commercial carnivore pellets (Hikari Tropical, Kyorin Food Industries Ltd., Japan; animal protein 47%). Water temperature and dissolved oxygen remained stable throughout the experimental period (temperature: 12 ± 1.2 °C; dissolved oxygen: 99.9 ± 1.7 %).</w:t>
      </w:r>
    </w:p>
    <w:p>
      <w:pPr>
        <w:pStyle w:val="BodyText"/>
      </w:pPr>
      <w:r>
        <w:t xml:space="preserve">Experiments were conducted outside in six circular concrete tanks (1425 L; Ø 1.85 m, 0.53 m deep), each filled to a depth of 0.4 m with dechlorinated tap water conditioned for three months. Paving sand was used as substrate and tanks were closed off with a lid constructed of two layers of shade cloth to prevent escape and minimise solar heating. Fresh dechlorinated tap water and an air stone were added to each tank in between the experimental rounds. To limit thermal stress, experiments were conducted in spring (September to October). Because kōura are a</w:t>
      </w:r>
      <w:r>
        <w:t xml:space="preserve"> </w:t>
      </w:r>
      <w:r>
        <w:rPr>
          <w:i/>
          <w:iCs/>
        </w:rPr>
        <w:t xml:space="preserve">taonga</w:t>
      </w:r>
      <w:r>
        <w:t xml:space="preserve"> </w:t>
      </w:r>
      <w:r>
        <w:t xml:space="preserve">(treasured) species, permission was obtained from Te Arawa Lakes Trust and Te Komiti Whakahaere. All experimental procedures were conducted under University of Waikato animal ethics committee approval (protocol number: 1207; see Ethical Approval section).</w:t>
      </w:r>
    </w:p>
    <w:bookmarkEnd w:id="17"/>
    <w:bookmarkStart w:id="18" w:name="exp-1-single-kōura"/>
    <w:p>
      <w:pPr>
        <w:pStyle w:val="Heading2"/>
      </w:pPr>
      <w:r>
        <w:t xml:space="preserve">Exp 1: Single kōura</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separately),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Six experimental tanks were used, each housing a single medium-sized kōura. In total, 30 kōura consisting of 15 females with mean OCL and weight ± SD: 26.9 ± 2 mm, range: 23.2–29.8 mm, 12.5 ± 3.3 g and 15 males: 26.1 ± 2.2 mm, range: 22.6–30 mm, 11.9 ± 3.1 g were tested across five experimental replicates, with each replicate lasting 22 hours.</w:t>
      </w:r>
    </w:p>
    <w:p>
      <w:pPr>
        <w:pStyle w:val="BodyText"/>
      </w:pPr>
      <w:r>
        <w:t xml:space="preserve">Each experimental tank was divided into four quadrants, with one structure type placed at random (randomizer.org) in each quadrant. If a kōura was not using a structure, TankWall was noted as its location which represents the wall of the tank.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first structure was recorded (L0). On the following day, the final location of the kōura was noted (L1) after which it was removed from the tank. Tanks were reset and structure placements re-randomised prior to the next trial. Each kōura was used in a single trial only and was not reused across replicates. To confirm nocturnal activity, three GoPros (Hero 3) were placed in one tank at the end of the day and recorded for five hours.</w:t>
      </w:r>
    </w:p>
    <w:bookmarkEnd w:id="18"/>
    <w:bookmarkStart w:id="19" w:name="exp-2-group-kōura"/>
    <w:p>
      <w:pPr>
        <w:pStyle w:val="Heading2"/>
      </w:pPr>
      <w:r>
        <w:t xml:space="preserve">Exp 2: Group kōura</w:t>
      </w:r>
    </w:p>
    <w:p>
      <w:pPr>
        <w:pStyle w:val="FirstParagraph"/>
      </w:pPr>
      <w:r>
        <w:t xml:space="preserve">Building on experiment 1, this experiment examined how group dynamics and body size influenced structure preference when kōura were housed together. The six experimental tanks were used and configured with the same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comprising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replicates reusing the same six groups of animals.</w:t>
      </w:r>
    </w:p>
    <w:bookmarkEnd w:id="19"/>
    <w:bookmarkStart w:id="20" w:name="exp-3-wood-vs-stone"/>
    <w:p>
      <w:pPr>
        <w:pStyle w:val="Heading2"/>
      </w:pPr>
      <w:r>
        <w:t xml:space="preserve">Exp 3: Wood vs Stone</w:t>
      </w:r>
    </w:p>
    <w:p>
      <w:pPr>
        <w:pStyle w:val="FirstParagraph"/>
      </w:pPr>
      <w:r>
        <w:t xml:space="preserve">Using the same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three times, reusing the same six groups of animals.</w:t>
      </w:r>
    </w:p>
    <w:bookmarkEnd w:id="20"/>
    <w:bookmarkStart w:id="21" w:name="exp-4-bricks"/>
    <w:p>
      <w:pPr>
        <w:pStyle w:val="Heading2"/>
      </w:pPr>
      <w:r>
        <w:t xml:space="preserve">Exp 4: Bricks</w:t>
      </w:r>
    </w:p>
    <w:p>
      <w:pPr>
        <w:pStyle w:val="FirstParagraph"/>
      </w:pPr>
      <w:r>
        <w:t xml:space="preserve">This experiment tested whether kōura showed a preference between concrete and wooden perforated brick structures, to isolate the effect of material on structure preference. Two perforated building bricks (BrickConcrete) of 80 × 80 × 225 mm with five holes (Ø 30 mm) were tested against two wooden bricks (BrickWood)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wooden brick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brick was placed, with similar brick types positioned opposite to one another. Each group of kōura was released at the centre of the tank and the following day, the final location of each kōura was documented. This experiment was repeated four times by reusing the four groups of ten kōura.</w:t>
      </w:r>
    </w:p>
    <w:bookmarkEnd w:id="21"/>
    <w:bookmarkStart w:id="22" w:name="data-analysis"/>
    <w:p>
      <w:pPr>
        <w:pStyle w:val="Heading2"/>
      </w:pPr>
      <w:r>
        <w:t xml:space="preserve">Data analysis</w:t>
      </w:r>
    </w:p>
    <w:p>
      <w:pPr>
        <w:pStyle w:val="FirstParagraph"/>
      </w:pPr>
      <w:r>
        <w:t xml:space="preserve">To test the difference between the four structure types selected the next day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To test whether structure type use differed between sexes, Fisher’s exact test with simulated p-values (9999 replicates) was used due to small expected counts. A permutation-based symmetry test was applied to assess whether structure type transitions between L0 and L1 were directional rather than random.</w:t>
      </w:r>
    </w:p>
    <w:p>
      <w:pPr>
        <w:pStyle w:val="BodyText"/>
      </w:pPr>
      <w:r>
        <w:t xml:space="preserve">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Bayesian categorical mixed-effects models were used to test whether body size or sex affected structure preference across experiments 2, 3 and 4. The outcome is categorical and individual animals within group within round create a three-level nested random effect structure. Standard frequentist mixed-effect approaches such as lme4 [</w:t>
      </w:r>
      <w:r>
        <w:t xml:space="preserve">] do not support categorical outcomes with complex nested random effects structures, making Bayesian estimation the appropriate choice for this design [</w:t>
      </w:r>
      <w:r>
        <w:t xml:space="preserve">].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size classes affected structure preference while accounting for repeated measurement of individuals and groups, a Bayesian categorical mixed-effects model was fitted using the brms package</w:t>
      </w:r>
      <w:r>
        <w:t xml:space="preserve"> </w:t>
      </w:r>
      <w:r>
        <w:t xml:space="preserve">(Bürkner</w:t>
      </w:r>
      <w:r>
        <w:t xml:space="preserve"> </w:t>
      </w:r>
      <w:r>
        <w:rPr>
          <w:i/>
          <w:iCs/>
        </w:rPr>
        <w:t xml:space="preserve">et al.</w:t>
      </w:r>
      <w:r>
        <w:t xml:space="preserve">, 2025)</w:t>
      </w:r>
      <w:r>
        <w:t xml:space="preserve">, with structure type as the outcome, size class as a fixed effect, and group identity, individual identity nested within group, and experimental round as random intercepts. The Stuart-Maxwell test was used to test for statistical differences between stage L0 and L1.</w:t>
      </w:r>
    </w:p>
    <w:p>
      <w:pPr>
        <w:pStyle w:val="BodyText"/>
      </w:pPr>
      <w:r>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Bayesian categorical mixed-effects model was fitted with size class as a fixed effect, following the same structure as described for experiment 2. The Stuart-Maxwell test was used to test for statistical differences between stage L0 and L1.</w:t>
      </w:r>
    </w:p>
    <w:p>
      <w:pPr>
        <w:pStyle w:val="BodyText"/>
      </w:pPr>
      <w:r>
        <w:t xml:space="preserve">To test whether kōura showed a preference between BrickConcrete and BrickWood, the Wilcoxon signed-rank test was applied to group-round proportions for each brick type, testing against a null expectation of 0.5 and p-values were Bonferroni adjusted. A paired Wilcoxon signed-rank test was used to directly compare group-round proportions between BrickConcrete and BrickWood. As size class was unbalanced, the effect of sex on brick preference was tested using a similar Bayesian categorical mixed-effects model with sex as a fixed effect, following the same structure as described for experiment 2. Finally, as only next-day locations (L1) were recorded in this experiment, no directional shift analysis was performed.</w:t>
      </w:r>
    </w:p>
    <w:bookmarkEnd w:id="22"/>
    <w:bookmarkEnd w:id="23"/>
    <w:bookmarkStart w:id="28" w:name="results"/>
    <w:p>
      <w:pPr>
        <w:pStyle w:val="Heading1"/>
      </w:pPr>
      <w:r>
        <w:t xml:space="preserve">Results</w:t>
      </w:r>
    </w:p>
    <w:bookmarkStart w:id="24" w:name="exp-1-single-kōura-1"/>
    <w:p>
      <w:pPr>
        <w:pStyle w:val="Heading2"/>
      </w:pPr>
      <w:r>
        <w:t xml:space="preserve">Exp 1: Single kōura</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 &lt;0.001, 0.011, 0.004, respectively; overall multinomial test:</w:t>
      </w:r>
      <w:r>
        <w:t xml:space="preserve"> </w:t>
      </w:r>
      <w:r>
        <w:rPr>
          <w:i/>
          <w:iCs/>
        </w:rPr>
        <w:t xml:space="preserve">p</w:t>
      </w:r>
      <w:r>
        <w:t xml:space="preserve"> </w:t>
      </w:r>
      <w:r>
        <w:t xml:space="preserve">= &lt;0.001;</w:t>
      </w:r>
      <w:r>
        <w:t xml:space="preserve"> </w:t>
      </w:r>
      <w:hyperlink w:anchor="fig-exp1-ms">
        <w:r>
          <w:rPr>
            <w:rStyle w:val="Hyperlink"/>
          </w:rPr>
          <w:t xml:space="preserve">Figure 2</w:t>
        </w:r>
      </w:hyperlink>
      <w:r>
        <w:t xml:space="preserve">). No significant differences were found among the stone structure types. Overall, WoodLog was selected by 67% of kōura at L1 (males: 80%; females: 53%), and no kōura were found at TankWall, indicating all individuals actively selected a structure. Sex had no credible effect on structure preference (β = 3.32, 95% CI: -1.09 to 9.3; posterior probability = 0.92), with credible intervals spanning zero for all structure types. The symmetry test indicated that structure type use shifted between L0 and L1 (</w:t>
      </w:r>
      <w:r>
        <w:rPr>
          <w:i/>
          <w:iCs/>
        </w:rPr>
        <w:t xml:space="preserve">p</w:t>
      </w:r>
      <w:r>
        <w:t xml:space="preserve"> </w:t>
      </w:r>
      <w:r>
        <w:t xml:space="preserve">= 0.001), suggesting kōura actively relocated to preferred structure types overnight rather than remaining at their initial location. The GoPro footage showed kōura emerging, walking and climbing on the structures after sunset.</w:t>
      </w:r>
    </w:p>
    <w:bookmarkEnd w:id="24"/>
    <w:bookmarkStart w:id="25" w:name="exp-2-group-kōura-1"/>
    <w:p>
      <w:pPr>
        <w:pStyle w:val="Heading2"/>
      </w:pPr>
      <w:r>
        <w:t xml:space="preserve">Exp 2: Group kōura</w:t>
      </w:r>
    </w:p>
    <w:p>
      <w:pPr>
        <w:pStyle w:val="FirstParagraph"/>
      </w:pPr>
      <w:r>
        <w:t xml:space="preserve">When housed in mixed-size groups, kōura showed a significant overall preference for stone-based structures (</w:t>
      </w:r>
      <w:hyperlink w:anchor="fig-exp2-ms">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 &lt;0.001)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 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to medium (53%), and with large kōura showing similar preference between FlatStone and StonePile (42% vs 38%). Structure type use shifted directionally between L0 and L1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3-wood-vs-stone-1"/>
    <w:p>
      <w:pPr>
        <w:pStyle w:val="Heading2"/>
      </w:pPr>
      <w:r>
        <w:t xml:space="preserve">Exp 3: Wood vs Stone</w:t>
      </w:r>
    </w:p>
    <w:p>
      <w:pPr>
        <w:pStyle w:val="FirstParagraph"/>
      </w:pPr>
      <w:r>
        <w:t xml:space="preserve">Kōura consistently selected FlatStone over WoodSplit, with the preference growing with body size (</w:t>
      </w:r>
      <w:hyperlink w:anchor="fig-exp3-ms">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1% of kōura were found at TankWall, suggesting almost all kōura selected one of the two structure types. The Bayesian model indicated that preference for FlatStone strengthened with body size, with the posterior probability of FlatStone being the top-ranked structure increasing from small (66%) to medium (79%), to large kōura (99%). Large kōura showed a particularly strong and credible preference for FlatStone over WoodSplit (β = -2.55, 95% CI: -4.7 to -0.9; posterior probability = &gt; 0.99), while medium kōura did not differ from small kōura. Structure type use shifted directionally between L0 and L1 (Stuart-Maxwell test:</w:t>
      </w:r>
      <w:r>
        <w:t xml:space="preserve"> </w:t>
      </w:r>
      <w:r>
        <w:rPr>
          <w:i/>
          <w:iCs/>
        </w:rPr>
        <w:t xml:space="preserve">p</w:t>
      </w:r>
      <w:r>
        <w:t xml:space="preserve"> </w:t>
      </w:r>
      <w:r>
        <w:t xml:space="preserve">= 0.003), with kōura relocating toward FlatStone overnight.</w:t>
      </w:r>
    </w:p>
    <w:bookmarkEnd w:id="26"/>
    <w:bookmarkStart w:id="27" w:name="exp-4-bricks-1"/>
    <w:p>
      <w:pPr>
        <w:pStyle w:val="Heading2"/>
      </w:pPr>
      <w:r>
        <w:t xml:space="preserve">Exp 4: Bricks</w:t>
      </w:r>
    </w:p>
    <w:p>
      <w:pPr>
        <w:pStyle w:val="FirstParagraph"/>
      </w:pPr>
      <w:r>
        <w:t xml:space="preserve">Kōura used both brick types, showing no significant preference between BrickConcrete and BrickWood (</w:t>
      </w:r>
      <w:r>
        <w:rPr>
          <w:i/>
          <w:iCs/>
        </w:rPr>
        <w:t xml:space="preserve">p</w:t>
      </w:r>
      <w:r>
        <w:t xml:space="preserve"> </w:t>
      </w:r>
      <w:r>
        <w:t xml:space="preserve">= 0.137;</w:t>
      </w:r>
      <w:r>
        <w:t xml:space="preserve"> </w:t>
      </w:r>
      <w:hyperlink w:anchor="fig-exp4-ms">
        <w:r>
          <w:rPr>
            <w:rStyle w:val="Hyperlink"/>
          </w:rPr>
          <w:t xml:space="preserve">Figure 5</w:t>
        </w:r>
      </w:hyperlink>
      <w:r>
        <w:t xml:space="preserve">), with mean group proportions of 47% and 53% respectively. Neither brick type differed significantly from equal distribution (</w:t>
      </w:r>
      <w:r>
        <w:rPr>
          <w:i/>
          <w:iCs/>
        </w:rPr>
        <w:t xml:space="preserve">p</w:t>
      </w:r>
      <w:r>
        <w:t xml:space="preserve"> </w:t>
      </w:r>
      <w:r>
        <w:t xml:space="preserve">= 0.273). 9% of kōura were found at TankWall, which is higher than in any previous experiment. Sex had no credible effect on preference between brick types (β = -0.18, 95% CI: -1.24 to 0.84; posterior probability = 0.65), indicating that concrete and wooden perforated brick structures of identical dimensions were both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Across four experiments, refuge configuration and structural stability consistently predicted kōura habitat selection more strongly than material composition alone. Experiment 4 showed that when kōura were presented with similar refuge sizes in BrickConcrete and BrickWood no preference for material was detected. In experiment 3 FlatStone and WoodSplit were tested against each other and showed a difference in structure preference likely due to the stability of the stones compared to the wooden splits. The splits sank but created less structurally stable refuge places in the sandy substrate than the FlatStone structures [O.V. Raven, pers. obs.]. Experiment 2 showed that when a group of kōura was presented with multiple structure types, the structures that provided the most crevice complexity drove group-level preference. This was the case for FlatStone followed by StonePile for harbouring the most kōura. In experiment 1 the preference was different as individual kōura preferred WoodLog as refuge, this was consistent with prediction 1, as single kōura probably searched the refuge that would give most protection</w:t>
      </w:r>
      <w:r>
        <w:t xml:space="preserve"> </w:t>
      </w:r>
      <w:r>
        <w:t xml:space="preserve">(Jurcak</w:t>
      </w:r>
      <w:r>
        <w:t xml:space="preserve"> </w:t>
      </w:r>
      <w:r>
        <w:rPr>
          <w:i/>
          <w:iCs/>
        </w:rPr>
        <w:t xml:space="preserve">et al.</w:t>
      </w:r>
      <w:r>
        <w:t xml:space="preserve">, 2016)</w:t>
      </w:r>
      <w:r>
        <w:t xml:space="preserve">, and the drilled holes in the WoodLog offered most protection similar to what has been found for perforated brick and PVC tube shelters under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L0 and L1 confirmed across all experiments that kōura actively relocated overnight rather than remaining at their initial location, supporting the interpretation that next-day locations reflect genuine refuge preference rather than chance displacement. The preference shift from WoodLog in single to stone structures in group experiments was unexpected. It might be explained by size mismatch between fixed hole dimensions and the range of body sizes present in each group, while the large surface area of FlatStone allowed multiple individuals to shelter simultaneously and reduce competitive displacement. Learning across rounds may also have contributed, as WoodLog was most selected structure in round 1 of experiment 2 (17 out of 36 times) but not in subsequent rounds, suggesting kōura may have shifted preference after initial exploration [</w:t>
      </w:r>
      <w:r>
        <w:t xml:space="preserve">]. This learning was possible as the groups of kōura in experiment 2 were reused all five rounds, while the single kōura in experiment 1 were only used once. The reuse of groups across rounds was necessary given the limited availability of kōura and ethical constraints on collection numbers. The number of independent groups was low across experiments (six in experiments 2 and 3, four in experiment 4), constraining the statistical power for detecting group-level effects [</w:t>
      </w:r>
      <w:r>
        <w:t xml:space="preserve">]. Despite these constraints, consistent patterns in size-dependent preference were evident across experiments.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FlatStone over WoodSplit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in line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FlatStone while large kōura distributed more evenly between FlatStone and StonePile, suggesting that FlatStone’s large continuous surface area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The present study demonstrates that structural configuration drives refuge preference more strongly than material composition, with stone-based configurations preferred by groups and no preference detected between materials when dimensions were equal. These findings suggest that stone-based habitat enhancement structures warrant field evaluation in lake conditions, given their structural complexity and crevice diversity across size classes. 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For in-lake deployment, existing habitat surveys suggest that kōura are associated with coarser substrate</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FlatStones and StonePile both provided shelter spaces across size classes, but for in-lake deployment stone pile structures are the preferred candidates for field evaluation as due to their elevated structure, stone piles are less likely to be buried into soft substrates than flat configurations</w:t>
      </w:r>
      <w:r>
        <w:t xml:space="preserve"> </w:t>
      </w:r>
      <w:r>
        <w:t xml:space="preserve">(Garron</w:t>
      </w:r>
      <w:r>
        <w:t xml:space="preserve"> </w:t>
      </w:r>
      <w:r>
        <w:rPr>
          <w:i/>
          <w:iCs/>
        </w:rPr>
        <w:t xml:space="preserve">et al.</w:t>
      </w:r>
      <w:r>
        <w:t xml:space="preserve">, 2024)</w:t>
      </w:r>
      <w:r>
        <w:t xml:space="preserve">. With the threat from invasive predatory fish, like catfish preying on kōura</w:t>
      </w:r>
      <w:r>
        <w:t xml:space="preserve"> </w:t>
      </w:r>
      <w:r>
        <w:t xml:space="preserve">(Kusabs</w:t>
      </w:r>
      <w:r>
        <w:t xml:space="preserve"> </w:t>
      </w:r>
      <w:r>
        <w:rPr>
          <w:i/>
          <w:iCs/>
        </w:rPr>
        <w:t xml:space="preserve">et al.</w:t>
      </w:r>
      <w:r>
        <w:t xml:space="preserve">, 2026)</w:t>
      </w:r>
      <w:r>
        <w:t xml:space="preserve">, enhancing habitat complexity which provides enclosed crevices can be important for kōura as refuge availability directly influences predation survival</w:t>
      </w:r>
      <w:r>
        <w:t xml:space="preserve"> </w:t>
      </w:r>
      <w:r>
        <w:t xml:space="preserve">(Adams, 2007; Zhao</w:t>
      </w:r>
      <w:r>
        <w:t xml:space="preserve"> </w:t>
      </w:r>
      <w:r>
        <w:rPr>
          <w:i/>
          <w:iCs/>
        </w:rPr>
        <w:t xml:space="preserve">et al.</w:t>
      </w:r>
      <w:r>
        <w:t xml:space="preserve">, 2024)</w:t>
      </w:r>
      <w:r>
        <w:t xml:space="preserve">. While these mesocosm findings provide clear design guidance,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fundamentally changes what makes a shelter valuable. Size-dependent preferences further suggest that structures accommodating multiple body sizes simultaneously benefit whole populations rather than only dominant individuals. Stone-based structures using locally sourced materials are the most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2"/>
    <w:bookmarkEnd w:id="33"/>
    <w:bookmarkStart w:id="39"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4"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w:t>
      </w:r>
    </w:p>
    <w:bookmarkEnd w:id="34"/>
    <w:bookmarkStart w:id="35"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5"/>
    <w:bookmarkStart w:id="36"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6"/>
    <w:bookmarkStart w:id="37" w:name="declarations"/>
    <w:p>
      <w:pPr>
        <w:pStyle w:val="Heading2"/>
      </w:pPr>
      <w:r>
        <w:t xml:space="preserve">Declarations</w:t>
      </w:r>
    </w:p>
    <w:p>
      <w:pPr>
        <w:pStyle w:val="FirstParagraph"/>
      </w:pPr>
      <w:r>
        <w:t xml:space="preserve">The corresponding author has declared that none of the authors has any competing interests.</w:t>
      </w:r>
    </w:p>
    <w:bookmarkEnd w:id="37"/>
    <w:bookmarkStart w:id="38"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38"/>
    <w:bookmarkEnd w:id="39"/>
    <w:bookmarkStart w:id="14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exp-setup"/>
          <w:p>
            <w:pPr>
              <w:pStyle w:val="Compact"/>
              <w:jc w:val="center"/>
            </w:pPr>
            <w:r>
              <w:drawing>
                <wp:inline>
                  <wp:extent cx="5727700" cy="4293634"/>
                  <wp:effectExtent b="0" l="0" r="0" t="0"/>
                  <wp:docPr descr="" title="" id="41" name="Picture"/>
                  <a:graphic>
                    <a:graphicData uri="http://schemas.openxmlformats.org/drawingml/2006/picture">
                      <pic:pic>
                        <pic:nvPicPr>
                          <pic:cNvPr descr="images/Setup_exp_tanks.png" id="42" name="Picture"/>
                          <pic:cNvPicPr>
                            <a:picLocks noChangeArrowheads="1" noChangeAspect="1"/>
                          </pic:cNvPicPr>
                        </pic:nvPicPr>
                        <pic:blipFill>
                          <a:blip r:embed="rId40"/>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(Single kōura) and Experiment 2 (Group kōura):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(Bricks): BrickConcrete (perforated concrete bricks) and BrickWood (wooden bricks of identical dimensions) placed in opposing quadrants of the tank.</w:t>
            </w:r>
          </w:p>
          <w:bookmarkEnd w:id="43"/>
        </w:tc>
      </w:tr>
    </w:tbl>
    <w:bookmarkStart w:id="49" w:name="cell-fig-exp1-ms"/>
    <w:tbl>
      <w:tblPr>
        <w:tblStyle w:val="Table"/>
        <w:tblW w:type="pct" w:w="5000"/>
        <w:tblLayout w:type="fixed"/>
        <w:tblLook w:firstRow="0" w:lastRow="0" w:firstColumn="0" w:lastColumn="0" w:noHBand="0" w:noVBand="0" w:val="0000"/>
      </w:tblPr>
      <w:tblGrid>
        <w:gridCol w:w="7920"/>
      </w:tblGrid>
      <w:tr>
        <w:tc>
          <w:tcPr/>
          <w:bookmarkStart w:id="47" w:name="fig-exp1-ms"/>
          <w:p>
            <w:pPr>
              <w:pStyle w:val="Compact"/>
              <w:jc w:val="center"/>
            </w:pPr>
            <w:r>
              <w:drawing>
                <wp:inline>
                  <wp:extent cx="4587290" cy="3669832"/>
                  <wp:effectExtent b="0" l="0" r="0" t="0"/>
                  <wp:docPr descr="" title="" id="45" name="Picture"/>
                  <a:graphic>
                    <a:graphicData uri="http://schemas.openxmlformats.org/drawingml/2006/picture">
                      <pic:pic>
                        <pic:nvPicPr>
                          <pic:cNvPr descr="outputs/fig-exp1.png" id="46"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at final observation (L1), shown separately for female and male kōura. Bars show observed proportions with sample sizes (n) shown in white. Letters above bars indicate significant pairwise differences (G-test, Bonferroni adjusted).</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49"/>
    <w:bookmarkStart w:id="54" w:name="cell-fig-exp2-ms"/>
    <w:tbl>
      <w:tblPr>
        <w:tblStyle w:val="Table"/>
        <w:tblW w:type="pct" w:w="5000"/>
        <w:tblLayout w:type="fixed"/>
        <w:tblLook w:firstRow="0" w:lastRow="0" w:firstColumn="0" w:lastColumn="0" w:noHBand="0" w:noVBand="0" w:val="0000"/>
      </w:tblPr>
      <w:tblGrid>
        <w:gridCol w:w="7920"/>
      </w:tblGrid>
      <w:tr>
        <w:tc>
          <w:tcPr/>
          <w:bookmarkStart w:id="53" w:name="fig-exp2-ms"/>
          <w:p>
            <w:pPr>
              <w:pStyle w:val="Compact"/>
              <w:jc w:val="center"/>
            </w:pPr>
            <w:r>
              <w:drawing>
                <wp:inline>
                  <wp:extent cx="5727700" cy="2863850"/>
                  <wp:effectExtent b="0" l="0" r="0" t="0"/>
                  <wp:docPr descr="" title="" id="51" name="Picture"/>
                  <a:graphic>
                    <a:graphicData uri="http://schemas.openxmlformats.org/drawingml/2006/picture">
                      <pic:pic>
                        <pic:nvPicPr>
                          <pic:cNvPr descr="outputs/fig-exp2.png" id="52" name="Picture"/>
                          <pic:cNvPicPr>
                            <a:picLocks noChangeArrowheads="1" noChangeAspect="1"/>
                          </pic:cNvPicPr>
                        </pic:nvPicPr>
                        <pic:blipFill>
                          <a:blip r:embed="rId5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credible intervals.</w:t>
            </w:r>
          </w:p>
          <w:bookmarkEnd w:id="5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4"/>
    <w:bookmarkStart w:id="59" w:name="cell-fig-exp3-ms"/>
    <w:tbl>
      <w:tblPr>
        <w:tblStyle w:val="Table"/>
        <w:tblW w:type="pct" w:w="5000"/>
        <w:tblLayout w:type="fixed"/>
        <w:tblLook w:firstRow="0" w:lastRow="0" w:firstColumn="0" w:lastColumn="0" w:noHBand="0" w:noVBand="0" w:val="0000"/>
      </w:tblPr>
      <w:tblGrid>
        <w:gridCol w:w="7920"/>
      </w:tblGrid>
      <w:tr>
        <w:tc>
          <w:tcPr/>
          <w:bookmarkStart w:id="58" w:name="fig-exp3-ms"/>
          <w:p>
            <w:pPr>
              <w:pStyle w:val="Compact"/>
              <w:jc w:val="center"/>
            </w:pPr>
            <w:r>
              <w:drawing>
                <wp:inline>
                  <wp:extent cx="5727700" cy="2863850"/>
                  <wp:effectExtent b="0" l="0" r="0" t="0"/>
                  <wp:docPr descr="" title="" id="56" name="Picture"/>
                  <a:graphic>
                    <a:graphicData uri="http://schemas.openxmlformats.org/drawingml/2006/picture">
                      <pic:pic>
                        <pic:nvPicPr>
                          <pic:cNvPr descr="outputs/fig-exp3.png" id="57" name="Picture"/>
                          <pic:cNvPicPr>
                            <a:picLocks noChangeArrowheads="1" noChangeAspect="1"/>
                          </pic:cNvPicPr>
                        </pic:nvPicPr>
                        <pic:blipFill>
                          <a:blip r:embed="rId55"/>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L1 across all groups and rounds. The dashed line indicates the null expectation of equal distribution (0.5). Significance symbols as in Figure 3. (B) Posterior predicted probability of structure type use by size class from Bayesian categorical mixed model, with 95% credible intervals. TankWall excluded from model predictions.</w:t>
            </w:r>
          </w:p>
          <w:bookmarkEnd w:id="58"/>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9"/>
    <w:bookmarkStart w:id="64" w:name="cell-fig-exp4-ms"/>
    <w:tbl>
      <w:tblPr>
        <w:tblStyle w:val="Table"/>
        <w:tblW w:type="pct" w:w="5000"/>
        <w:tblLayout w:type="fixed"/>
        <w:tblLook w:firstRow="0" w:lastRow="0" w:firstColumn="0" w:lastColumn="0" w:noHBand="0" w:noVBand="0" w:val="0000"/>
      </w:tblPr>
      <w:tblGrid>
        <w:gridCol w:w="7920"/>
      </w:tblGrid>
      <w:tr>
        <w:tc>
          <w:tcPr/>
          <w:bookmarkStart w:id="63" w:name="fig-exp4-ms"/>
          <w:p>
            <w:pPr>
              <w:pStyle w:val="Compact"/>
              <w:jc w:val="center"/>
            </w:pPr>
            <w:r>
              <w:drawing>
                <wp:inline>
                  <wp:extent cx="5727700" cy="2863850"/>
                  <wp:effectExtent b="0" l="0" r="0" t="0"/>
                  <wp:docPr descr="" title="" id="61" name="Picture"/>
                  <a:graphic>
                    <a:graphicData uri="http://schemas.openxmlformats.org/drawingml/2006/picture">
                      <pic:pic>
                        <pic:nvPicPr>
                          <pic:cNvPr descr="outputs/fig-exp4.png" id="62" name="Picture"/>
                          <pic:cNvPicPr>
                            <a:picLocks noChangeArrowheads="1" noChangeAspect="1"/>
                          </pic:cNvPicPr>
                        </pic:nvPicPr>
                        <pic:blipFill>
                          <a:blip r:embed="rId6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Brick material preference (Experiment 4). (A) Proportion of kōura found at each structure type at L1 across all groups and rounds. The dashed line indicates the null expectation of equal distribution (0.5). (B) Posterior predicted probability of structure type use by sex from Bayesian categorical mixed model, with 95% credible intervals. TankWall excluded from model predictions.</w:t>
            </w:r>
          </w:p>
          <w:bookmarkEnd w:id="6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64"/>
    <w:bookmarkStart w:id="145" w:name="refs"/>
    <w:bookmarkStart w:id="66" w:name="ref-Adams2007"/>
    <w:p>
      <w:pPr>
        <w:pStyle w:val="Bibliography"/>
      </w:pPr>
      <w:r>
        <w:t xml:space="preserve">Adams SB. 2007.</w:t>
      </w:r>
      <w:r>
        <w:t xml:space="preserve"> </w:t>
      </w:r>
      <w:hyperlink r:id="rId65">
        <w:r>
          <w:rPr>
            <w:rStyle w:val="Hyperlink"/>
          </w:rPr>
          <w:t xml:space="preserve">Direct and indirect effects of channel catfish (ictalurus punctatus) on native crayfishes (cambaridae) in experimental tanks</w:t>
        </w:r>
      </w:hyperlink>
      <w:r>
        <w:t xml:space="preserve">.</w:t>
      </w:r>
      <w:r>
        <w:t xml:space="preserve"> </w:t>
      </w:r>
      <w:r>
        <w:rPr>
          <w:i/>
          <w:iCs/>
        </w:rPr>
        <w:t xml:space="preserve">The American Midland Naturalist</w:t>
      </w:r>
      <w:r>
        <w:t xml:space="preserve"> </w:t>
      </w:r>
      <w:r>
        <w:rPr>
          <w:b/>
          <w:bCs/>
        </w:rPr>
        <w:t xml:space="preserve">158</w:t>
      </w:r>
      <w:r>
        <w:t xml:space="preserve">: 85--96.</w:t>
      </w:r>
    </w:p>
    <w:bookmarkEnd w:id="66"/>
    <w:bookmarkStart w:id="68" w:name="ref-Adams2014"/>
    <w:p>
      <w:pPr>
        <w:pStyle w:val="Bibliography"/>
      </w:pPr>
      <w:r>
        <w:t xml:space="preserve">Adams SB. 2014.</w:t>
      </w:r>
      <w:r>
        <w:t xml:space="preserve"> </w:t>
      </w:r>
      <w:hyperlink r:id="rId67">
        <w:r>
          <w:rPr>
            <w:rStyle w:val="Hyperlink"/>
          </w:rPr>
          <w:t xml:space="preserve">Crayfish use of trash versus natural cover in incised, sand-bed streams</w:t>
        </w:r>
      </w:hyperlink>
      <w:r>
        <w:t xml:space="preserve">.</w:t>
      </w:r>
      <w:r>
        <w:t xml:space="preserve"> </w:t>
      </w:r>
      <w:r>
        <w:rPr>
          <w:i/>
          <w:iCs/>
        </w:rPr>
        <w:t xml:space="preserve">Environmental Management</w:t>
      </w:r>
      <w:r>
        <w:t xml:space="preserve"> </w:t>
      </w:r>
      <w:r>
        <w:rPr>
          <w:b/>
          <w:bCs/>
        </w:rPr>
        <w:t xml:space="preserve">53</w:t>
      </w:r>
      <w:r>
        <w:t xml:space="preserve">: 382--392.</w:t>
      </w:r>
    </w:p>
    <w:bookmarkEnd w:id="68"/>
    <w:bookmarkStart w:id="70" w:name="ref-Burkner2025"/>
    <w:p>
      <w:pPr>
        <w:pStyle w:val="Bibliography"/>
      </w:pPr>
      <w:r>
        <w:t xml:space="preserve">Bürkner P-C, Gabry J, Weber S, Johnson A. 2025.</w:t>
      </w:r>
      <w:r>
        <w:t xml:space="preserve"> </w:t>
      </w:r>
      <w:hyperlink r:id="rId69">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0"/>
    <w:bookmarkStart w:id="72" w:name="ref-Clapcott2018"/>
    <w:p>
      <w:pPr>
        <w:pStyle w:val="Bibliography"/>
      </w:pPr>
      <w:r>
        <w:t xml:space="preserve">Clapcott J, Ataria J, Hepburn C, Hikuroa D, Jackson A, Kirikiri R, Williams E. 2018.</w:t>
      </w:r>
      <w:r>
        <w:t xml:space="preserve"> </w:t>
      </w:r>
      <w:hyperlink r:id="rId71">
        <w:r>
          <w:rPr>
            <w:rStyle w:val="Hyperlink"/>
          </w:rPr>
          <w:t xml:space="preserve">Mātauranga māori: Shaping marine and freshwater futures</w:t>
        </w:r>
      </w:hyperlink>
      <w:r>
        <w:t xml:space="preserve">.</w:t>
      </w:r>
      <w:r>
        <w:t xml:space="preserve"> </w:t>
      </w:r>
      <w:r>
        <w:rPr>
          <w:i/>
          <w:iCs/>
        </w:rPr>
        <w:t xml:space="preserve">New Zealand Journal of Marine and Freshwater Research</w:t>
      </w:r>
      <w:r>
        <w:t xml:space="preserve"> </w:t>
      </w:r>
      <w:r>
        <w:rPr>
          <w:b/>
          <w:bCs/>
        </w:rPr>
        <w:t xml:space="preserve">52</w:t>
      </w:r>
      <w:r>
        <w:t xml:space="preserve">: 457--466.</w:t>
      </w:r>
    </w:p>
    <w:bookmarkEnd w:id="72"/>
    <w:bookmarkStart w:id="73"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73"/>
    <w:bookmarkStart w:id="75" w:name="ref-Cooke2023"/>
    <w:p>
      <w:pPr>
        <w:pStyle w:val="Bibliography"/>
      </w:pPr>
      <w:r>
        <w:t xml:space="preserve">Cooke SJ, Piczak ML, Vermaire JC, Kirkwood AE. 2023.</w:t>
      </w:r>
      <w:r>
        <w:t xml:space="preserve"> </w:t>
      </w:r>
      <w:hyperlink r:id="rId74">
        <w:r>
          <w:rPr>
            <w:rStyle w:val="Hyperlink"/>
          </w:rPr>
          <w:t xml:space="preserve">On the troubling use of plastic</w:t>
        </w:r>
        <w:r>
          <w:rPr>
            <w:rStyle w:val="Hyperlink"/>
          </w:rPr>
          <w:t xml:space="preserve"> </w:t>
        </w:r>
        <w:r>
          <w:rPr>
            <w:rStyle w:val="Hyperlink"/>
          </w:rPr>
          <w:t xml:space="preserve">‘habitat’</w:t>
        </w:r>
        <w:r>
          <w:rPr>
            <w:rStyle w:val="Hyperlink"/>
          </w:rPr>
          <w:t xml:space="preserve"> </w:t>
        </w:r>
        <w:r>
          <w:rPr>
            <w:rStyle w:val="Hyperlink"/>
          </w:rPr>
          <w:t xml:space="preserve">structures for fish in freshwater ecosystems – or – when restoration is just littering</w:t>
        </w:r>
      </w:hyperlink>
      <w:r>
        <w:t xml:space="preserve"> </w:t>
      </w:r>
      <w:r>
        <w:t xml:space="preserve">(D Lesbarrères, Ed).</w:t>
      </w:r>
      <w:r>
        <w:t xml:space="preserve"> </w:t>
      </w:r>
      <w:r>
        <w:rPr>
          <w:i/>
          <w:iCs/>
        </w:rPr>
        <w:t xml:space="preserve">FACETS</w:t>
      </w:r>
      <w:r>
        <w:t xml:space="preserve"> </w:t>
      </w:r>
      <w:r>
        <w:rPr>
          <w:b/>
          <w:bCs/>
        </w:rPr>
        <w:t xml:space="preserve">8</w:t>
      </w:r>
      <w:r>
        <w:t xml:space="preserve">: 1--19.</w:t>
      </w:r>
    </w:p>
    <w:bookmarkEnd w:id="75"/>
    <w:bookmarkStart w:id="77" w:name="ref-Dickson2023"/>
    <w:p>
      <w:pPr>
        <w:pStyle w:val="Bibliography"/>
      </w:pPr>
      <w:r>
        <w:t xml:space="preserve">Dickson J, Franken O, Watson MS, Monnich B, Holthuijsen S, Eriksson BK, Govers LL, Heide T van der, Bouma TJ. 2023.</w:t>
      </w:r>
      <w:r>
        <w:t xml:space="preserve"> </w:t>
      </w:r>
      <w:hyperlink r:id="rId76">
        <w:r>
          <w:rPr>
            <w:rStyle w:val="Hyperlink"/>
          </w:rPr>
          <w:t xml:space="preserve">Who lives in a pear tree under the sea? A first look at tree reefs as a complex natural biodegradable structure to enhance biodiversity in marine systems</w:t>
        </w:r>
      </w:hyperlink>
      <w:r>
        <w:t xml:space="preserve">.</w:t>
      </w:r>
      <w:r>
        <w:t xml:space="preserve"> </w:t>
      </w:r>
      <w:r>
        <w:rPr>
          <w:i/>
          <w:iCs/>
        </w:rPr>
        <w:t xml:space="preserve">Frontiers in Marine Science</w:t>
      </w:r>
      <w:r>
        <w:t xml:space="preserve"> </w:t>
      </w:r>
      <w:r>
        <w:rPr>
          <w:b/>
          <w:bCs/>
        </w:rPr>
        <w:t xml:space="preserve">10</w:t>
      </w:r>
      <w:r>
        <w:t xml:space="preserve">: 1213790.</w:t>
      </w:r>
    </w:p>
    <w:bookmarkEnd w:id="77"/>
    <w:bookmarkStart w:id="79" w:name="ref-Engels2014"/>
    <w:p>
      <w:pPr>
        <w:pStyle w:val="Bibliography"/>
      </w:pPr>
      <w:r>
        <w:t xml:space="preserve">Engels B. 2014.</w:t>
      </w:r>
      <w:r>
        <w:t xml:space="preserve"> </w:t>
      </w:r>
      <w:hyperlink r:id="rId78">
        <w:r>
          <w:rPr>
            <w:rStyle w:val="Hyperlink"/>
          </w:rPr>
          <w:t xml:space="preserve">XNomial: Exact goodness-of-fit test for multinomial data with fixed probabilities</w:t>
        </w:r>
      </w:hyperlink>
      <w:r>
        <w:t xml:space="preserve">.</w:t>
      </w:r>
      <w:r>
        <w:t xml:space="preserve"> </w:t>
      </w:r>
      <w:r>
        <w:rPr>
          <w:i/>
          <w:iCs/>
        </w:rPr>
        <w:t xml:space="preserve">CRAN: Contributed Packages</w:t>
      </w:r>
      <w:r>
        <w:t xml:space="preserve">.</w:t>
      </w:r>
    </w:p>
    <w:bookmarkEnd w:id="79"/>
    <w:bookmarkStart w:id="81" w:name="ref-Figler2005"/>
    <w:p>
      <w:pPr>
        <w:pStyle w:val="Bibliography"/>
      </w:pPr>
      <w:r>
        <w:t xml:space="preserve">Figler MH, Blank GS, Peeke HVS. 2005.</w:t>
      </w:r>
      <w:r>
        <w:t xml:space="preserve"> </w:t>
      </w:r>
      <w:hyperlink r:id="rId80">
        <w:r>
          <w:rPr>
            <w:rStyle w:val="Hyperlink"/>
          </w:rPr>
          <w:t xml:space="preserve">Shelter competition between resident male red swamp crayfish</w:t>
        </w:r>
        <w:r>
          <w:rPr>
            <w:rStyle w:val="Hyperlink"/>
          </w:rPr>
          <w:t xml:space="preserve"> </w:t>
        </w:r>
        <w:r>
          <w:rPr>
            <w:rStyle w:val="Hyperlink"/>
            <w:i/>
            <w:iCs/>
          </w:rPr>
          <w:t xml:space="preserve">Procambarus clarkii</w:t>
        </w:r>
        <w:r>
          <w:rPr>
            <w:rStyle w:val="Hyperlink"/>
          </w:rPr>
          <w:t xml:space="preserve"> </w:t>
        </w:r>
        <w:r>
          <w:rPr>
            <w:rStyle w:val="Hyperlink"/>
          </w:rPr>
          <w:t xml:space="preserve">(girard) and conspecific intruders varying by sex and reproductive status</w:t>
        </w:r>
      </w:hyperlink>
      <w:r>
        <w:t xml:space="preserve">.</w:t>
      </w:r>
      <w:r>
        <w:t xml:space="preserve"> </w:t>
      </w:r>
      <w:r>
        <w:rPr>
          <w:i/>
          <w:iCs/>
        </w:rPr>
        <w:t xml:space="preserve">Marine and Freshwater Behaviour and Physiology</w:t>
      </w:r>
      <w:r>
        <w:t xml:space="preserve"> </w:t>
      </w:r>
      <w:r>
        <w:rPr>
          <w:b/>
          <w:bCs/>
        </w:rPr>
        <w:t xml:space="preserve">38</w:t>
      </w:r>
      <w:r>
        <w:t xml:space="preserve">: 237--248.</w:t>
      </w:r>
    </w:p>
    <w:bookmarkEnd w:id="81"/>
    <w:bookmarkStart w:id="83" w:name="ref-Figler1999"/>
    <w:p>
      <w:pPr>
        <w:pStyle w:val="Bibliography"/>
      </w:pPr>
      <w:r>
        <w:t xml:space="preserve">Figler MH, Cheverton HM, Blank GS. 1999.</w:t>
      </w:r>
      <w:r>
        <w:t xml:space="preserve"> </w:t>
      </w:r>
      <w:hyperlink r:id="rId82">
        <w:r>
          <w:rPr>
            <w:rStyle w:val="Hyperlink"/>
          </w:rPr>
          <w:t xml:space="preserve">Shelter competition in juvenile red swamp crayfish (procambarus clarkii): The influences of sex differences, relative size, and prior residence</w:t>
        </w:r>
      </w:hyperlink>
      <w:r>
        <w:t xml:space="preserve">.</w:t>
      </w:r>
      <w:r>
        <w:t xml:space="preserve"> </w:t>
      </w:r>
      <w:r>
        <w:rPr>
          <w:i/>
          <w:iCs/>
        </w:rPr>
        <w:t xml:space="preserve">Aquaculture</w:t>
      </w:r>
      <w:r>
        <w:t xml:space="preserve"> </w:t>
      </w:r>
      <w:r>
        <w:rPr>
          <w:b/>
          <w:bCs/>
        </w:rPr>
        <w:t xml:space="preserve">178</w:t>
      </w:r>
      <w:r>
        <w:t xml:space="preserve">: 63--75.</w:t>
      </w:r>
    </w:p>
    <w:bookmarkEnd w:id="83"/>
    <w:bookmarkStart w:id="85" w:name="ref-Garron2024"/>
    <w:p>
      <w:pPr>
        <w:pStyle w:val="Bibliography"/>
      </w:pPr>
      <w:r>
        <w:t xml:space="preserve">Garron C, Pangaud A, Taubaty M, Rolan‐Meynard M, Argillier C, Raymond J, Dublon J, Westrelin S. 2024.</w:t>
      </w:r>
      <w:r>
        <w:t xml:space="preserve"> </w:t>
      </w:r>
      <w:hyperlink r:id="rId84">
        <w:r>
          <w:rPr>
            <w:rStyle w:val="Hyperlink"/>
          </w:rPr>
          <w:t xml:space="preserve">Towards the development of a standardized method to monitor lakeshore hydromorphological restoration measures</w:t>
        </w:r>
      </w:hyperlink>
      <w:r>
        <w:t xml:space="preserve">.</w:t>
      </w:r>
      <w:r>
        <w:t xml:space="preserve"> </w:t>
      </w:r>
      <w:r>
        <w:rPr>
          <w:i/>
          <w:iCs/>
        </w:rPr>
        <w:t xml:space="preserve">Aquatic Conservation: Marine and Freshwater Ecosystems</w:t>
      </w:r>
      <w:r>
        <w:t xml:space="preserve"> </w:t>
      </w:r>
      <w:r>
        <w:rPr>
          <w:b/>
          <w:bCs/>
        </w:rPr>
        <w:t xml:space="preserve">34</w:t>
      </w:r>
      <w:r>
        <w:t xml:space="preserve">.</w:t>
      </w:r>
    </w:p>
    <w:bookmarkEnd w:id="85"/>
    <w:bookmarkStart w:id="87" w:name="ref-Gelman1992"/>
    <w:p>
      <w:pPr>
        <w:pStyle w:val="Bibliography"/>
      </w:pPr>
      <w:r>
        <w:t xml:space="preserve">Gelman A, Rubin DB. 1992.</w:t>
      </w:r>
      <w:r>
        <w:t xml:space="preserve"> </w:t>
      </w:r>
      <w:hyperlink r:id="rId86">
        <w:r>
          <w:rPr>
            <w:rStyle w:val="Hyperlink"/>
          </w:rPr>
          <w:t xml:space="preserve">Inference from iterative simulation using multiple sequences</w:t>
        </w:r>
      </w:hyperlink>
      <w:r>
        <w:t xml:space="preserve">.</w:t>
      </w:r>
      <w:r>
        <w:t xml:space="preserve"> </w:t>
      </w:r>
      <w:r>
        <w:rPr>
          <w:i/>
          <w:iCs/>
        </w:rPr>
        <w:t xml:space="preserve">Statistical Science</w:t>
      </w:r>
      <w:r>
        <w:t xml:space="preserve"> </w:t>
      </w:r>
      <w:r>
        <w:rPr>
          <w:b/>
          <w:bCs/>
        </w:rPr>
        <w:t xml:space="preserve">7</w:t>
      </w:r>
      <w:r>
        <w:t xml:space="preserve">: 457–472.</w:t>
      </w:r>
    </w:p>
    <w:bookmarkEnd w:id="87"/>
    <w:bookmarkStart w:id="89" w:name="ref-Hammond2006"/>
    <w:p>
      <w:pPr>
        <w:pStyle w:val="Bibliography"/>
      </w:pPr>
      <w:r>
        <w:t xml:space="preserve">Hammond KS, Hollows JW, Townsend CR, Lokman PM. 2006.</w:t>
      </w:r>
      <w:r>
        <w:t xml:space="preserve"> </w:t>
      </w:r>
      <w:hyperlink r:id="rId88">
        <w:r>
          <w:rPr>
            <w:rStyle w:val="Hyperlink"/>
          </w:rPr>
          <w:t xml:space="preserve">Effects of temperature and water calcium concentration on growth, survival and moulting of freshwater crayfish, paranephrops zealandicus</w:t>
        </w:r>
      </w:hyperlink>
      <w:r>
        <w:t xml:space="preserve">.</w:t>
      </w:r>
      <w:r>
        <w:t xml:space="preserve"> </w:t>
      </w:r>
      <w:r>
        <w:rPr>
          <w:i/>
          <w:iCs/>
        </w:rPr>
        <w:t xml:space="preserve">Aquaculture</w:t>
      </w:r>
      <w:r>
        <w:t xml:space="preserve"> </w:t>
      </w:r>
      <w:r>
        <w:rPr>
          <w:b/>
          <w:bCs/>
        </w:rPr>
        <w:t xml:space="preserve">251</w:t>
      </w:r>
      <w:r>
        <w:t xml:space="preserve">: 271--279.</w:t>
      </w:r>
    </w:p>
    <w:bookmarkEnd w:id="89"/>
    <w:bookmarkStart w:id="91" w:name="ref-Huolila1997"/>
    <w:p>
      <w:pPr>
        <w:pStyle w:val="Bibliography"/>
      </w:pPr>
      <w:r>
        <w:t xml:space="preserve">Huolila M, Marjomäki TJ, Laukkanen E. 1997.</w:t>
      </w:r>
      <w:r>
        <w:t xml:space="preserve"> </w:t>
      </w:r>
      <w:hyperlink r:id="rId90">
        <w:r>
          <w:rPr>
            <w:rStyle w:val="Hyperlink"/>
          </w:rPr>
          <w:t xml:space="preserve">The success of crayfish stocking in a dredged river with and without artificial shelter increase</w:t>
        </w:r>
      </w:hyperlink>
      <w:r>
        <w:t xml:space="preserve">.</w:t>
      </w:r>
      <w:r>
        <w:t xml:space="preserve"> </w:t>
      </w:r>
      <w:r>
        <w:rPr>
          <w:i/>
          <w:iCs/>
        </w:rPr>
        <w:t xml:space="preserve">Fisheries Research</w:t>
      </w:r>
      <w:r>
        <w:t xml:space="preserve"> </w:t>
      </w:r>
      <w:r>
        <w:rPr>
          <w:b/>
          <w:bCs/>
        </w:rPr>
        <w:t xml:space="preserve">32</w:t>
      </w:r>
      <w:r>
        <w:t xml:space="preserve">: 185--189.</w:t>
      </w:r>
    </w:p>
    <w:bookmarkEnd w:id="91"/>
    <w:bookmarkStart w:id="93" w:name="ref-Hylkema2020"/>
    <w:p>
      <w:pPr>
        <w:pStyle w:val="Bibliography"/>
      </w:pPr>
      <w:r>
        <w:t xml:space="preserve">Hylkema A, Debrot AO, Osinga R, Bron PS, Heesink DB, Izioka AK, Reid CB, Rippen JC, Treibitz T, Yuval M, et al. 2020.</w:t>
      </w:r>
      <w:r>
        <w:t xml:space="preserve"> </w:t>
      </w:r>
      <w:hyperlink r:id="rId92">
        <w:r>
          <w:rPr>
            <w:rStyle w:val="Hyperlink"/>
          </w:rPr>
          <w:t xml:space="preserve">Fish assemblages of three common artificial reef designs during early colonization</w:t>
        </w:r>
      </w:hyperlink>
      <w:r>
        <w:t xml:space="preserve">.</w:t>
      </w:r>
      <w:r>
        <w:t xml:space="preserve"> </w:t>
      </w:r>
      <w:r>
        <w:rPr>
          <w:i/>
          <w:iCs/>
        </w:rPr>
        <w:t xml:space="preserve">Ecological Engineering</w:t>
      </w:r>
      <w:r>
        <w:t xml:space="preserve"> </w:t>
      </w:r>
      <w:r>
        <w:rPr>
          <w:b/>
          <w:bCs/>
        </w:rPr>
        <w:t xml:space="preserve">157</w:t>
      </w:r>
      <w:r>
        <w:t xml:space="preserve">: 105994.</w:t>
      </w:r>
    </w:p>
    <w:bookmarkEnd w:id="93"/>
    <w:bookmarkStart w:id="94"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94"/>
    <w:bookmarkStart w:id="96" w:name="ref-Jowett2008"/>
    <w:p>
      <w:pPr>
        <w:pStyle w:val="Bibliography"/>
      </w:pPr>
      <w:r>
        <w:t xml:space="preserve">Jowett IG, Parkyn SM, Richardson J. 2008.</w:t>
      </w:r>
      <w:r>
        <w:t xml:space="preserve"> </w:t>
      </w:r>
      <w:hyperlink r:id="rId95">
        <w:r>
          <w:rPr>
            <w:rStyle w:val="Hyperlink"/>
          </w:rPr>
          <w:t xml:space="preserve">Habitat characteristics of crayfish (paranephrops planifrons) in new zealand streams using generalised additive models (GAMs)</w:t>
        </w:r>
      </w:hyperlink>
      <w:r>
        <w:t xml:space="preserve">.</w:t>
      </w:r>
      <w:r>
        <w:t xml:space="preserve"> </w:t>
      </w:r>
      <w:r>
        <w:rPr>
          <w:i/>
          <w:iCs/>
        </w:rPr>
        <w:t xml:space="preserve">Hydrobiologia</w:t>
      </w:r>
      <w:r>
        <w:t xml:space="preserve"> </w:t>
      </w:r>
      <w:r>
        <w:rPr>
          <w:b/>
          <w:bCs/>
        </w:rPr>
        <w:t xml:space="preserve">596</w:t>
      </w:r>
      <w:r>
        <w:t xml:space="preserve">: 353--365.</w:t>
      </w:r>
    </w:p>
    <w:bookmarkEnd w:id="96"/>
    <w:bookmarkStart w:id="97"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97"/>
    <w:bookmarkStart w:id="99" w:name="ref-Kusabs2015a"/>
    <w:p>
      <w:pPr>
        <w:pStyle w:val="Bibliography"/>
      </w:pPr>
      <w:r>
        <w:t xml:space="preserve">Kusabs IA, Hicks BJ, Quinn JM, Hamilton DP. 2015a.</w:t>
      </w:r>
      <w:r>
        <w:t xml:space="preserve"> </w:t>
      </w:r>
      <w:hyperlink r:id="rId98">
        <w:r>
          <w:rPr>
            <w:rStyle w:val="Hyperlink"/>
          </w:rPr>
          <w:t xml:space="preserve">Sustainable management of freshwater crayfish (k</w:t>
        </w:r>
        <w:r>
          <w:rPr>
            <w:rStyle w:val="Hyperlink"/>
          </w:rPr>
          <w:t xml:space="preserve">ō</w:t>
        </w:r>
        <w:r>
          <w:rPr>
            <w:rStyle w:val="Hyperlink"/>
          </w:rPr>
          <w:t xml:space="preserve">ura,</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Te Arawa</w:t>
        </w:r>
        <w:r>
          <w:rPr>
            <w:rStyle w:val="Hyperlink"/>
          </w:rPr>
          <w:t xml:space="preserve"> </w:t>
        </w:r>
        <w:r>
          <w:rPr>
            <w:rStyle w:val="Hyperlink"/>
          </w:rPr>
          <w:t xml:space="preserve">(</w:t>
        </w:r>
        <w:r>
          <w:rPr>
            <w:rStyle w:val="Hyperlink"/>
          </w:rPr>
          <w:t xml:space="preserve">Rotorua</w:t>
        </w:r>
        <w:r>
          <w:rPr>
            <w:rStyle w:val="Hyperlink"/>
          </w:rPr>
          <w:t xml:space="preserve">) lakes,</w:t>
        </w:r>
        <w:r>
          <w:rPr>
            <w:rStyle w:val="Hyperlink"/>
          </w:rPr>
          <w:t xml:space="preserve"> </w:t>
        </w:r>
        <w:r>
          <w:rPr>
            <w:rStyle w:val="Hyperlink"/>
          </w:rPr>
          <w:t xml:space="preserve">North Island, New Zealand</w:t>
        </w:r>
      </w:hyperlink>
      <w:r>
        <w:t xml:space="preserve">.</w:t>
      </w:r>
      <w:r>
        <w:t xml:space="preserve"> </w:t>
      </w:r>
      <w:r>
        <w:rPr>
          <w:i/>
          <w:iCs/>
        </w:rPr>
        <w:t xml:space="preserve">Fisheries Research</w:t>
      </w:r>
      <w:r>
        <w:t xml:space="preserve"> </w:t>
      </w:r>
      <w:r>
        <w:rPr>
          <w:b/>
          <w:bCs/>
        </w:rPr>
        <w:t xml:space="preserve">168</w:t>
      </w:r>
      <w:r>
        <w:t xml:space="preserve">: 35–46.</w:t>
      </w:r>
    </w:p>
    <w:bookmarkEnd w:id="99"/>
    <w:bookmarkStart w:id="101" w:name="ref-Kusabs2026"/>
    <w:p>
      <w:pPr>
        <w:pStyle w:val="Bibliography"/>
      </w:pPr>
      <w:r>
        <w:t xml:space="preserve">Kusabs IAK, Duggan IC, Bruere AC, Scholes P, Te Kurapa TW, Grant TM, Burdon FJ. 2026.</w:t>
      </w:r>
      <w:r>
        <w:t xml:space="preserve"> </w:t>
      </w:r>
      <w:hyperlink r:id="rId100">
        <w:r>
          <w:rPr>
            <w:rStyle w:val="Hyperlink"/>
          </w:rPr>
          <w:t xml:space="preserve">Invasive catfish linked to the decline of freshwater crayfish in two aotearoa new zealand lakes</w:t>
        </w:r>
      </w:hyperlink>
      <w:r>
        <w:t xml:space="preserve">.</w:t>
      </w:r>
      <w:r>
        <w:t xml:space="preserve"> </w:t>
      </w:r>
      <w:r>
        <w:rPr>
          <w:i/>
          <w:iCs/>
        </w:rPr>
        <w:t xml:space="preserve">Biological Invasions</w:t>
      </w:r>
      <w:r>
        <w:t xml:space="preserve"> </w:t>
      </w:r>
      <w:r>
        <w:rPr>
          <w:b/>
          <w:bCs/>
        </w:rPr>
        <w:t xml:space="preserve">28</w:t>
      </w:r>
      <w:r>
        <w:t xml:space="preserve">.</w:t>
      </w:r>
    </w:p>
    <w:bookmarkEnd w:id="101"/>
    <w:bookmarkStart w:id="103" w:name="ref-Kusabs2009"/>
    <w:p>
      <w:pPr>
        <w:pStyle w:val="Bibliography"/>
      </w:pPr>
      <w:r>
        <w:t xml:space="preserve">Kusabs IA, Quinn JM. 2009.</w:t>
      </w:r>
      <w:r>
        <w:t xml:space="preserve"> </w:t>
      </w:r>
      <w:hyperlink r:id="rId102">
        <w:r>
          <w:rPr>
            <w:rStyle w:val="Hyperlink"/>
          </w:rPr>
          <w:t xml:space="preserve">Use of a traditional maori harvesting method, the tau kōura, for monitoring kōura (freshwater crayfish, paranephrops planifrons) in lake rotoiti, north island, new zealand</w:t>
        </w:r>
      </w:hyperlink>
      <w:r>
        <w:t xml:space="preserve">.</w:t>
      </w:r>
      <w:r>
        <w:t xml:space="preserve"> </w:t>
      </w:r>
      <w:r>
        <w:rPr>
          <w:i/>
          <w:iCs/>
        </w:rPr>
        <w:t xml:space="preserve">New Zealand Journal of Marine and Freshwater Research</w:t>
      </w:r>
      <w:r>
        <w:t xml:space="preserve"> </w:t>
      </w:r>
      <w:r>
        <w:rPr>
          <w:b/>
          <w:bCs/>
        </w:rPr>
        <w:t xml:space="preserve">43</w:t>
      </w:r>
      <w:r>
        <w:t xml:space="preserve">: 713–722.</w:t>
      </w:r>
    </w:p>
    <w:bookmarkEnd w:id="103"/>
    <w:bookmarkStart w:id="105" w:name="ref-Kusabs2015b"/>
    <w:p>
      <w:pPr>
        <w:pStyle w:val="Bibliography"/>
      </w:pPr>
      <w:r>
        <w:t xml:space="preserve">Kusabs IA, Quinn JM, Hamilton DP. 2015b.</w:t>
      </w:r>
      <w:r>
        <w:t xml:space="preserve"> </w:t>
      </w:r>
      <w:hyperlink r:id="rId104">
        <w:r>
          <w:rPr>
            <w:rStyle w:val="Hyperlink"/>
          </w:rPr>
          <w:t xml:space="preserve">Effects of benthic substrate, nutrient enrichment and predatory fish on freshwater crayfish (k</w:t>
        </w:r>
        <w:r>
          <w:rPr>
            <w:rStyle w:val="Hyperlink"/>
          </w:rPr>
          <w:t xml:space="preserve">ō</w:t>
        </w:r>
        <w:r>
          <w:rPr>
            <w:rStyle w:val="Hyperlink"/>
          </w:rPr>
          <w:t xml:space="preserve">ura,</w:t>
        </w:r>
        <w:r>
          <w:rPr>
            <w:rStyle w:val="Hyperlink"/>
          </w:rPr>
          <w:t xml:space="preserve"> </w:t>
        </w:r>
        <w:r>
          <w:rPr>
            <w:rStyle w:val="Hyperlink"/>
            <w:i/>
            <w:iCs/>
          </w:rPr>
          <w:t xml:space="preserve">paranephrops planifrons</w:t>
        </w:r>
        <w:r>
          <w:rPr>
            <w:rStyle w:val="Hyperlink"/>
          </w:rPr>
          <w:t xml:space="preserve">) population characteristics in seven</w:t>
        </w:r>
        <w:r>
          <w:rPr>
            <w:rStyle w:val="Hyperlink"/>
          </w:rPr>
          <w:t xml:space="preserve"> </w:t>
        </w:r>
        <w:r>
          <w:rPr>
            <w:rStyle w:val="Hyperlink"/>
          </w:rPr>
          <w:t xml:space="preserve">Te Arawa</w:t>
        </w:r>
        <w:r>
          <w:rPr>
            <w:rStyle w:val="Hyperlink"/>
          </w:rPr>
          <w:t xml:space="preserve"> </w:t>
        </w:r>
        <w:r>
          <w:rPr>
            <w:rStyle w:val="Hyperlink"/>
          </w:rPr>
          <w:t xml:space="preserve">(</w:t>
        </w:r>
        <w:r>
          <w:rPr>
            <w:rStyle w:val="Hyperlink"/>
          </w:rPr>
          <w:t xml:space="preserve">Rotorua</w:t>
        </w:r>
        <w:r>
          <w:rPr>
            <w:rStyle w:val="Hyperlink"/>
          </w:rPr>
          <w:t xml:space="preserve">) lakes,</w:t>
        </w:r>
        <w:r>
          <w:rPr>
            <w:rStyle w:val="Hyperlink"/>
          </w:rPr>
          <w:t xml:space="preserve"> </w:t>
        </w:r>
        <w:r>
          <w:rPr>
            <w:rStyle w:val="Hyperlink"/>
          </w:rPr>
          <w:t xml:space="preserve">North Island, New Zealand</w:t>
        </w:r>
      </w:hyperlink>
      <w:r>
        <w:t xml:space="preserve">.</w:t>
      </w:r>
      <w:r>
        <w:t xml:space="preserve"> </w:t>
      </w:r>
      <w:r>
        <w:rPr>
          <w:i/>
          <w:iCs/>
        </w:rPr>
        <w:t xml:space="preserve">Marine and Freshwater Research</w:t>
      </w:r>
      <w:r>
        <w:t xml:space="preserve"> </w:t>
      </w:r>
      <w:r>
        <w:rPr>
          <w:b/>
          <w:bCs/>
        </w:rPr>
        <w:t xml:space="preserve">66</w:t>
      </w:r>
      <w:r>
        <w:t xml:space="preserve">: 631–643.</w:t>
      </w:r>
    </w:p>
    <w:bookmarkEnd w:id="105"/>
    <w:bookmarkStart w:id="107" w:name="ref-Lee2025"/>
    <w:p>
      <w:pPr>
        <w:pStyle w:val="Bibliography"/>
      </w:pPr>
      <w:r>
        <w:t xml:space="preserve">Lee F, Kusabs IAK, Perry GLW, MacNeil C. 2025.</w:t>
      </w:r>
      <w:r>
        <w:t xml:space="preserve"> </w:t>
      </w:r>
      <w:hyperlink r:id="rId106">
        <w:r>
          <w:rPr>
            <w:rStyle w:val="Hyperlink"/>
          </w:rPr>
          <w:t xml:space="preserve">Identifying refugia from the synergistic threats of climate change and invasive species</w:t>
        </w:r>
      </w:hyperlink>
      <w:r>
        <w:t xml:space="preserve">.</w:t>
      </w:r>
      <w:r>
        <w:t xml:space="preserve"> </w:t>
      </w:r>
      <w:r>
        <w:rPr>
          <w:i/>
          <w:iCs/>
        </w:rPr>
        <w:t xml:space="preserve">Web Ecology</w:t>
      </w:r>
      <w:r>
        <w:t xml:space="preserve"> </w:t>
      </w:r>
      <w:r>
        <w:rPr>
          <w:b/>
          <w:bCs/>
        </w:rPr>
        <w:t xml:space="preserve">25</w:t>
      </w:r>
      <w:r>
        <w:t xml:space="preserve">: 221–239.</w:t>
      </w:r>
    </w:p>
    <w:bookmarkEnd w:id="107"/>
    <w:bookmarkStart w:id="108" w:name="ref-Magnelia2008"/>
    <w:p>
      <w:pPr>
        <w:pStyle w:val="Bibliography"/>
      </w:pPr>
      <w:r>
        <w:t xml:space="preserve">Magnelia SJ, Jesus MJD, Schlechte JW, Cummings GC, Duty JL. 2008. Comparison of plastic pipe and juniper tree fish attractors in a central texas reservoir.</w:t>
      </w:r>
    </w:p>
    <w:bookmarkEnd w:id="108"/>
    <w:bookmarkStart w:id="110" w:name="ref-Mazlum2017"/>
    <w:p>
      <w:pPr>
        <w:pStyle w:val="Bibliography"/>
      </w:pPr>
      <w:r>
        <w:t xml:space="preserve">Mazlum Y, Guner Gurlek O, Sirin S. 2017.</w:t>
      </w:r>
      <w:r>
        <w:t xml:space="preserve"> </w:t>
      </w:r>
      <w:hyperlink r:id="rId109">
        <w:r>
          <w:rPr>
            <w:rStyle w:val="Hyperlink"/>
          </w:rPr>
          <w:t xml:space="preserve">Effect of different substrates on survival and growth of juveniles of the freshwater narrow-clawed crayfish astacus leptodactylus eschscholtz, 1823 (decapoda, astacidae)</w:t>
        </w:r>
      </w:hyperlink>
      <w:r>
        <w:t xml:space="preserve">.</w:t>
      </w:r>
      <w:r>
        <w:t xml:space="preserve"> </w:t>
      </w:r>
      <w:r>
        <w:rPr>
          <w:i/>
          <w:iCs/>
        </w:rPr>
        <w:t xml:space="preserve">Crustaceana</w:t>
      </w:r>
      <w:r>
        <w:t xml:space="preserve"> </w:t>
      </w:r>
      <w:r>
        <w:rPr>
          <w:b/>
          <w:bCs/>
        </w:rPr>
        <w:t xml:space="preserve">90</w:t>
      </w:r>
      <w:r>
        <w:t xml:space="preserve">: 1289--1302.</w:t>
      </w:r>
    </w:p>
    <w:bookmarkEnd w:id="110"/>
    <w:bookmarkStart w:id="112" w:name="ref-Momot1995"/>
    <w:p>
      <w:pPr>
        <w:pStyle w:val="Bibliography"/>
      </w:pPr>
      <w:r>
        <w:t xml:space="preserve">Momot WT. 1995.</w:t>
      </w:r>
      <w:r>
        <w:t xml:space="preserve"> </w:t>
      </w:r>
      <w:hyperlink r:id="rId111">
        <w:r>
          <w:rPr>
            <w:rStyle w:val="Hyperlink"/>
          </w:rPr>
          <w:t xml:space="preserve">Redefining the role of crayfish in aquatic ecosystems</w:t>
        </w:r>
      </w:hyperlink>
      <w:r>
        <w:t xml:space="preserve">.</w:t>
      </w:r>
      <w:r>
        <w:t xml:space="preserve"> </w:t>
      </w:r>
      <w:r>
        <w:rPr>
          <w:i/>
          <w:iCs/>
        </w:rPr>
        <w:t xml:space="preserve">Reviews in Fisheries Science</w:t>
      </w:r>
      <w:r>
        <w:t xml:space="preserve"> </w:t>
      </w:r>
      <w:r>
        <w:rPr>
          <w:b/>
          <w:bCs/>
        </w:rPr>
        <w:t xml:space="preserve">3</w:t>
      </w:r>
      <w:r>
        <w:t xml:space="preserve">: 33--63.</w:t>
      </w:r>
    </w:p>
    <w:bookmarkEnd w:id="112"/>
    <w:bookmarkStart w:id="114" w:name="ref-Olsson2009"/>
    <w:p>
      <w:pPr>
        <w:pStyle w:val="Bibliography"/>
      </w:pPr>
      <w:r>
        <w:t xml:space="preserve">Olsson K, Nyström P. 2009.</w:t>
      </w:r>
      <w:r>
        <w:t xml:space="preserve"> </w:t>
      </w:r>
      <w:hyperlink r:id="rId113">
        <w:r>
          <w:rPr>
            <w:rStyle w:val="Hyperlink"/>
          </w:rPr>
          <w:t xml:space="preserve">Non-interactive effects of habitat complexity and adult crayfish on survival and growth of juvenile crayfish (</w:t>
        </w:r>
        <w:r>
          <w:rPr>
            <w:rStyle w:val="Hyperlink"/>
            <w:i/>
            <w:iCs/>
          </w:rPr>
          <w:t xml:space="preserve">Pacifastacus leniusculus</w:t>
        </w:r>
        <w:r>
          <w:rPr>
            <w:rStyle w:val="Hyperlink"/>
          </w:rPr>
          <w:t xml:space="preserve">)</w:t>
        </w:r>
      </w:hyperlink>
      <w:r>
        <w:t xml:space="preserve">.</w:t>
      </w:r>
      <w:r>
        <w:t xml:space="preserve"> </w:t>
      </w:r>
      <w:r>
        <w:rPr>
          <w:i/>
          <w:iCs/>
        </w:rPr>
        <w:t xml:space="preserve">Freshwater Biology</w:t>
      </w:r>
      <w:r>
        <w:t xml:space="preserve"> </w:t>
      </w:r>
      <w:r>
        <w:rPr>
          <w:b/>
          <w:bCs/>
        </w:rPr>
        <w:t xml:space="preserve">54</w:t>
      </w:r>
      <w:r>
        <w:t xml:space="preserve">: 35--46.</w:t>
      </w:r>
    </w:p>
    <w:bookmarkEnd w:id="114"/>
    <w:bookmarkStart w:id="116" w:name="ref-Olsson2006"/>
    <w:p>
      <w:pPr>
        <w:pStyle w:val="Bibliography"/>
      </w:pPr>
      <w:r>
        <w:t xml:space="preserve">Olsson K, Stenroth P, Nyström P, Holmqvist N, McIntosh AR, Winterbourn MJ. 2006.</w:t>
      </w:r>
      <w:r>
        <w:t xml:space="preserve"> </w:t>
      </w:r>
      <w:hyperlink r:id="rId115">
        <w:r>
          <w:rPr>
            <w:rStyle w:val="Hyperlink"/>
          </w:rPr>
          <w:t xml:space="preserve">Does natural acidity mediate interactions between introduced brown trout, native fish, crayfish and other invertebrates in west coast new zealand streams?</w:t>
        </w:r>
      </w:hyperlink>
      <w:r>
        <w:t xml:space="preserve"> </w:t>
      </w:r>
      <w:r>
        <w:rPr>
          <w:i/>
          <w:iCs/>
        </w:rPr>
        <w:t xml:space="preserve">Biological Conservation</w:t>
      </w:r>
      <w:r>
        <w:t xml:space="preserve"> </w:t>
      </w:r>
      <w:r>
        <w:rPr>
          <w:b/>
          <w:bCs/>
        </w:rPr>
        <w:t xml:space="preserve">130</w:t>
      </w:r>
      <w:r>
        <w:t xml:space="preserve">: 255--267.</w:t>
      </w:r>
    </w:p>
    <w:bookmarkEnd w:id="116"/>
    <w:bookmarkStart w:id="118" w:name="ref-Parkyn2001"/>
    <w:p>
      <w:pPr>
        <w:pStyle w:val="Bibliography"/>
      </w:pPr>
      <w:r>
        <w:t xml:space="preserve">Parkyn SM, Collier KJ, Hicks BJ. 2001.</w:t>
      </w:r>
      <w:r>
        <w:t xml:space="preserve"> </w:t>
      </w:r>
      <w:hyperlink r:id="rId117">
        <w:r>
          <w:rPr>
            <w:rStyle w:val="Hyperlink"/>
          </w:rPr>
          <w:t xml:space="preserve">New zealand stream crayfish: Functional omnivores but trophic predators?</w:t>
        </w:r>
      </w:hyperlink>
      <w:r>
        <w:t xml:space="preserve"> </w:t>
      </w:r>
      <w:r>
        <w:rPr>
          <w:i/>
          <w:iCs/>
        </w:rPr>
        <w:t xml:space="preserve">Freshwater Biology</w:t>
      </w:r>
      <w:r>
        <w:t xml:space="preserve"> </w:t>
      </w:r>
      <w:r>
        <w:rPr>
          <w:b/>
          <w:bCs/>
        </w:rPr>
        <w:t xml:space="preserve">46</w:t>
      </w:r>
      <w:r>
        <w:t xml:space="preserve">: 641--652.</w:t>
      </w:r>
    </w:p>
    <w:bookmarkEnd w:id="118"/>
    <w:bookmarkStart w:id="120" w:name="ref-Parkyn2009"/>
    <w:p>
      <w:pPr>
        <w:pStyle w:val="Bibliography"/>
      </w:pPr>
      <w:r>
        <w:t xml:space="preserve">Parkyn SM, Meleason MA, Davies‐Colley RJ. 2009.</w:t>
      </w:r>
      <w:r>
        <w:t xml:space="preserve"> </w:t>
      </w:r>
      <w:hyperlink r:id="rId119">
        <w:r>
          <w:rPr>
            <w:rStyle w:val="Hyperlink"/>
          </w:rPr>
          <w:t xml:space="preserve">Wood enhances crayfish (</w:t>
        </w:r>
        <w:r>
          <w:rPr>
            <w:rStyle w:val="Hyperlink"/>
            <w:i/>
            <w:iCs/>
          </w:rPr>
          <w:t xml:space="preserve">Paranephrops planifrons</w:t>
        </w:r>
        <w:r>
          <w:rPr>
            <w:rStyle w:val="Hyperlink"/>
          </w:rPr>
          <w:t xml:space="preserve">) habitat in a forested stream</w:t>
        </w:r>
      </w:hyperlink>
      <w:r>
        <w:t xml:space="preserve">.</w:t>
      </w:r>
      <w:r>
        <w:t xml:space="preserve"> </w:t>
      </w:r>
      <w:r>
        <w:rPr>
          <w:i/>
          <w:iCs/>
        </w:rPr>
        <w:t xml:space="preserve">New Zealand Journal of Marine and Freshwater Research</w:t>
      </w:r>
      <w:r>
        <w:t xml:space="preserve"> </w:t>
      </w:r>
      <w:r>
        <w:rPr>
          <w:b/>
          <w:bCs/>
        </w:rPr>
        <w:t xml:space="preserve">43</w:t>
      </w:r>
      <w:r>
        <w:t xml:space="preserve">: 689--700.</w:t>
      </w:r>
    </w:p>
    <w:bookmarkEnd w:id="120"/>
    <w:bookmarkStart w:id="122" w:name="ref-Percival2010"/>
    <w:p>
      <w:pPr>
        <w:pStyle w:val="Bibliography"/>
      </w:pPr>
      <w:r>
        <w:t xml:space="preserve">Percival D, Moore P. 2010.</w:t>
      </w:r>
      <w:r>
        <w:t xml:space="preserve"> </w:t>
      </w:r>
      <w:hyperlink r:id="rId121">
        <w:r>
          <w:rPr>
            <w:rStyle w:val="Hyperlink"/>
          </w:rPr>
          <w:t xml:space="preserve">Shelter size influences self-assessment of size in crayfish, orconectes rusticus: Consequences for agonistic fights</w:t>
        </w:r>
      </w:hyperlink>
      <w:r>
        <w:t xml:space="preserve">.</w:t>
      </w:r>
      <w:r>
        <w:t xml:space="preserve"> </w:t>
      </w:r>
      <w:r>
        <w:rPr>
          <w:i/>
          <w:iCs/>
        </w:rPr>
        <w:t xml:space="preserve">Behaviour</w:t>
      </w:r>
      <w:r>
        <w:t xml:space="preserve"> </w:t>
      </w:r>
      <w:r>
        <w:rPr>
          <w:b/>
          <w:bCs/>
        </w:rPr>
        <w:t xml:space="preserve">147</w:t>
      </w:r>
      <w:r>
        <w:t xml:space="preserve">: 103--119.</w:t>
      </w:r>
    </w:p>
    <w:bookmarkEnd w:id="122"/>
    <w:bookmarkStart w:id="123"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23"/>
    <w:bookmarkStart w:id="124" w:name="ref-Ranta1993"/>
    <w:p>
      <w:pPr>
        <w:pStyle w:val="Bibliography"/>
      </w:pPr>
      <w:r>
        <w:t xml:space="preserve">Ranta E, Lindström K. 1993. Body size and shelter possession in mature signal crayfish,</w:t>
      </w:r>
      <w:r>
        <w:t xml:space="preserve"> </w:t>
      </w:r>
      <w: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24"/>
    <w:bookmarkStart w:id="126" w:name="ref-Raveninreviewa"/>
    <w:p>
      <w:pPr>
        <w:pStyle w:val="Bibliography"/>
      </w:pPr>
      <w:r>
        <w:t xml:space="preserve">Raven OV, Burdon FJ, Kusabs IAK, Holmes R, Özkundakci D. in reviewa.</w:t>
      </w:r>
      <w:r>
        <w:t xml:space="preserve"> </w:t>
      </w:r>
      <w:hyperlink r:id="rId125">
        <w:r>
          <w:rPr>
            <w:rStyle w:val="Hyperlink"/>
          </w:rPr>
          <w:t xml:space="preserve">Littoral habitat structure influences freshwater crayfish populations in five volcanic lakes of aotearoa new zealand</w:t>
        </w:r>
      </w:hyperlink>
      <w:r>
        <w:t xml:space="preserve">.</w:t>
      </w:r>
    </w:p>
    <w:bookmarkEnd w:id="126"/>
    <w:bookmarkStart w:id="128" w:name="ref-Raveninreviewb"/>
    <w:p>
      <w:pPr>
        <w:pStyle w:val="Bibliography"/>
      </w:pPr>
      <w:r>
        <w:t xml:space="preserve">Raven OV, MacNeil C, Lee F, Holmes R, Kusabs IAK, Burdon FJ, Özkundakci D. in reviewb.</w:t>
      </w:r>
      <w:r>
        <w:t xml:space="preserve"> </w:t>
      </w:r>
      <w:hyperlink r:id="rId127">
        <w:r>
          <w:rPr>
            <w:rStyle w:val="Hyperlink"/>
          </w:rPr>
          <w:t xml:space="preserve">Fear of the new: A predatory invader may provoke stronger non-consumptive effects on a keystone native prey than a native predator</w:t>
        </w:r>
      </w:hyperlink>
      <w:r>
        <w:t xml:space="preserve">.</w:t>
      </w:r>
    </w:p>
    <w:bookmarkEnd w:id="128"/>
    <w:bookmarkStart w:id="130" w:name="ref-Richman2015"/>
    <w:p>
      <w:pPr>
        <w:pStyle w:val="Bibliography"/>
      </w:pPr>
      <w:r>
        <w:t xml:space="preserve">Richman NI, Böhm M, Adams SB, Alvarez F, Bergey EA, Bunn JJS, Burnham Q, Cordeiro J, Coughran J, Crandall KA, et al. 2015.</w:t>
      </w:r>
      <w:r>
        <w:t xml:space="preserve"> </w:t>
      </w:r>
      <w:hyperlink r:id="rId129">
        <w:r>
          <w:rPr>
            <w:rStyle w:val="Hyperlink"/>
          </w:rPr>
          <w:t xml:space="preserve">Multiple drivers of decline in the global status of freshwater crayfish (decapoda: astacidea)</w:t>
        </w:r>
      </w:hyperlink>
      <w:r>
        <w:t xml:space="preserve">.</w:t>
      </w:r>
      <w:r>
        <w:t xml:space="preserve"> </w:t>
      </w:r>
      <w:r>
        <w:rPr>
          <w:i/>
          <w:iCs/>
        </w:rPr>
        <w:t xml:space="preserve">Philosophical Transactions of the Royal Society B: Biological Sciences</w:t>
      </w:r>
      <w:r>
        <w:t xml:space="preserve"> </w:t>
      </w:r>
      <w:r>
        <w:rPr>
          <w:b/>
          <w:bCs/>
        </w:rPr>
        <w:t xml:space="preserve">370</w:t>
      </w:r>
      <w:r>
        <w:t xml:space="preserve">: 20140060.</w:t>
      </w:r>
    </w:p>
    <w:bookmarkEnd w:id="130"/>
    <w:bookmarkStart w:id="131"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31"/>
    <w:bookmarkStart w:id="132"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32"/>
    <w:bookmarkStart w:id="134" w:name="ref-Stewart2011"/>
    <w:p>
      <w:pPr>
        <w:pStyle w:val="Bibliography"/>
      </w:pPr>
      <w:r>
        <w:t xml:space="preserve">Stewart C, Tabak J. 2011.</w:t>
      </w:r>
      <w:r>
        <w:t xml:space="preserve"> </w:t>
      </w:r>
      <w:hyperlink r:id="rId133">
        <w:r>
          <w:rPr>
            <w:rStyle w:val="Hyperlink"/>
          </w:rPr>
          <w:t xml:space="preserve">Size‐based dominance hierarchies in the new zealand freshwater crayfish (koura)</w:t>
        </w:r>
        <w:r>
          <w:rPr>
            <w:rStyle w:val="Hyperlink"/>
          </w:rPr>
          <w:t xml:space="preserve"> </w:t>
        </w:r>
        <w:r>
          <w:rPr>
            <w:rStyle w:val="Hyperlink"/>
          </w:rPr>
          <w:t xml:space="preserve">Paranephrops zealandicus</w:t>
        </w:r>
      </w:hyperlink>
      <w:r>
        <w:t xml:space="preserve">.</w:t>
      </w:r>
      <w:r>
        <w:t xml:space="preserve"> </w:t>
      </w:r>
      <w:r>
        <w:rPr>
          <w:i/>
          <w:iCs/>
        </w:rPr>
        <w:t xml:space="preserve">New Zealand Journal of Marine and Freshwater Research</w:t>
      </w:r>
      <w:r>
        <w:t xml:space="preserve"> </w:t>
      </w:r>
      <w:r>
        <w:rPr>
          <w:b/>
          <w:bCs/>
        </w:rPr>
        <w:t xml:space="preserve">45</w:t>
      </w:r>
      <w:r>
        <w:t xml:space="preserve">: 281–285.</w:t>
      </w:r>
    </w:p>
    <w:bookmarkEnd w:id="134"/>
    <w:bookmarkStart w:id="136" w:name="ref-Streissl2002"/>
    <w:p>
      <w:pPr>
        <w:pStyle w:val="Bibliography"/>
      </w:pPr>
      <w:r>
        <w:t xml:space="preserve">Streissl F, Hödl W. 2002.</w:t>
      </w:r>
      <w:r>
        <w:t xml:space="preserve"> </w:t>
      </w:r>
      <w:hyperlink r:id="rId135">
        <w:r>
          <w:rPr>
            <w:rStyle w:val="Hyperlink"/>
          </w:rPr>
          <w:t xml:space="preserve">Habitat and shelter requirements of the stone crayfish,</w:t>
        </w:r>
        <w:r>
          <w:rPr>
            <w:rStyle w:val="Hyperlink"/>
          </w:rPr>
          <w:t xml:space="preserve"> </w:t>
        </w:r>
        <w:r>
          <w:rPr>
            <w:rStyle w:val="Hyperlink"/>
          </w:rPr>
          <w:t xml:space="preserve">Austropotamobius torrentium</w:t>
        </w:r>
        <w:r>
          <w:rPr>
            <w:rStyle w:val="Hyperlink"/>
          </w:rPr>
          <w:t xml:space="preserve"> </w:t>
        </w:r>
        <w:r>
          <w:rPr>
            <w:rStyle w:val="Hyperlink"/>
          </w:rPr>
          <w:t xml:space="preserve">schrank</w:t>
        </w:r>
      </w:hyperlink>
      <w:r>
        <w:t xml:space="preserve">.</w:t>
      </w:r>
      <w:r>
        <w:t xml:space="preserve"> </w:t>
      </w:r>
      <w:r>
        <w:rPr>
          <w:i/>
          <w:iCs/>
        </w:rPr>
        <w:t xml:space="preserve">Hydrobiologia</w:t>
      </w:r>
      <w:r>
        <w:t xml:space="preserve"> </w:t>
      </w:r>
      <w:r>
        <w:rPr>
          <w:b/>
          <w:bCs/>
        </w:rPr>
        <w:t xml:space="preserve">477</w:t>
      </w:r>
      <w:r>
        <w:t xml:space="preserve">: 195–199.</w:t>
      </w:r>
    </w:p>
    <w:bookmarkEnd w:id="136"/>
    <w:bookmarkStart w:id="138" w:name="ref-Takahashi2019"/>
    <w:p>
      <w:pPr>
        <w:pStyle w:val="Bibliography"/>
      </w:pPr>
      <w:r>
        <w:t xml:space="preserve">Takahashi K, Yamaguchi E, Fujiyama N, Nagayama T. 2019.</w:t>
      </w:r>
      <w:r>
        <w:t xml:space="preserve"> </w:t>
      </w:r>
      <w:hyperlink r:id="rId137">
        <w:r>
          <w:rPr>
            <w:rStyle w:val="Hyperlink"/>
          </w:rPr>
          <w:t xml:space="preserve">The effects of quality of shelters and prior residence on marmorkrebs (marbled crayfish)</w:t>
        </w:r>
      </w:hyperlink>
      <w:r>
        <w:t xml:space="preserve">.</w:t>
      </w:r>
      <w:r>
        <w:t xml:space="preserve"> </w:t>
      </w:r>
      <w:r>
        <w:rPr>
          <w:i/>
          <w:iCs/>
        </w:rPr>
        <w:t xml:space="preserve">Journal of Experimental Biology</w:t>
      </w:r>
      <w:r>
        <w:t xml:space="preserve">.</w:t>
      </w:r>
    </w:p>
    <w:bookmarkEnd w:id="138"/>
    <w:bookmarkStart w:id="140" w:name="ref-Usio2000"/>
    <w:p>
      <w:pPr>
        <w:pStyle w:val="Bibliography"/>
      </w:pPr>
      <w:r>
        <w:t xml:space="preserve">Usio N, Townsend CR. 2000.</w:t>
      </w:r>
      <w:r>
        <w:t xml:space="preserve"> </w:t>
      </w:r>
      <w:hyperlink r:id="rId139">
        <w:r>
          <w:rPr>
            <w:rStyle w:val="Hyperlink"/>
          </w:rPr>
          <w:t xml:space="preserve">Distribution of the new zealand crayfish</w:t>
        </w:r>
        <w:r>
          <w:rPr>
            <w:rStyle w:val="Hyperlink"/>
          </w:rPr>
          <w:t xml:space="preserve"> </w:t>
        </w:r>
        <w:r>
          <w:rPr>
            <w:rStyle w:val="Hyperlink"/>
          </w:rPr>
          <w:t xml:space="preserve">Paranephrops zealandicus</w:t>
        </w:r>
        <w:r>
          <w:rPr>
            <w:rStyle w:val="Hyperlink"/>
          </w:rPr>
          <w:t xml:space="preserve"> </w:t>
        </w:r>
        <w:r>
          <w:rPr>
            <w:rStyle w:val="Hyperlink"/>
          </w:rPr>
          <w:t xml:space="preserve">in relation to stream physico‐chemistry, predatory fish, and invertebrate prey</w:t>
        </w:r>
      </w:hyperlink>
      <w:r>
        <w:t xml:space="preserve">.</w:t>
      </w:r>
      <w:r>
        <w:t xml:space="preserve"> </w:t>
      </w:r>
      <w:r>
        <w:rPr>
          <w:i/>
          <w:iCs/>
        </w:rPr>
        <w:t xml:space="preserve">New Zealand Journal of Marine and Freshwater Research</w:t>
      </w:r>
      <w:r>
        <w:t xml:space="preserve"> </w:t>
      </w:r>
      <w:r>
        <w:rPr>
          <w:b/>
          <w:bCs/>
        </w:rPr>
        <w:t xml:space="preserve">34</w:t>
      </w:r>
      <w:r>
        <w:t xml:space="preserve">: 557--567.</w:t>
      </w:r>
    </w:p>
    <w:bookmarkEnd w:id="140"/>
    <w:bookmarkStart w:id="142" w:name="ref-Wehi2017"/>
    <w:p>
      <w:pPr>
        <w:pStyle w:val="Bibliography"/>
      </w:pPr>
      <w:r>
        <w:t xml:space="preserve">Wehi PM, Lord JM. 2017.</w:t>
      </w:r>
      <w:r>
        <w:t xml:space="preserve"> </w:t>
      </w:r>
      <w:hyperlink r:id="rId141">
        <w:r>
          <w:rPr>
            <w:rStyle w:val="Hyperlink"/>
          </w:rPr>
          <w:t xml:space="preserve">Importance of including cultural practices in ecological restoration</w:t>
        </w:r>
      </w:hyperlink>
      <w:r>
        <w:t xml:space="preserve">.</w:t>
      </w:r>
      <w:r>
        <w:t xml:space="preserve"> </w:t>
      </w:r>
      <w:r>
        <w:rPr>
          <w:i/>
          <w:iCs/>
        </w:rPr>
        <w:t xml:space="preserve">Conservation Biology</w:t>
      </w:r>
      <w:r>
        <w:t xml:space="preserve"> </w:t>
      </w:r>
      <w:r>
        <w:rPr>
          <w:b/>
          <w:bCs/>
        </w:rPr>
        <w:t xml:space="preserve">31</w:t>
      </w:r>
      <w:r>
        <w:t xml:space="preserve">: 1109--1118.</w:t>
      </w:r>
    </w:p>
    <w:bookmarkEnd w:id="142"/>
    <w:bookmarkStart w:id="144" w:name="ref-Zhao2024"/>
    <w:p>
      <w:pPr>
        <w:pStyle w:val="Bibliography"/>
      </w:pPr>
      <w:r>
        <w:t xml:space="preserve">Zhao M, Feng G, Wang H, Shen C, Fu Y, Zhang Y, Zhang H, Yao Y, Chen J, Xu W. 2024.</w:t>
      </w:r>
      <w:r>
        <w:t xml:space="preserve"> </w:t>
      </w:r>
      <w:hyperlink r:id="rId143">
        <w:r>
          <w:rPr>
            <w:rStyle w:val="Hyperlink"/>
          </w:rPr>
          <w:t xml:space="preserve">The influence of shelter type and coverage on crayfish (procambarus clarkii) predation by catfish (silurus asotus): A controlled environment study</w:t>
        </w:r>
      </w:hyperlink>
      <w:r>
        <w:t xml:space="preserve">.</w:t>
      </w:r>
      <w:r>
        <w:t xml:space="preserve"> </w:t>
      </w:r>
      <w:r>
        <w:rPr>
          <w:i/>
          <w:iCs/>
        </w:rPr>
        <w:t xml:space="preserve">Animals</w:t>
      </w:r>
      <w:r>
        <w:t xml:space="preserve"> </w:t>
      </w:r>
      <w:r>
        <w:rPr>
          <w:b/>
          <w:bCs/>
        </w:rPr>
        <w:t xml:space="preserve">14</w:t>
      </w:r>
      <w:r>
        <w:t xml:space="preserve">: 1147.</w:t>
      </w:r>
    </w:p>
    <w:bookmarkEnd w:id="144"/>
    <w:bookmarkEnd w:id="145"/>
    <w:bookmarkEnd w:id="14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2447CA"/>
    <w:rsid w:val="00336821"/>
    <w:rsid w:val="003C7EE2"/>
    <w:rsid w:val="005044F2"/>
    <w:rsid w:val="00510764"/>
    <w:rsid w:val="0051102F"/>
    <w:rsid w:val="006327B2"/>
    <w:rsid w:val="00634882"/>
    <w:rsid w:val="00696C14"/>
    <w:rsid w:val="007469FE"/>
    <w:rsid w:val="008000A7"/>
    <w:rsid w:val="00917306"/>
    <w:rsid w:val="009B7F83"/>
    <w:rsid w:val="00AA3340"/>
    <w:rsid w:val="00B43B10"/>
    <w:rsid w:val="00E2075A"/>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E2075A"/>
    <w:pPr>
      <w:keepNext/>
      <w:keepLines/>
      <w:spacing w:after="80" w:before="360" w:line="240" w:lineRule="auto"/>
      <w:outlineLvl w:val="0"/>
    </w:pPr>
    <w:rPr>
      <w:rFonts w:cstheme="majorBidi" w:eastAsiaTheme="majorEastAsia"/>
      <w:b/>
      <w:sz w:val="32"/>
      <w:szCs w:val="40"/>
    </w:rPr>
  </w:style>
  <w:style w:styleId="Heading2" w:type="paragraph">
    <w:name w:val="heading 2"/>
    <w:basedOn w:val="Normal"/>
    <w:next w:val="Normal"/>
    <w:link w:val="Heading2Char"/>
    <w:uiPriority w:val="9"/>
    <w:unhideWhenUsed/>
    <w:qFormat/>
    <w:rsid w:val="00E2075A"/>
    <w:pPr>
      <w:keepNext/>
      <w:keepLines/>
      <w:spacing w:after="320" w:before="40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E2075A"/>
    <w:rPr>
      <w:rFonts w:cstheme="majorBidi" w:eastAsiaTheme="majorEastAsia"/>
      <w:b/>
      <w:sz w:val="32"/>
      <w:szCs w:val="40"/>
      <w:lang w:val="en-GB"/>
    </w:rPr>
  </w:style>
  <w:style w:customStyle="1" w:styleId="Heading2Char" w:type="character">
    <w:name w:val="Heading 2 Char"/>
    <w:basedOn w:val="DefaultParagraphFont"/>
    <w:link w:val="Heading2"/>
    <w:uiPriority w:val="9"/>
    <w:rsid w:val="00E2075A"/>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5044F2"/>
    <w:pPr>
      <w:spacing w:after="80" w:line="240" w:lineRule="auto"/>
      <w:contextualSpacing/>
    </w:pPr>
    <w:rPr>
      <w:rFonts w:cstheme="majorBidi" w:eastAsiaTheme="majorEastAsia"/>
      <w:b/>
      <w:spacing w:val="-10"/>
      <w:kern w:val="28"/>
      <w:sz w:val="48"/>
      <w:szCs w:val="56"/>
    </w:rPr>
  </w:style>
  <w:style w:customStyle="1" w:styleId="TitleChar" w:type="character">
    <w:name w:val="Title Char"/>
    <w:basedOn w:val="DefaultParagraphFont"/>
    <w:link w:val="Title"/>
    <w:uiPriority w:val="10"/>
    <w:rsid w:val="005044F2"/>
    <w:rPr>
      <w:rFonts w:cstheme="majorBidi" w:eastAsiaTheme="majorEastAsia"/>
      <w:b/>
      <w:spacing w:val="-10"/>
      <w:kern w:val="28"/>
      <w:sz w:val="48"/>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hyperlink" Id="rId48" Target="https://OlivierRaven.github.io/4.Mesocosm_study/index.qmd.html" TargetMode="External" /><Relationship Type="http://schemas.openxmlformats.org/officeDocument/2006/relationships/hyperlink" Id="rId69" Target="https://cran.r-project.org/web/packages/brms/index.html" TargetMode="External" /><Relationship Type="http://schemas.openxmlformats.org/officeDocument/2006/relationships/hyperlink" Id="rId84" Target="https://doi.org/10.1002/aqc.4152" TargetMode="External" /><Relationship Type="http://schemas.openxmlformats.org/officeDocument/2006/relationships/hyperlink" Id="rId67" Target="https://doi.org/10.1007/s00267-013-0197-3" TargetMode="External" /><Relationship Type="http://schemas.openxmlformats.org/officeDocument/2006/relationships/hyperlink" Id="rId100" Target="https://doi.org/10.1007/s10530-026-03852-0" TargetMode="External" /><Relationship Type="http://schemas.openxmlformats.org/officeDocument/2006/relationships/hyperlink" Id="rId95" Target="https://doi.org/10.1007/s10750-007-9108-z" TargetMode="External" /><Relationship Type="http://schemas.openxmlformats.org/officeDocument/2006/relationships/hyperlink" Id="rId88" Target="https://doi.org/10.1016/j.aquaculture.2005.05.032" TargetMode="External" /><Relationship Type="http://schemas.openxmlformats.org/officeDocument/2006/relationships/hyperlink" Id="rId115" Target="https://doi.org/10.1016/j.biocon.2005.12.019" TargetMode="External" /><Relationship Type="http://schemas.openxmlformats.org/officeDocument/2006/relationships/hyperlink" Id="rId92" Target="https://doi.org/10.1016/j.ecoleng.2020.105994" TargetMode="External" /><Relationship Type="http://schemas.openxmlformats.org/officeDocument/2006/relationships/hyperlink" Id="rId98" Target="https://doi.org/10.1016/j.fishres.2015.03.015" TargetMode="External" /><Relationship Type="http://schemas.openxmlformats.org/officeDocument/2006/relationships/hyperlink" Id="rId82" Target="https://doi.org/10.1016/s0044-8486(99)00114-3" TargetMode="External" /><Relationship Type="http://schemas.openxmlformats.org/officeDocument/2006/relationships/hyperlink" Id="rId90" Target="https://doi.org/10.1016/s0165-7836(97)00046-5" TargetMode="External" /><Relationship Type="http://schemas.openxmlformats.org/officeDocument/2006/relationships/hyperlink" Id="rId135" Target="https://doi.org/10.1023/A:1021094309738" TargetMode="External" /><Relationship Type="http://schemas.openxmlformats.org/officeDocument/2006/relationships/hyperlink" Id="rId117" Target="https://doi.org/10.1046/j.1365-2427.2001.00702.x" TargetMode="External" /><Relationship Type="http://schemas.openxmlformats.org/officeDocument/2006/relationships/hyperlink" Id="rId104" Target="https://doi.org/10.1071/MF14148" TargetMode="External" /><Relationship Type="http://schemas.openxmlformats.org/officeDocument/2006/relationships/hyperlink" Id="rId139" Target="https://doi.org/10.1080/00288330.2000.9516957" TargetMode="External" /><Relationship Type="http://schemas.openxmlformats.org/officeDocument/2006/relationships/hyperlink" Id="rId133" Target="https://doi.org/10.1080/00288330.2011.559661" TargetMode="External" /><Relationship Type="http://schemas.openxmlformats.org/officeDocument/2006/relationships/hyperlink" Id="rId71" Target="https://doi.org/10.1080/00288330.2018.1539404" TargetMode="External" /><Relationship Type="http://schemas.openxmlformats.org/officeDocument/2006/relationships/hyperlink" Id="rId119" Target="https://doi.org/10.1080/00288330909510034" TargetMode="External" /><Relationship Type="http://schemas.openxmlformats.org/officeDocument/2006/relationships/hyperlink" Id="rId102" Target="https://doi.org/10.1080/00288330909510036" TargetMode="External" /><Relationship Type="http://schemas.openxmlformats.org/officeDocument/2006/relationships/hyperlink" Id="rId80" Target="https://doi.org/10.1080/10236240500376477" TargetMode="External" /><Relationship Type="http://schemas.openxmlformats.org/officeDocument/2006/relationships/hyperlink" Id="rId111" Target="https://doi.org/10.1080/10641269509388566" TargetMode="External" /><Relationship Type="http://schemas.openxmlformats.org/officeDocument/2006/relationships/hyperlink" Id="rId129" Target="https://doi.org/10.1098/rstb.2014.0060" TargetMode="External" /><Relationship Type="http://schemas.openxmlformats.org/officeDocument/2006/relationships/hyperlink" Id="rId141" Target="https://doi.org/10.1111/cobi.12915" TargetMode="External" /><Relationship Type="http://schemas.openxmlformats.org/officeDocument/2006/relationships/hyperlink" Id="rId113" Target="https://doi.org/10.1111/j.1365-2427.2008.02089.x" TargetMode="External" /><Relationship Type="http://schemas.openxmlformats.org/officeDocument/2006/relationships/hyperlink" Id="rId74" Target="https://doi.org/10.1139/facets-2022-0210" TargetMode="External" /><Relationship Type="http://schemas.openxmlformats.org/officeDocument/2006/relationships/hyperlink" Id="rId121" Target="https://doi.org/10.1163/000579509x12512685881053" TargetMode="External" /><Relationship Type="http://schemas.openxmlformats.org/officeDocument/2006/relationships/hyperlink" Id="rId109" Target="https://doi.org/10.1163/15685403-00003724" TargetMode="External" /><Relationship Type="http://schemas.openxmlformats.org/officeDocument/2006/relationships/hyperlink" Id="rId86" Target="https://doi.org/10.1214/ss/1177011136" TargetMode="External" /><Relationship Type="http://schemas.openxmlformats.org/officeDocument/2006/relationships/hyperlink" Id="rId137"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78" Target="https://doi.org/10.32614/cran.package.xnomial" TargetMode="External" /><Relationship Type="http://schemas.openxmlformats.org/officeDocument/2006/relationships/hyperlink" Id="rId76" Target="https://doi.org/10.3389/fmars.2023.1213790" TargetMode="External" /><Relationship Type="http://schemas.openxmlformats.org/officeDocument/2006/relationships/hyperlink" Id="rId143" Target="https://doi.org/10.3390/ani14081147" TargetMode="External" /><Relationship Type="http://schemas.openxmlformats.org/officeDocument/2006/relationships/hyperlink" Id="rId106" Target="https://doi.org/10.5194/we-25-221-2025" TargetMode="External" /><Relationship Type="http://schemas.openxmlformats.org/officeDocument/2006/relationships/hyperlink" Id="rId125" Target="https://olivierraven.github.io/Koura_shoreline_habitats/" TargetMode="External" /><Relationship Type="http://schemas.openxmlformats.org/officeDocument/2006/relationships/hyperlink" Id="rId127"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8" Target="https://OlivierRaven.github.io/4.Mesocosm_study/index.qmd.html" TargetMode="External" /><Relationship Type="http://schemas.openxmlformats.org/officeDocument/2006/relationships/hyperlink" Id="rId69" Target="https://cran.r-project.org/web/packages/brms/index.html" TargetMode="External" /><Relationship Type="http://schemas.openxmlformats.org/officeDocument/2006/relationships/hyperlink" Id="rId84" Target="https://doi.org/10.1002/aqc.4152" TargetMode="External" /><Relationship Type="http://schemas.openxmlformats.org/officeDocument/2006/relationships/hyperlink" Id="rId67" Target="https://doi.org/10.1007/s00267-013-0197-3" TargetMode="External" /><Relationship Type="http://schemas.openxmlformats.org/officeDocument/2006/relationships/hyperlink" Id="rId100" Target="https://doi.org/10.1007/s10530-026-03852-0" TargetMode="External" /><Relationship Type="http://schemas.openxmlformats.org/officeDocument/2006/relationships/hyperlink" Id="rId95" Target="https://doi.org/10.1007/s10750-007-9108-z" TargetMode="External" /><Relationship Type="http://schemas.openxmlformats.org/officeDocument/2006/relationships/hyperlink" Id="rId88" Target="https://doi.org/10.1016/j.aquaculture.2005.05.032" TargetMode="External" /><Relationship Type="http://schemas.openxmlformats.org/officeDocument/2006/relationships/hyperlink" Id="rId115" Target="https://doi.org/10.1016/j.biocon.2005.12.019" TargetMode="External" /><Relationship Type="http://schemas.openxmlformats.org/officeDocument/2006/relationships/hyperlink" Id="rId92" Target="https://doi.org/10.1016/j.ecoleng.2020.105994" TargetMode="External" /><Relationship Type="http://schemas.openxmlformats.org/officeDocument/2006/relationships/hyperlink" Id="rId98" Target="https://doi.org/10.1016/j.fishres.2015.03.015" TargetMode="External" /><Relationship Type="http://schemas.openxmlformats.org/officeDocument/2006/relationships/hyperlink" Id="rId82" Target="https://doi.org/10.1016/s0044-8486(99)00114-3" TargetMode="External" /><Relationship Type="http://schemas.openxmlformats.org/officeDocument/2006/relationships/hyperlink" Id="rId90" Target="https://doi.org/10.1016/s0165-7836(97)00046-5" TargetMode="External" /><Relationship Type="http://schemas.openxmlformats.org/officeDocument/2006/relationships/hyperlink" Id="rId135" Target="https://doi.org/10.1023/A:1021094309738" TargetMode="External" /><Relationship Type="http://schemas.openxmlformats.org/officeDocument/2006/relationships/hyperlink" Id="rId117" Target="https://doi.org/10.1046/j.1365-2427.2001.00702.x" TargetMode="External" /><Relationship Type="http://schemas.openxmlformats.org/officeDocument/2006/relationships/hyperlink" Id="rId104" Target="https://doi.org/10.1071/MF14148" TargetMode="External" /><Relationship Type="http://schemas.openxmlformats.org/officeDocument/2006/relationships/hyperlink" Id="rId139" Target="https://doi.org/10.1080/00288330.2000.9516957" TargetMode="External" /><Relationship Type="http://schemas.openxmlformats.org/officeDocument/2006/relationships/hyperlink" Id="rId133" Target="https://doi.org/10.1080/00288330.2011.559661" TargetMode="External" /><Relationship Type="http://schemas.openxmlformats.org/officeDocument/2006/relationships/hyperlink" Id="rId71" Target="https://doi.org/10.1080/00288330.2018.1539404" TargetMode="External" /><Relationship Type="http://schemas.openxmlformats.org/officeDocument/2006/relationships/hyperlink" Id="rId119" Target="https://doi.org/10.1080/00288330909510034" TargetMode="External" /><Relationship Type="http://schemas.openxmlformats.org/officeDocument/2006/relationships/hyperlink" Id="rId102" Target="https://doi.org/10.1080/00288330909510036" TargetMode="External" /><Relationship Type="http://schemas.openxmlformats.org/officeDocument/2006/relationships/hyperlink" Id="rId80" Target="https://doi.org/10.1080/10236240500376477" TargetMode="External" /><Relationship Type="http://schemas.openxmlformats.org/officeDocument/2006/relationships/hyperlink" Id="rId111" Target="https://doi.org/10.1080/10641269509388566" TargetMode="External" /><Relationship Type="http://schemas.openxmlformats.org/officeDocument/2006/relationships/hyperlink" Id="rId129" Target="https://doi.org/10.1098/rstb.2014.0060" TargetMode="External" /><Relationship Type="http://schemas.openxmlformats.org/officeDocument/2006/relationships/hyperlink" Id="rId141" Target="https://doi.org/10.1111/cobi.12915" TargetMode="External" /><Relationship Type="http://schemas.openxmlformats.org/officeDocument/2006/relationships/hyperlink" Id="rId113" Target="https://doi.org/10.1111/j.1365-2427.2008.02089.x" TargetMode="External" /><Relationship Type="http://schemas.openxmlformats.org/officeDocument/2006/relationships/hyperlink" Id="rId74" Target="https://doi.org/10.1139/facets-2022-0210" TargetMode="External" /><Relationship Type="http://schemas.openxmlformats.org/officeDocument/2006/relationships/hyperlink" Id="rId121" Target="https://doi.org/10.1163/000579509x12512685881053" TargetMode="External" /><Relationship Type="http://schemas.openxmlformats.org/officeDocument/2006/relationships/hyperlink" Id="rId109" Target="https://doi.org/10.1163/15685403-00003724" TargetMode="External" /><Relationship Type="http://schemas.openxmlformats.org/officeDocument/2006/relationships/hyperlink" Id="rId86" Target="https://doi.org/10.1214/ss/1177011136" TargetMode="External" /><Relationship Type="http://schemas.openxmlformats.org/officeDocument/2006/relationships/hyperlink" Id="rId137"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78" Target="https://doi.org/10.32614/cran.package.xnomial" TargetMode="External" /><Relationship Type="http://schemas.openxmlformats.org/officeDocument/2006/relationships/hyperlink" Id="rId76" Target="https://doi.org/10.3389/fmars.2023.1213790" TargetMode="External" /><Relationship Type="http://schemas.openxmlformats.org/officeDocument/2006/relationships/hyperlink" Id="rId143" Target="https://doi.org/10.3390/ani14081147" TargetMode="External" /><Relationship Type="http://schemas.openxmlformats.org/officeDocument/2006/relationships/hyperlink" Id="rId106" Target="https://doi.org/10.5194/we-25-221-2025" TargetMode="External" /><Relationship Type="http://schemas.openxmlformats.org/officeDocument/2006/relationships/hyperlink" Id="rId125" Target="https://olivierraven.github.io/Koura_shoreline_habitats/" TargetMode="External" /><Relationship Type="http://schemas.openxmlformats.org/officeDocument/2006/relationships/hyperlink" Id="rId127"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over material: mesocosm experiments reveal shelter design principles for threatened freshwater crayfish restoration</dc:title>
  <dc:creator/>
  <cp:keywords>Paranephrops planifrons, Behaviour, Habitat preference, Aotearoa New Zealand, Artificial reef</cp:keywords>
  <dcterms:created xsi:type="dcterms:W3CDTF">2026-06-18T00:11:13Z</dcterms:created>
  <dcterms:modified xsi:type="dcterms:W3CDTF">2026-06-18T00:11:13Z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