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png" ContentType="image/png"/>
  <Override PartName="/word/media/rId43.png" ContentType="image/png"/>
  <Override PartName="/word/media/rId49.png" ContentType="image/png"/>
  <Override PartName="/word/media/rId5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Structure over material: mesocosm experiments reveal shelter design principles for threatened freshwater crayfish restoration</w:t>
      </w:r>
    </w:p>
    <w:p>
      <w:pPr>
        <w:pStyle w:val="Author"/>
      </w:pPr>
      <w:r>
        <w:t xml:space="preserve">Olivier V. Raven</w:t>
      </w:r>
    </w:p>
    <w:p>
      <w:pPr>
        <w:pStyle w:val="Author"/>
      </w:pPr>
      <w:r>
        <w:t xml:space="preserve">Robin Holmes</w:t>
      </w:r>
    </w:p>
    <w:p>
      <w:pPr>
        <w:pStyle w:val="Author"/>
      </w:pPr>
      <w:r>
        <w:t xml:space="preserve">Ian A. K. Kusabs</w:t>
      </w:r>
    </w:p>
    <w:p>
      <w:pPr>
        <w:pStyle w:val="Author"/>
      </w:pPr>
      <w:r>
        <w:t xml:space="preserve">Francis J. Burdon</w:t>
      </w:r>
    </w:p>
    <w:p>
      <w:pPr>
        <w:pStyle w:val="Author"/>
      </w:pPr>
      <w:r>
        <w:t xml:space="preserve">Deniz Özkundakci</w:t>
      </w:r>
    </w:p>
    <w:p>
      <w:pPr>
        <w:pStyle w:val="Date"/>
      </w:pPr>
      <w:r>
        <w:t xml:space="preserve">2026-05-29</w:t>
      </w:r>
    </w:p>
    <w:p>
      <w:pPr>
        <w:pStyle w:val="AbstractTitle"/>
      </w:pPr>
      <w:r>
        <w:t xml:space="preserve">Abstract</w:t>
      </w:r>
    </w:p>
    <w:p>
      <w:pPr>
        <w:pStyle w:val="Abstract"/>
      </w:pPr>
      <w:r>
        <w:t xml:space="preserve">Freshwater crayfish are among the most threatened invertebrates globally, with habitat loss as a primary driver of population decline, yet the optimal design of habitat enhancement structures for their restoration remains largely unknown. Four controlled mesocosm experiments with the endemic Aotearoa-New Zealand freshwater crayfish kōura (</w:t>
      </w:r>
      <w:r>
        <w:rPr>
          <w:i/>
          <w:iCs/>
        </w:rPr>
        <w:t xml:space="preserve">Paranephrops planifrons</w:t>
      </w:r>
      <w:r>
        <w:t xml:space="preserve">) examined how shelter structure, material composition, body size, and group dynamics influence refuge selection. Individual kōura strongly preferred a wooden log with enclosed drilled holes, but when housed in mixed-size groups, kōura preference shifted to flat and piled stone configurations, providing more complex refugia for different-size individuals simultaneously. Flat stone structures were preferred over wood splits and this was strongest for large individuals. When structural dimensions were held constant, no significant preference was detected between concrete and wooden brick structures, indicating that material composition alone does not drive refuge selection. Size class effects on shelter preference were quantified using Bayesian categorical mixed-effects models, which provide an appropriate framework for multi-choice repeated-measures designs with categorical outcomes and nested group structures. These mesocosm findings suggest that stone-based configurations warrant field evaluation as habitat enhancement structures for kōura restoration, given their structural complexity across size classes and alignment with the cultural values associated with restoring this taonga species.</w:t>
      </w:r>
    </w:p>
    <w:bookmarkStart w:id="16" w:name="introduction"/>
    <w:p>
      <w:pPr>
        <w:pStyle w:val="Heading1"/>
      </w:pPr>
      <w:r>
        <w:t xml:space="preserve">Introduction</w:t>
      </w:r>
    </w:p>
    <w:p>
      <w:pPr>
        <w:pStyle w:val="FirstParagraph"/>
      </w:pPr>
      <w:r>
        <w:t xml:space="preserve">Crayfish are among the most threatened freshwater invertebrates globally, with 32% of species assessed as threatened with extinction due to habitat loss, water quality decline, and invasive species</w:t>
      </w:r>
      <w:r>
        <w:t xml:space="preserve"> </w:t>
      </w:r>
      <w:r>
        <w:t xml:space="preserve">(Richman et al., 2015)</w:t>
      </w:r>
      <w:r>
        <w:t xml:space="preserve">. As keystone species and ecosystem engineers, crayfish play crucial roles in freshwater food webs through shredding of leaf litter, bioturbation of sediments, and nutrient cycling, and their loss can have profound cascading effects on freshwater ecosystems</w:t>
      </w:r>
      <w:r>
        <w:t xml:space="preserve"> </w:t>
      </w:r>
      <w:r>
        <w:t xml:space="preserve">(Collier et al., 1997; Momot, 1995; Parkyn et al.,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 et al.,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(Adams, 2014; Parkyn et al., 2009)</w:t>
      </w:r>
      <w:r>
        <w:t xml:space="preserve">, demonstrating considerable flexibility in habitat use. In the context of freshwater restoration, increasing structural complexity through providing shelters has improved crayfish abundance and restocking success in degraded streams and lakes</w:t>
      </w:r>
      <w:r>
        <w:t xml:space="preserve"> </w:t>
      </w:r>
      <w:r>
        <w:t xml:space="preserve">(Huolila et al., 1997; Johnsen &amp; Taugbøl, 2008)</w:t>
      </w:r>
      <w:r>
        <w:t xml:space="preserve">, and the availability of coarser substrate has also been shown to improve juvenile survival rates</w:t>
      </w:r>
      <w:r>
        <w:t xml:space="preserve"> </w:t>
      </w:r>
      <w:r>
        <w:t xml:space="preserve">(Mazlum et al., 2017)</w:t>
      </w:r>
      <w:r>
        <w:t xml:space="preserve">. These findings indicate that enhancing habitat complexity can be a useful management tool for threatened crayfish populations. While artificial aquatic habitats have received attention in marine systems</w:t>
      </w:r>
      <w:r>
        <w:t xml:space="preserve"> </w:t>
      </w:r>
      <w:r>
        <w:t xml:space="preserve">(Frehse et al., 2025)</w:t>
      </w:r>
      <w:r>
        <w:t xml:space="preserve">, equivalent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selected stones more than 3 times longer and 1.25 times wider than their carapace length, with larger males consistently selecting larger stones</w:t>
      </w:r>
      <w:r>
        <w:t xml:space="preserve"> </w:t>
      </w:r>
      <w:r>
        <w:t xml:space="preserve">(Streissl &amp; Hödl, 2002)</w:t>
      </w:r>
      <w:r>
        <w:t xml:space="preserve">. Body size and shelter dimensions have direct competitive consequences as crayfish in undersized shelters initiated and won more fights than those in appropriately sized shelters, suggesting that shelter fit influences an individual’s assessment of its own fighting ability</w:t>
      </w:r>
      <w:r>
        <w:t xml:space="preserve"> </w:t>
      </w:r>
      <w:r>
        <w:t xml:space="preserve">(Percival &amp; Moore, 2010)</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overtake shelters from non-maternal females, while adults consistently outcompete juveniles for shelter access</w:t>
      </w:r>
      <w:r>
        <w:t xml:space="preserve"> </w:t>
      </w:r>
      <w:r>
        <w:t xml:space="preserve">(Figler et al., 2005)</w:t>
      </w:r>
      <w:r>
        <w:t xml:space="preserve">. Body weight ratio between contestants is a strong predictor of shelter takeover success, although prior ownership can offset size disadvantages</w:t>
      </w:r>
      <w:r>
        <w:t xml:space="preserve"> </w:t>
      </w:r>
      <w:r>
        <w:t xml:space="preserve">(Ranta &amp; Lindström, 1993)</w:t>
      </w:r>
      <w:r>
        <w:t xml:space="preserve">, particularly when both individuals hold high-quality shelters</w:t>
      </w:r>
      <w:r>
        <w:t xml:space="preserve"> </w:t>
      </w:r>
      <w:r>
        <w:t xml:space="preserve">(Takahashi et al.,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&amp;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influence their value as refugia. Studies comparing shelter configurations show that the availability and size of enclosed spaces matters more than total structure volume on reef fish assemblages</w:t>
      </w:r>
      <w:r>
        <w:t xml:space="preserve"> </w:t>
      </w:r>
      <w:r>
        <w:t xml:space="preserve">(Hylkema et al., 2020)</w:t>
      </w:r>
      <w:r>
        <w:t xml:space="preserve">. Additionally, enclosed structures such as PVC pipes provide greater protection against predatory fish than stone or vegetation structures, likely due to their consistent hole dimensions</w:t>
      </w:r>
      <w:r>
        <w:t xml:space="preserve"> </w:t>
      </w:r>
      <w:r>
        <w:t xml:space="preserve">(Zhao et al., 2024)</w:t>
      </w:r>
      <w:r>
        <w:t xml:space="preserve">. The use of synthetic materials like PVC pipes in restoration ecology brings ecological concerns, particularly in contexts where introducing non-native materials may conflict with conservation values or indigenous cultural frameworks</w:t>
      </w:r>
      <w:r>
        <w:t xml:space="preserve"> </w:t>
      </w:r>
      <w:r>
        <w:t xml:space="preserve">(Cooke et al., 2023; Wehi &amp; Lord, 2017)</w:t>
      </w:r>
      <w:r>
        <w:t xml:space="preserve">. Natural materials such as stones and wood offer ecologically compatible alternatives, yet the importance of structural configuration versus material composition for crayfish shelter preference remains largely unknown.</w:t>
      </w:r>
    </w:p>
    <w:p>
      <w:pPr>
        <w:pStyle w:val="BodyText"/>
      </w:pPr>
      <w:r>
        <w:t xml:space="preserve">In Aotearoa-New Zealand (hereafter Aotearoa), the endemic freshwater crayfish kōura (</w:t>
      </w:r>
      <w:r>
        <w:rPr>
          <w:i/>
          <w:iCs/>
        </w:rPr>
        <w:t xml:space="preserve">Paranephrops planifrons</w:t>
      </w:r>
      <w:r>
        <w:t xml:space="preserve">) faces conservation pressure from habitat loss, water quality degradation, and predation by invasive species</w:t>
      </w:r>
      <w:r>
        <w:t xml:space="preserve"> </w:t>
      </w:r>
      <w:r>
        <w:t xml:space="preserve">(Kusabs et al., inpress; Lee et al., 2025)</w:t>
      </w:r>
      <w:r>
        <w:t xml:space="preserve">. Kōura are taonga (culturally treasured) species for Māori, the indigenous people of Aotearoa, and hold significant ecological and cultural value in freshwater ecosystems</w:t>
      </w:r>
      <w:r>
        <w:t xml:space="preserve"> </w:t>
      </w:r>
      <w:r>
        <w:t xml:space="preserve">(Kusabs &amp; Quinn, 2009)</w:t>
      </w:r>
      <w:r>
        <w:t xml:space="preserve">. In their natural habitat, kōura are positively associated with overhanging banks, coarse substrates, and woody debris</w:t>
      </w:r>
      <w:r>
        <w:t xml:space="preserve"> </w:t>
      </w:r>
      <w:r>
        <w:t xml:space="preserve">(Jowett et al., 2008; Parkyn et al., 2009; Raven et al., inreview; Usio &amp; Townsend, 2000)</w:t>
      </w:r>
      <w:r>
        <w:t xml:space="preserve">. Kōura have been shown to significantly increase refuge use in the presence of predators</w:t>
      </w:r>
      <w:r>
        <w:t xml:space="preserve"> </w:t>
      </w:r>
      <w:r>
        <w:t xml:space="preserve">(Raven et al., indraft; Shave et al., 1994)</w:t>
      </w:r>
      <w:r>
        <w:t xml:space="preserve">. However, a systematic study on shelter design preference on crayfish remains largely absent from the literature. Habitat restoration by increasing shelter availability represents a promising management tool for kōura recovery, and the use of natural materials aligns with ecological and cultural values set for these naturally and culturally important lakes.</w:t>
      </w:r>
    </w:p>
    <w:p>
      <w:pPr>
        <w:pStyle w:val="BodyText"/>
      </w:pPr>
      <w:r>
        <w:t xml:space="preserve">In this study, four controlled mesocosm experiments were conducted to identify kōura preferences among different structures varying in material and configuration, to examine how individual behaviour, body size, and group interactions influence refuge selection.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(Percival &amp; Moore, 2010; Streissl &amp; Hödl, 2002)</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support kōura population recovery.</w:t>
      </w:r>
    </w:p>
    <w:bookmarkEnd w:id="16"/>
    <w:bookmarkStart w:id="23" w:name="materials-and-methods"/>
    <w:p>
      <w:pPr>
        <w:pStyle w:val="Heading1"/>
      </w:pPr>
      <w:r>
        <w:t xml:space="preserve">Materials and Methods</w:t>
      </w:r>
    </w:p>
    <w:bookmarkStart w:id="17" w:name="animal-collection-and-tank-setup"/>
    <w:p>
      <w:pPr>
        <w:pStyle w:val="Heading2"/>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 et al., 2010)</w:t>
      </w:r>
      <w:r>
        <w:t xml:space="preserve">.</w:t>
      </w:r>
    </w:p>
    <w:p>
      <w:pPr>
        <w:pStyle w:val="BodyText"/>
      </w:pPr>
      <w:r>
        <w:t xml:space="preserve">Kōura were acclimatised for 12 days in outdoor concrete holding tanks (Ø 1.4 m, 0.5 m deep), each filled to a depth of 0.4 m with dechlorinated tap water conditioned for three months. Paving sand was used as substrate, and shelters were provided as PVC pipes, broken terracotta pots, and perforated building bricks. Each holding tank housed 10–12 kōura. Kōura were fed every second day with commercial carnivore pellets (Hikari Tropical, Kyorin Food Industries Ltd., Japan; animal protein 47%).</w:t>
      </w:r>
    </w:p>
    <w:p>
      <w:pPr>
        <w:pStyle w:val="BodyText"/>
      </w:pPr>
      <w:r>
        <w:t xml:space="preserve">Experiments were conducted outside in six circular concrete tanks (1425 L; Ø 1.85 m, 0.53 m deep), each filled to a depth of 0.4 m with dechlorinated tap water conditioned for three months. Paving sand was used as substrate and tanks were closed off with a lid constructed of two layers of shade cloth to prevent escape and minimise solar heating. Fresh dechlorinated tap water and an air stone were added to each tank in between the experimental rounds. To limit thermal stress, experiments were conducted in spring (September to October). Because kōura are a taonga (treasured) species, permission was obtained from Te Arawa Lakes Trust and Te Komiti Whakahaere. All experimental procedures were conducted under University of Waikato animal ethics committee approval (protocol number: 1207; see Ethical Approval section).</w:t>
      </w:r>
    </w:p>
    <w:bookmarkEnd w:id="17"/>
    <w:bookmarkStart w:id="18" w:name="exp-1-single-kōura"/>
    <w:p>
      <w:pPr>
        <w:pStyle w:val="Heading2"/>
      </w:pPr>
      <w:r>
        <w:t xml:space="preserve">Exp 1: Single kōura</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separately),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Six experimental tanks were used, each housing a single medium-sized kōura. In total, 30 kōura consisting of 15 females with mean OCL and weight ± SD: 26.9 ± 2 mm, range: 23.2–29.8 mm, 12.5 ± 3.3 g and 15 males: 26.1 ± 2.2 mm, range: 22.6–30 mm, 11.9 ± 3.1 g were tested across five experimental replicates, with each replicate lasting 22 hours.</w:t>
      </w:r>
    </w:p>
    <w:p>
      <w:pPr>
        <w:pStyle w:val="BodyText"/>
      </w:pPr>
      <w:r>
        <w:t xml:space="preserve">Each experimental tank was divided into four quadrants, with one structure type placed at random (randomizer.org) in each quadrant. If a kōura was not using a structure, TankWall was noted as its location which represents the wall of the tank.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 The time taken for the kōura to locate its first structure was recorded (L0). On the following day, the final location of the kōura was noted (L1) after which it was removed from the tank. Tanks were reset and structure placements re-randomised prior to the next trial. Each kōura was used in a single trial only and was not reused across replicates. To confirm nocturnal activity, three GoPros (Hero 3) were placed in one tank at the end of the day and recorded for five hours.</w:t>
      </w:r>
    </w:p>
    <w:bookmarkEnd w:id="18"/>
    <w:bookmarkStart w:id="19" w:name="exp-2-group-kōura"/>
    <w:p>
      <w:pPr>
        <w:pStyle w:val="Heading2"/>
      </w:pPr>
      <w:r>
        <w:t xml:space="preserve">Exp 2: Group kōura</w:t>
      </w:r>
    </w:p>
    <w:p>
      <w:pPr>
        <w:pStyle w:val="FirstParagraph"/>
      </w:pPr>
      <w:r>
        <w:t xml:space="preserve">Building on experiment 1, this experiment examined how group dynamics and body size influenced structure preference when kōura were housed together. The six experimental tanks were used and configured with the same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comprising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replicates reusing the same six groups of animals.</w:t>
      </w:r>
    </w:p>
    <w:bookmarkEnd w:id="19"/>
    <w:bookmarkStart w:id="20" w:name="exp-3-wood-vs-stone"/>
    <w:p>
      <w:pPr>
        <w:pStyle w:val="Heading2"/>
      </w:pPr>
      <w:r>
        <w:t xml:space="preserve">Exp 3: Wood vs Stone</w:t>
      </w:r>
    </w:p>
    <w:p>
      <w:pPr>
        <w:pStyle w:val="FirstParagraph"/>
      </w:pPr>
      <w:r>
        <w:t xml:space="preserve">Using the same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three times, reusing the same six groups of animals.</w:t>
      </w:r>
    </w:p>
    <w:bookmarkEnd w:id="20"/>
    <w:bookmarkStart w:id="21" w:name="exp-4-bricks"/>
    <w:p>
      <w:pPr>
        <w:pStyle w:val="Heading2"/>
      </w:pPr>
      <w:r>
        <w:t xml:space="preserve">Exp 4: Bricks</w:t>
      </w:r>
    </w:p>
    <w:p>
      <w:pPr>
        <w:pStyle w:val="FirstParagraph"/>
      </w:pPr>
      <w:r>
        <w:t xml:space="preserve">This experiment tested whether kōura showed a preference between concrete and wooden perforated brick structures, to isolate the effect of material on structure preference. Two perforated building bricks (BrickConcrete) of 80 × 80 × 225 mm with five holes (Ø 30 mm) were tested against two wooden bricks (BrickWood)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wooden brick (</w:t>
      </w:r>
      <w:hyperlink w:anchor="fig-exp-setup">
        <w:r>
          <w:rPr>
            <w:rStyle w:val="Hyperlink"/>
          </w:rPr>
          <w:t xml:space="preserve">Figure 1</w:t>
        </w:r>
      </w:hyperlink>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brick was placed, with similar brick types positioned opposite to one another. Each group of kōura was released at the centre of the tank and the following day, the final location of each kōura was documented. This experiment was repeated four times by reusing the four groups of ten kōura.</w:t>
      </w:r>
    </w:p>
    <w:bookmarkEnd w:id="21"/>
    <w:bookmarkStart w:id="22" w:name="data-analysis"/>
    <w:p>
      <w:pPr>
        <w:pStyle w:val="Heading2"/>
      </w:pPr>
      <w:r>
        <w:t xml:space="preserve">Data analysis</w:t>
      </w:r>
    </w:p>
    <w:p>
      <w:pPr>
        <w:pStyle w:val="FirstParagraph"/>
      </w:pPr>
      <w:r>
        <w:t xml:space="preserve">To test the difference between the four structure types selected the next day by the single kōura,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To test whether structure type use differed between sexes, Fisher’s exact test with simulated p-values (9999 replicates) was used due to small expected counts. A permutation-based symmetry test was applied to assess whether structure type transitions between L0 and L1 were directional rather than random.</w:t>
      </w:r>
    </w:p>
    <w:p>
      <w:pPr>
        <w:pStyle w:val="BodyText"/>
      </w:pPr>
      <w:r>
        <w:t xml:space="preserve">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Bayesian categorical mixed-effects models were used to test whether body size or sex affected structure preference across experiments 2, 3 and 4. The outcome is categorical and individual animals within group within round create a three-level nested random effect structure. Standard frequentist mixed-effect approaches such as lme4</w:t>
      </w:r>
      <w:r>
        <w:t xml:space="preserve"> </w:t>
      </w:r>
      <w:r>
        <w:t xml:space="preserve">(Bates et al., 2015)</w:t>
      </w:r>
      <w:r>
        <w:t xml:space="preserve"> </w:t>
      </w:r>
      <w:r>
        <w:t xml:space="preserve">do not support categorical outcomes with complex nested random effects structures, making Bayesian estimation the appropriate choice for this design</w:t>
      </w:r>
      <w:r>
        <w:t xml:space="preserve"> </w:t>
      </w:r>
      <w:r>
        <w:t xml:space="preserve">(Bolker et al., 2009; McCarthy, 2007)</w:t>
      </w:r>
      <w:r>
        <w:t xml:space="preserve">.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&amp; Rubin, 1992)</w:t>
      </w:r>
      <w:r>
        <w:t xml:space="preserve">. To test whether size classes affected structure preference while accounting for repeated measurement of individuals and groups, a Bayesian categorical mixed-effects model was fitted using the brms package</w:t>
      </w:r>
      <w:r>
        <w:t xml:space="preserve"> </w:t>
      </w:r>
      <w:r>
        <w:t xml:space="preserve">(Bürkner et al., 2025)</w:t>
      </w:r>
      <w:r>
        <w:t xml:space="preserve">, with structure type as the outcome, size class as a fixed effect, and group identity, individual identity nested within group, and experimental round as random intercepts. The Stuart-Maxwell test was used to test for statistical differences between stage L0 and L1.</w:t>
      </w:r>
    </w:p>
    <w:p>
      <w:pPr>
        <w:pStyle w:val="BodyText"/>
      </w:pPr>
      <w:r>
        <w:t xml:space="preserve">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a Bayesian categorical mixed-effects model was fitted with size class as a fixed effect, following the same structure as described for experiment 2. The Stuart-Maxwell test was used to test for statistical differences between stage L0 and L1.</w:t>
      </w:r>
    </w:p>
    <w:p>
      <w:pPr>
        <w:pStyle w:val="BodyText"/>
      </w:pPr>
      <w:r>
        <w:t xml:space="preserve">To test whether kōura showed a preference between BrickConcrete and BrickWood, the Wilcoxon signed-rank test was applied to group-round proportions for each brick type, testing against a null expectation of 0.5 and p-values were Bonferroni adjusted. A paired Wilcoxon signed-rank test was used to directly compare group-round proportions between BrickConcrete and BrickWood. As size class was unbalanced, the effect of sex on brick preference was tested using a similar Bayesian categorical mixed-effects model with sex as a fixed effect, following the same structure as described for experiment 2. Finally, as only next-day locations (L1) were recorded in this experiment, no directional shift analysis was performed.</w:t>
      </w:r>
    </w:p>
    <w:bookmarkEnd w:id="22"/>
    <w:bookmarkEnd w:id="23"/>
    <w:bookmarkStart w:id="28" w:name="results"/>
    <w:p>
      <w:pPr>
        <w:pStyle w:val="Heading1"/>
      </w:pPr>
      <w:r>
        <w:t xml:space="preserve">Results</w:t>
      </w:r>
    </w:p>
    <w:bookmarkStart w:id="24" w:name="exp-1-single-kōura-1"/>
    <w:p>
      <w:pPr>
        <w:pStyle w:val="Heading2"/>
      </w:pPr>
      <w:r>
        <w:t xml:space="preserve">Exp 1: Single kōura</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 &lt;0.001, 0.011, 0.004, respectively; overall multinomial test:</w:t>
      </w:r>
      <w:r>
        <w:t xml:space="preserve"> </w:t>
      </w:r>
      <w:r>
        <w:rPr>
          <w:i/>
          <w:iCs/>
        </w:rPr>
        <w:t xml:space="preserve">p</w:t>
      </w:r>
      <w:r>
        <w:t xml:space="preserve"> </w:t>
      </w:r>
      <w:r>
        <w:t xml:space="preserve">= &lt;0.001;</w:t>
      </w:r>
      <w:r>
        <w:t xml:space="preserve"> </w:t>
      </w:r>
      <w:hyperlink w:anchor="fig-exp1-ms">
        <w:r>
          <w:rPr>
            <w:rStyle w:val="Hyperlink"/>
          </w:rPr>
          <w:t xml:space="preserve">Figure 2</w:t>
        </w:r>
      </w:hyperlink>
      <w:r>
        <w:t xml:space="preserve">). No significant differences were found among the stone structure types. Overall, WoodLog was selected by 67% of kōura at L1 (males: 80%; females: 53%), and no kōura were found at TankWall, indicating all individuals actively selected a structure. Structure preference did not differ significantly between sexes (Fisher’s exact test:</w:t>
      </w:r>
      <w:r>
        <w:t xml:space="preserve"> </w:t>
      </w:r>
      <w:r>
        <w:rPr>
          <w:i/>
          <w:iCs/>
        </w:rPr>
        <w:t xml:space="preserve">p</w:t>
      </w:r>
      <w:r>
        <w:t xml:space="preserve"> </w:t>
      </w:r>
      <w:r>
        <w:t xml:space="preserve">= 0.458). The symmetry test indicated that structure type use shifted between L0 and L1 (</w:t>
      </w:r>
      <w:r>
        <w:rPr>
          <w:i/>
          <w:iCs/>
        </w:rPr>
        <w:t xml:space="preserve">p</w:t>
      </w:r>
      <w:r>
        <w:t xml:space="preserve"> </w:t>
      </w:r>
      <w:r>
        <w:t xml:space="preserve">= &lt;0.001), suggesting kōura actively relocated to preferred structure types overnight rather than remaining at their initial location. The GoPro footage showed kōura emerging, walking and climbing on the structures after sunset.</w:t>
      </w:r>
    </w:p>
    <w:bookmarkEnd w:id="24"/>
    <w:bookmarkStart w:id="25" w:name="exp-2-group-kōura-1"/>
    <w:p>
      <w:pPr>
        <w:pStyle w:val="Heading2"/>
      </w:pPr>
      <w:r>
        <w:t xml:space="preserve">Exp 2: Group kōura</w:t>
      </w:r>
    </w:p>
    <w:p>
      <w:pPr>
        <w:pStyle w:val="FirstParagraph"/>
      </w:pPr>
      <w:r>
        <w:t xml:space="preserve">When housed in mixed-size groups, kōura showed a significant overall preference for stone-based structures (</w:t>
      </w:r>
      <w:hyperlink w:anchor="fig-exp2-ms">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 &lt;0.001)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 sized kōura showed a weaker preference for FlatStone over SingleStone compared to small kōura (β = -1.75, 95% CI: -3.66 to -0.09; posterior probability = 0.98), while no other size class effect was credible. Overall, FlatStone remained the most selected structure type across all size classes, but its strength of preference declined from small (posterior probability of top choice = 85%) to medium (53%), and with large kōura showing similar preference between FlatStone and StonePile (41% vs 38%). Structure type use shifted directionally between L0 and L1 (Stuart-Maxwell test:</w:t>
      </w:r>
      <w:r>
        <w:t xml:space="preserve"> </w:t>
      </w:r>
      <w:r>
        <w:rPr>
          <w:i/>
          <w:iCs/>
        </w:rPr>
        <w:t xml:space="preserve">p</w:t>
      </w:r>
      <w:r>
        <w:t xml:space="preserve"> </w:t>
      </w:r>
      <w:r>
        <w:t xml:space="preserve">= 0.001), indicating that kōura actively relocated to preferred structure types overnight.</w:t>
      </w:r>
    </w:p>
    <w:bookmarkEnd w:id="25"/>
    <w:bookmarkStart w:id="26" w:name="exp-3-wood-vs-stone-1"/>
    <w:p>
      <w:pPr>
        <w:pStyle w:val="Heading2"/>
      </w:pPr>
      <w:r>
        <w:t xml:space="preserve">Exp 3: Wood vs Stone</w:t>
      </w:r>
    </w:p>
    <w:p>
      <w:pPr>
        <w:pStyle w:val="FirstParagraph"/>
      </w:pPr>
      <w:r>
        <w:t xml:space="preserve">Kōura consistently selected FlatStone over WoodSplit, with the preference growing with body size (</w:t>
      </w:r>
      <w:hyperlink w:anchor="fig-exp3-ms">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1% of kōura were found at TankWall, suggesting almost all kōura selected one of the two structure types. The Bayesian model indicated that preference for FlatStone strengthened with body size, with the posterior probability of FlatStone being the top-ranked structure increasing from small (62%) to medium (78%), to large kōura (96%). Large kōura showed a particularly strong and credible preference for FlatStone over WoodSplit (β = -2.4, 95% CI: -4.39 to -0.8; posterior probability = &gt; 0.99), while medium kōura did not differ from small kōura. Structure type use shifted directionally between L0 and L1 (Stuart-Maxwell test:</w:t>
      </w:r>
      <w:r>
        <w:t xml:space="preserve"> </w:t>
      </w:r>
      <w:r>
        <w:rPr>
          <w:i/>
          <w:iCs/>
        </w:rPr>
        <w:t xml:space="preserve">p</w:t>
      </w:r>
      <w:r>
        <w:t xml:space="preserve"> </w:t>
      </w:r>
      <w:r>
        <w:t xml:space="preserve">= 0.003), with kōura relocating toward FlatStone overnight.</w:t>
      </w:r>
    </w:p>
    <w:bookmarkEnd w:id="26"/>
    <w:bookmarkStart w:id="27" w:name="exp-4-bricks-1"/>
    <w:p>
      <w:pPr>
        <w:pStyle w:val="Heading2"/>
      </w:pPr>
      <w:r>
        <w:t xml:space="preserve">Exp 4: Bricks</w:t>
      </w:r>
    </w:p>
    <w:p>
      <w:pPr>
        <w:pStyle w:val="FirstParagraph"/>
      </w:pPr>
      <w:r>
        <w:t xml:space="preserve">Kōura used both brick types, showing no significant preference between BrickConcrete and BrickWood (</w:t>
      </w:r>
      <w:r>
        <w:rPr>
          <w:i/>
          <w:iCs/>
        </w:rPr>
        <w:t xml:space="preserve">p</w:t>
      </w:r>
      <w:r>
        <w:t xml:space="preserve"> </w:t>
      </w:r>
      <w:r>
        <w:t xml:space="preserve">= 0.137;</w:t>
      </w:r>
      <w:r>
        <w:t xml:space="preserve"> </w:t>
      </w:r>
      <w:hyperlink w:anchor="fig-exp4-ms">
        <w:r>
          <w:rPr>
            <w:rStyle w:val="Hyperlink"/>
          </w:rPr>
          <w:t xml:space="preserve">Figure 5</w:t>
        </w:r>
      </w:hyperlink>
      <w:r>
        <w:t xml:space="preserve">), with mean group proportions of 47% and 53% respectively. Neither brick type differed significantly from equal distribution (</w:t>
      </w:r>
      <w:r>
        <w:rPr>
          <w:i/>
          <w:iCs/>
        </w:rPr>
        <w:t xml:space="preserve">p</w:t>
      </w:r>
      <w:r>
        <w:t xml:space="preserve"> </w:t>
      </w:r>
      <w:r>
        <w:t xml:space="preserve">= 0.273). 9% of kōura were found at TankWall, which is higher than in any previous experiment. Sex had no credible effect on preference between brick types (β = -0.18, 95% CI: -1.29 to 0.85; posterior probability = 0.64), indicating that concrete and wooden perforated brick structures of identical dimensions were both suitable refuge for male and female kōura.</w:t>
      </w:r>
    </w:p>
    <w:bookmarkEnd w:id="27"/>
    <w:bookmarkEnd w:id="28"/>
    <w:bookmarkStart w:id="33" w:name="discussion"/>
    <w:p>
      <w:pPr>
        <w:pStyle w:val="Heading1"/>
      </w:pPr>
      <w:r>
        <w:t xml:space="preserve">Discussion</w:t>
      </w:r>
    </w:p>
    <w:bookmarkStart w:id="29" w:name="structure-matters-more-than-material"/>
    <w:p>
      <w:pPr>
        <w:pStyle w:val="Heading2"/>
      </w:pPr>
      <w:r>
        <w:t xml:space="preserve">Structure matters more than material</w:t>
      </w:r>
    </w:p>
    <w:p>
      <w:pPr>
        <w:pStyle w:val="FirstParagraph"/>
      </w:pPr>
      <w:r>
        <w:t xml:space="preserve">Across four experiments, refuge configuration and structural stability consistently predicted kōura habitat selection more strongly than material composition alone. Experiment 4 showed that when kōura were presented with similar refuge sizes in BrickConcrete and BrickWood no preference for material was detected. In experiment 3 FlatStone and WoodSplit were tested against each other and showed a difference in structure preference likely due to the stability of the stones compared to the wooden splits. The splits sank but created less structurally stable refuge places in the sandy substrate than the FlatStone structures [O.V. Raven, pers. obs.]. Experiment 2 showed that when a group of kōura was presented with multiple structure types, the structures that provided the most crevice complexity drove group-level preference. This was the case for FlatStone followed by StonePile for harbouring the most kōura. In experiment 1 the preference was different as individual kōura preferred WoodLog as refuge, this was consistent with prediction 1, as single kōura probably searched the refuge that would give most protection</w:t>
      </w:r>
      <w:r>
        <w:t xml:space="preserve"> </w:t>
      </w:r>
      <w:r>
        <w:t xml:space="preserve">(Jurcak et al., 2016)</w:t>
      </w:r>
      <w:r>
        <w:t xml:space="preserve">, and the drilled holes in the WoodLog offered most protection similar to what has been found for perforated brick and PVC tube shelters under catfish predation</w:t>
      </w:r>
      <w:r>
        <w:t xml:space="preserve"> </w:t>
      </w:r>
      <w:r>
        <w:t xml:space="preserve">(Adams, 2007; Zhao et al., 2024)</w:t>
      </w:r>
      <w:r>
        <w:t xml:space="preserve">. The directional shift in structure type use between L0 and L1 confirmed across all experiments that kōura actively relocated overnight rather than remaining at their initial location, supporting the interpretation that next-day locations reflect genuine refuge preference rather than chance displacement. The preference shift from WoodLog in single to stone structures in group experiments was unexpected. It might be explained by size mismatch between fixed hole dimensions and the range of body sizes present in each group, while the large surface area of FlatStone allowed multiple individuals to shelter simultaneously and reduce competitive displacement. Learning across rounds may also have contributed, as WoodLog was most selected structure in round 1 of experiment 2 (17 out of 36 times) but not in subsequent rounds, suggesting kōura may have shifted preference after initial exploration</w:t>
      </w:r>
      <w:r>
        <w:t xml:space="preserve"> </w:t>
      </w:r>
      <w:r>
        <w:t xml:space="preserve">(Bhimani &amp; Huber, 2015)</w:t>
      </w:r>
      <w:r>
        <w:t xml:space="preserve">. This learning was possible as the groups of kōura in experiment 2 were reused all five rounds, while the single kōura in experiment 1 were only used once. The reuse of groups across rounds was necessary given the limited availability of kōura and ethical constraints on collection numbers. The number of independent groups was low across experiments (six in experiments 2 and 3, four in experiment 4), constraining the statistical power for detecting group-level effects</w:t>
      </w:r>
      <w:r>
        <w:t xml:space="preserve"> </w:t>
      </w:r>
      <w:r>
        <w:t xml:space="preserve">(Hurlbert, 1984)</w:t>
      </w:r>
      <w:r>
        <w:t xml:space="preserve">. Despite these constraints, consistent patterns in size-dependent preference were evident across experiments.</w:t>
      </w:r>
    </w:p>
    <w:bookmarkEnd w:id="29"/>
    <w:bookmarkStart w:id="30" w:name="body-size-and-competitive-dynamics"/>
    <w:p>
      <w:pPr>
        <w:pStyle w:val="Heading2"/>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FlatStone over WoodSplit than smaller individuals, consistent with size dependent shelter selection documented in crayfish</w:t>
      </w:r>
      <w:r>
        <w:t xml:space="preserve"> </w:t>
      </w:r>
      <w:r>
        <w:t xml:space="preserve">(Percival &amp; Moore, 2010; Streissl &amp; Hödl, 2002)</w:t>
      </w:r>
      <w:r>
        <w:t xml:space="preserve">. This may reflect larger kōura being more capable of asserting dominance over preferred stable refugia through competitive displacement, which is in line with the size-based dominance hierarchy documented in kōura populations</w:t>
      </w:r>
      <w:r>
        <w:t xml:space="preserve"> </w:t>
      </w:r>
      <w:r>
        <w:t xml:space="preserve">(Figler et al., 2005; Ranta &amp; Lindström, 1993; Stewart &amp; Tabak, 2011)</w:t>
      </w:r>
      <w:r>
        <w:t xml:space="preserve">. In experiment 2, where four structure types were available, small kōura showed the strongest preference for FlatStone while large kōura distributed more evenly between FlatStone and StonePile, suggesting that FlatStone’s large continuous surface area provides refuge spaces proportional to smaller body dimensions</w:t>
      </w:r>
      <w:r>
        <w:t xml:space="preserve"> </w:t>
      </w:r>
      <w:r>
        <w:t xml:space="preserve">(Streissl &amp; Hödl, 2002)</w:t>
      </w:r>
      <w:r>
        <w:t xml:space="preserve">, while larger individuals find adequate crevice space in either stone configuration. The absence of sex effects in experiment 1 and 4 suggests that refuge preference in kōura is driven primarily by body size and competitive dominance rather than sex</w:t>
      </w:r>
      <w:r>
        <w:t xml:space="preserve"> </w:t>
      </w:r>
      <w:r>
        <w:t xml:space="preserve">(Figler et al., 1999)</w:t>
      </w:r>
      <w:r>
        <w:t xml:space="preserve">. When refuge availability is limited, competitive hierarchies displace smaller and recently moulted individuals from preferred refugia, leaving them exposed</w:t>
      </w:r>
      <w:r>
        <w:t xml:space="preserve"> </w:t>
      </w:r>
      <w:r>
        <w:t xml:space="preserve">(Figler et al., 2005; Ranta &amp; Lindström, 1993)</w:t>
      </w:r>
      <w:r>
        <w:t xml:space="preserve">. Providing sufficient refuge spaces with a range of crevice size can reduce agonistic interactions and benefit the whole population</w:t>
      </w:r>
      <w:r>
        <w:t xml:space="preserve"> </w:t>
      </w:r>
      <w:r>
        <w:t xml:space="preserve">(Olsson &amp; Nyström, 2009)</w:t>
      </w:r>
      <w:r>
        <w:t xml:space="preserve">, supporting complex structure configurations over structures with fixed hole dimensions.</w:t>
      </w:r>
    </w:p>
    <w:bookmarkEnd w:id="30"/>
    <w:bookmarkStart w:id="31" w:name="restoration-implications"/>
    <w:p>
      <w:pPr>
        <w:pStyle w:val="Heading2"/>
      </w:pPr>
      <w:r>
        <w:t xml:space="preserve">Restoration implications</w:t>
      </w:r>
    </w:p>
    <w:p>
      <w:pPr>
        <w:pStyle w:val="FirstParagraph"/>
      </w:pPr>
      <w:r>
        <w:t xml:space="preserve">The present study demonstrates that structural configuration drives refuge preference more strongly than material composition, with stone-based configurations preferred by groups and no preference detected between materials when dimensions were equal. These findings suggest that stone-based habitat enhancement structures warrant field evaluation in lake conditions, given their structural complexity and crevice diversity across size classes. The broader restoration literature supports both the structural principle and the choice of natural materials. Structurally stable crevices are important for freshwater species like crayfish</w:t>
      </w:r>
      <w:r>
        <w:t xml:space="preserve"> </w:t>
      </w:r>
      <w:r>
        <w:t xml:space="preserve">(Huolila et al., 1997; Streissl &amp; Hödl, 2002)</w:t>
      </w:r>
      <w:r>
        <w:t xml:space="preserve">, but also for marine environments, as reef fish, marine shrimp, and lobsters benefit from habitat enhancement structures such as artificial reefs</w:t>
      </w:r>
      <w:r>
        <w:t xml:space="preserve"> </w:t>
      </w:r>
      <w:r>
        <w:t xml:space="preserve">(Dickson et al., 2023; Hylkema et al., 2020; Magnelia et al., 2008; Spanier, 1994)</w:t>
      </w:r>
      <w:r>
        <w:t xml:space="preserve">. Structures made from stone and wood have been shown to outperform synthetic alternatives and bare substrates</w:t>
      </w:r>
      <w:r>
        <w:t xml:space="preserve"> </w:t>
      </w:r>
      <w:r>
        <w:t xml:space="preserve">(Cooke et al., 2023; Dickson et al., 2023; Huolila et al., 1997; Magnelia et al., 2008)</w:t>
      </w:r>
      <w:r>
        <w:t xml:space="preserve">, and do not contribute to plastic pollution in the environment</w:t>
      </w:r>
      <w:r>
        <w:t xml:space="preserve"> </w:t>
      </w:r>
      <w:r>
        <w:t xml:space="preserve">(Cooke et al., 2023)</w:t>
      </w:r>
      <w:r>
        <w:t xml:space="preserve">. Locally sourced natural materials also align with kaitiakitanga, which is the Māori principle of environmental guardianship and preserves the natural character of culturally significant lake environments</w:t>
      </w:r>
      <w:r>
        <w:t xml:space="preserve"> </w:t>
      </w:r>
      <w:r>
        <w:t xml:space="preserve">(Clapcott et al., 2018)</w:t>
      </w:r>
      <w:r>
        <w:t xml:space="preserve">. For in-lake deployment, existing habitat surveys suggest that kōura are associated with coarser substrate</w:t>
      </w:r>
      <w:r>
        <w:t xml:space="preserve"> </w:t>
      </w:r>
      <w:r>
        <w:t xml:space="preserve">(Jowett et al., 2008; Kusabs et al., 2015; Olsson et al., 2006)</w:t>
      </w:r>
      <w:r>
        <w:t xml:space="preserve">, and cobbles have previously been used in stream and lake restoration</w:t>
      </w:r>
      <w:r>
        <w:t xml:space="preserve"> </w:t>
      </w:r>
      <w:r>
        <w:t xml:space="preserve">(Huolila et al., 1997; Johnsen &amp; Taugbøl, 2008)</w:t>
      </w:r>
      <w:r>
        <w:t xml:space="preserve">. FlatStones and StonePile both provided shelter spaces across size classes, but for in-lake deployment stone pile structures are the preferred candidates for field evaluation as due to their elevated structure, stone piles are less likely to be buried into soft substrates than flat configurations</w:t>
      </w:r>
      <w:r>
        <w:t xml:space="preserve"> </w:t>
      </w:r>
      <w:r>
        <w:t xml:space="preserve">(Garron et al., 2024)</w:t>
      </w:r>
      <w:r>
        <w:t xml:space="preserve">. With the threat from invasive predatory fish, like catfish preying on kōura</w:t>
      </w:r>
      <w:r>
        <w:t xml:space="preserve"> </w:t>
      </w:r>
      <w:r>
        <w:t xml:space="preserve">(Kusabs et al., inpress)</w:t>
      </w:r>
      <w:r>
        <w:t xml:space="preserve">, enhancing habitat complexity which provides enclosed crevices can be important for kōura as refuge availability directly influences predation survival</w:t>
      </w:r>
      <w:r>
        <w:t xml:space="preserve"> </w:t>
      </w:r>
      <w:r>
        <w:t xml:space="preserve">(Adams, 2007; Zhao et al., 2024)</w:t>
      </w:r>
      <w:r>
        <w:t xml:space="preserve">. While these mesocosm findings provide clear design guidance, field validation in lake environments remains an essential next step, as in-lake conditions including water movement, natural substrate, and predator pressure may modify kōura preferences in ways not captured under controlled conditions.</w:t>
      </w:r>
    </w:p>
    <w:bookmarkEnd w:id="31"/>
    <w:bookmarkStart w:id="32" w:name="conclusion"/>
    <w:p>
      <w:pPr>
        <w:pStyle w:val="Heading2"/>
      </w:pPr>
      <w:r>
        <w:t xml:space="preserve">Conclusion</w:t>
      </w:r>
    </w:p>
    <w:p>
      <w:pPr>
        <w:pStyle w:val="FirstParagraph"/>
      </w:pPr>
      <w:r>
        <w:t xml:space="preserve">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fundamentally changes what makes a shelter valuable. Size-dependent preferences further suggest that structures accommodating multiple body sizes simultaneously benefit whole populations rather than only dominant individuals. Stone-based structures using locally sourced materials are the most promising candidates for field evaluation, aligning with ecological and cultural values associated with restoring this taonga species. Field validation remains the essential next step for translating these findings into effective kōura habitat restoration practice.</w:t>
      </w:r>
    </w:p>
    <w:bookmarkEnd w:id="32"/>
    <w:bookmarkEnd w:id="33"/>
    <w:bookmarkStart w:id="38" w:name="acknowledgements"/>
    <w:p>
      <w:pPr>
        <w:pStyle w:val="Heading1"/>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This research was supported by the Fish Futures programme funded through a Ministry of Business, Innovation and Employment grant (CAWX2101).</w:t>
      </w:r>
    </w:p>
    <w:bookmarkStart w:id="34" w:name="authors-contributions"/>
    <w:p>
      <w:pPr>
        <w:pStyle w:val="Heading2"/>
      </w:pPr>
      <w:r>
        <w:t xml:space="preserve">Authors’ contributions</w:t>
      </w:r>
    </w:p>
    <w:p>
      <w:pPr>
        <w:pStyle w:val="FirstParagraph"/>
      </w:pPr>
      <w:r>
        <w:t xml:space="preserve">Study conception and design were undertaken by O.V.R., R.H. and F.J.B. Experiments were conducted by O.V.R. Data analysis was performed by O.V.R. Local ecological knowledge and kōura were supplied by I.A.K.K. Manuscript drafting was led by O.V.R. All authors contributed to manuscript revision, approved the results, and the final manuscript.</w:t>
      </w:r>
    </w:p>
    <w:bookmarkEnd w:id="34"/>
    <w:bookmarkStart w:id="35" w:name="ethical-approval"/>
    <w:p>
      <w:pPr>
        <w:pStyle w:val="Heading2"/>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35"/>
    <w:bookmarkStart w:id="36" w:name="declarations"/>
    <w:p>
      <w:pPr>
        <w:pStyle w:val="Heading2"/>
      </w:pPr>
      <w:r>
        <w:t xml:space="preserve">Declarations</w:t>
      </w:r>
    </w:p>
    <w:p>
      <w:pPr>
        <w:pStyle w:val="FirstParagraph"/>
      </w:pPr>
      <w:r>
        <w:t xml:space="preserve">The corresponding author has declared that none of the authors has any competing interests.</w:t>
      </w:r>
    </w:p>
    <w:bookmarkEnd w:id="36"/>
    <w:bookmarkStart w:id="37" w:name="data-availability-statement"/>
    <w:p>
      <w:pPr>
        <w:pStyle w:val="Heading2"/>
      </w:pPr>
      <w:r>
        <w:t xml:space="preserve">Data availability statement</w:t>
      </w:r>
    </w:p>
    <w:p>
      <w:pPr>
        <w:pStyle w:val="FirstParagraph"/>
      </w:pPr>
      <w:r>
        <w:t xml:space="preserve">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 Peer review documents, including the cover letter and reviewer responses, are available in the manuscript repository in the interest of open and transparent science.</w:t>
      </w:r>
    </w:p>
    <w:bookmarkEnd w:id="37"/>
    <w:bookmarkEnd w:id="38"/>
    <w:bookmarkStart w:id="153"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2" w:name="fig-exp-setup"/>
          <w:p>
            <w:pPr>
              <w:pStyle w:val="Compact"/>
              <w:jc w:val="center"/>
            </w:pPr>
            <w:r>
              <w:drawing>
                <wp:inline>
                  <wp:extent cx="5727700" cy="4293634"/>
                  <wp:effectExtent b="0" l="0" r="0" t="0"/>
                  <wp:docPr descr="" title="" id="40" name="Picture"/>
                  <a:graphic>
                    <a:graphicData uri="http://schemas.openxmlformats.org/drawingml/2006/picture">
                      <pic:pic>
                        <pic:nvPicPr>
                          <pic:cNvPr descr="images/Setup_exp_tanks.png" id="41" name="Picture"/>
                          <pic:cNvPicPr>
                            <a:picLocks noChangeArrowheads="1" noChangeAspect="1"/>
                          </pic:cNvPicPr>
                        </pic:nvPicPr>
                        <pic:blipFill>
                          <a:blip r:embed="rId39"/>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(Single kōura) and Experiment 2 (Group kōura):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(Bricks): BrickConcrete (perforated concrete bricks) and BrickWood (wooden bricks of identical dimensions) placed in opposing quadrants of the tank.</w:t>
            </w:r>
          </w:p>
          <w:bookmarkEnd w:id="42"/>
        </w:tc>
      </w:tr>
    </w:tbl>
    <w:bookmarkStart w:id="48" w:name="cell-fig-exp1-ms"/>
    <w:tbl>
      <w:tblPr>
        <w:tblStyle w:val="Table"/>
        <w:tblW w:type="pct" w:w="5000"/>
        <w:tblLayout w:type="fixed"/>
        <w:tblLook w:firstRow="0" w:lastRow="0" w:firstColumn="0" w:lastColumn="0" w:noHBand="0" w:noVBand="0" w:val="0000"/>
      </w:tblPr>
      <w:tblGrid>
        <w:gridCol w:w="7920"/>
      </w:tblGrid>
      <w:tr>
        <w:tc>
          <w:tcPr/>
          <w:bookmarkStart w:id="46" w:name="fig-exp1-ms"/>
          <w:p>
            <w:pPr>
              <w:pStyle w:val="Compact"/>
              <w:jc w:val="center"/>
            </w:pPr>
            <w:r>
              <w:drawing>
                <wp:inline>
                  <wp:extent cx="4587290" cy="3669832"/>
                  <wp:effectExtent b="0" l="0" r="0" t="0"/>
                  <wp:docPr descr="" title="" id="44" name="Picture"/>
                  <a:graphic>
                    <a:graphicData uri="http://schemas.openxmlformats.org/drawingml/2006/picture">
                      <pic:pic>
                        <pic:nvPicPr>
                          <pic:cNvPr descr="outputs/fig-exp1.png" id="45" name="Picture"/>
                          <pic:cNvPicPr>
                            <a:picLocks noChangeArrowheads="1" noChangeAspect="1"/>
                          </pic:cNvPicPr>
                        </pic:nvPicPr>
                        <pic:blipFill>
                          <a:blip r:embed="rId43"/>
                          <a:stretch>
                            <a:fillRect/>
                          </a:stretch>
                        </pic:blipFill>
                        <pic:spPr bwMode="auto">
                          <a:xfrm>
                            <a:off x="0" y="0"/>
                            <a:ext cx="4587290" cy="366983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structure type at final observation (L1), shown separately for female and male kōura. Bars show observed proportions with sample sizes (n) shown in white. Letters above bars indicate significant pairwise differences (G-test, Bonferroni adjusted).</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Article Notebook</w:t>
        </w:r>
      </w:hyperlink>
    </w:p>
    <w:bookmarkEnd w:id="48"/>
    <w:bookmarkStart w:id="53" w:name="cell-fig-exp2-ms"/>
    <w:tbl>
      <w:tblPr>
        <w:tblStyle w:val="Table"/>
        <w:tblW w:type="pct" w:w="5000"/>
        <w:tblLayout w:type="fixed"/>
        <w:tblLook w:firstRow="0" w:lastRow="0" w:firstColumn="0" w:lastColumn="0" w:noHBand="0" w:noVBand="0" w:val="0000"/>
      </w:tblPr>
      <w:tblGrid>
        <w:gridCol w:w="7920"/>
      </w:tblGrid>
      <w:tr>
        <w:tc>
          <w:tcPr/>
          <w:bookmarkStart w:id="52" w:name="fig-exp2-ms"/>
          <w:p>
            <w:pPr>
              <w:pStyle w:val="Compact"/>
              <w:jc w:val="center"/>
            </w:pPr>
            <w:r>
              <w:drawing>
                <wp:inline>
                  <wp:extent cx="5727700" cy="2863850"/>
                  <wp:effectExtent b="0" l="0" r="0" t="0"/>
                  <wp:docPr descr="" title="" id="50" name="Picture"/>
                  <a:graphic>
                    <a:graphicData uri="http://schemas.openxmlformats.org/drawingml/2006/picture">
                      <pic:pic>
                        <pic:nvPicPr>
                          <pic:cNvPr descr="outputs/fig-exp2.png" id="51" name="Picture"/>
                          <pic:cNvPicPr>
                            <a:picLocks noChangeArrowheads="1" noChangeAspect="1"/>
                          </pic:cNvPicPr>
                        </pic:nvPicPr>
                        <pic:blipFill>
                          <a:blip r:embed="rId49"/>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 ↑ used more than expected, ↓ used less than expected. Sample sizes shown in white. (B) Posterior predicted probability of structure type use by size class from Bayesian categorical mixed model, with 95% credible intervals.</w:t>
            </w:r>
          </w:p>
          <w:bookmarkEnd w:id="52"/>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Article Notebook</w:t>
        </w:r>
      </w:hyperlink>
    </w:p>
    <w:bookmarkEnd w:id="53"/>
    <w:bookmarkStart w:id="58" w:name="cell-fig-exp3-ms"/>
    <w:tbl>
      <w:tblPr>
        <w:tblStyle w:val="Table"/>
        <w:tblW w:type="pct" w:w="5000"/>
        <w:tblLayout w:type="fixed"/>
        <w:tblLook w:firstRow="0" w:lastRow="0" w:firstColumn="0" w:lastColumn="0" w:noHBand="0" w:noVBand="0" w:val="0000"/>
      </w:tblPr>
      <w:tblGrid>
        <w:gridCol w:w="7920"/>
      </w:tblGrid>
      <w:tr>
        <w:tc>
          <w:tcPr/>
          <w:bookmarkStart w:id="57" w:name="fig-exp3-ms"/>
          <w:p>
            <w:pPr>
              <w:pStyle w:val="Compact"/>
              <w:jc w:val="center"/>
            </w:pPr>
            <w:r>
              <w:drawing>
                <wp:inline>
                  <wp:extent cx="5727700" cy="2863850"/>
                  <wp:effectExtent b="0" l="0" r="0" t="0"/>
                  <wp:docPr descr="" title="" id="55" name="Picture"/>
                  <a:graphic>
                    <a:graphicData uri="http://schemas.openxmlformats.org/drawingml/2006/picture">
                      <pic:pic>
                        <pic:nvPicPr>
                          <pic:cNvPr descr="outputs/fig-exp3.png" id="56" name="Picture"/>
                          <pic:cNvPicPr>
                            <a:picLocks noChangeArrowheads="1" noChangeAspect="1"/>
                          </pic:cNvPicPr>
                        </pic:nvPicPr>
                        <pic:blipFill>
                          <a:blip r:embed="rId54"/>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structure type preference in stone versus wood comparison (Experiment 3). (A) Proportion of kōura found at each structure type at L1 across all groups and rounds. The dashed line indicates the null expectation of equal distribution (0.5). Significance symbols as in Figure 3. (B) Posterior predicted probability of structure type use by size class from Bayesian categorical mixed model, with 95% credible intervals. TankWall excluded from model predictions.</w:t>
            </w:r>
          </w:p>
          <w:bookmarkEnd w:id="57"/>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Article Notebook</w:t>
        </w:r>
      </w:hyperlink>
    </w:p>
    <w:bookmarkEnd w:id="58"/>
    <w:bookmarkStart w:id="63" w:name="cell-fig-exp4-ms"/>
    <w:tbl>
      <w:tblPr>
        <w:tblStyle w:val="Table"/>
        <w:tblW w:type="pct" w:w="5000"/>
        <w:tblLayout w:type="fixed"/>
        <w:tblLook w:firstRow="0" w:lastRow="0" w:firstColumn="0" w:lastColumn="0" w:noHBand="0" w:noVBand="0" w:val="0000"/>
      </w:tblPr>
      <w:tblGrid>
        <w:gridCol w:w="7920"/>
      </w:tblGrid>
      <w:tr>
        <w:tc>
          <w:tcPr/>
          <w:bookmarkStart w:id="62" w:name="fig-exp4-ms"/>
          <w:p>
            <w:pPr>
              <w:pStyle w:val="Compact"/>
              <w:jc w:val="center"/>
            </w:pPr>
            <w:r>
              <w:drawing>
                <wp:inline>
                  <wp:extent cx="5727700" cy="2863850"/>
                  <wp:effectExtent b="0" l="0" r="0" t="0"/>
                  <wp:docPr descr="" title="" id="60" name="Picture"/>
                  <a:graphic>
                    <a:graphicData uri="http://schemas.openxmlformats.org/drawingml/2006/picture">
                      <pic:pic>
                        <pic:nvPicPr>
                          <pic:cNvPr descr="outputs/fig-exp4.png" id="61" name="Picture"/>
                          <pic:cNvPicPr>
                            <a:picLocks noChangeArrowheads="1" noChangeAspect="1"/>
                          </pic:cNvPicPr>
                        </pic:nvPicPr>
                        <pic:blipFill>
                          <a:blip r:embed="rId59"/>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Brick material preference (Experiment 4). (A) Proportion of kōura found at each structure type at L1 across all groups and rounds. The dashed line indicates the null expectation of equal distribution (0.5). (B) Posterior predicted probability of structure type use by sex from Bayesian categorical mixed model, with 95% credible intervals. TankWall excluded from model predictions.</w:t>
            </w:r>
          </w:p>
          <w:bookmarkEnd w:id="62"/>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Article Notebook</w:t>
        </w:r>
      </w:hyperlink>
    </w:p>
    <w:bookmarkEnd w:id="63"/>
    <w:bookmarkStart w:id="152" w:name="refs"/>
    <w:bookmarkStart w:id="65" w:name="ref-Adams2007"/>
    <w:p>
      <w:pPr>
        <w:pStyle w:val="Bibliography"/>
      </w:pPr>
      <w:r>
        <w:t xml:space="preserve">Adams, S. B. (2007). Direct and indirect effects of channel catfish (ictalurus punctatus) on native crayfishes (cambaridae) in experimental tanks.</w:t>
      </w:r>
      <w:r>
        <w:t xml:space="preserve"> </w:t>
      </w:r>
      <w:r>
        <w:rPr>
          <w:i/>
          <w:iCs/>
        </w:rPr>
        <w:t xml:space="preserve">The American Midland Naturalist</w:t>
      </w:r>
      <w:r>
        <w:t xml:space="preserve">,</w:t>
      </w:r>
      <w:r>
        <w:t xml:space="preserve"> </w:t>
      </w:r>
      <w:r>
        <w:rPr>
          <w:i/>
          <w:iCs/>
        </w:rPr>
        <w:t xml:space="preserve">158</w:t>
      </w:r>
      <w:r>
        <w:t xml:space="preserve">(1), 85--96.</w:t>
      </w:r>
      <w:r>
        <w:t xml:space="preserve"> </w:t>
      </w:r>
      <w:hyperlink r:id="rId64">
        <w:r>
          <w:rPr>
            <w:rStyle w:val="Hyperlink"/>
          </w:rPr>
          <w:t xml:space="preserve">https://doi.org/10.1674/0003-0031(2007)158[85:daieoc]2.0.co;2</w:t>
        </w:r>
      </w:hyperlink>
    </w:p>
    <w:bookmarkEnd w:id="65"/>
    <w:bookmarkStart w:id="67" w:name="ref-Adams2014"/>
    <w:p>
      <w:pPr>
        <w:pStyle w:val="Bibliography"/>
      </w:pPr>
      <w:r>
        <w:t xml:space="preserve">Adams, S. B. (2014). Crayfish use of trash versus natural cover in incised, sand-bed streams.</w:t>
      </w:r>
      <w:r>
        <w:t xml:space="preserve"> </w:t>
      </w:r>
      <w:r>
        <w:rPr>
          <w:i/>
          <w:iCs/>
        </w:rPr>
        <w:t xml:space="preserve">Environmental Management</w:t>
      </w:r>
      <w:r>
        <w:t xml:space="preserve">,</w:t>
      </w:r>
      <w:r>
        <w:t xml:space="preserve"> </w:t>
      </w:r>
      <w:r>
        <w:rPr>
          <w:i/>
          <w:iCs/>
        </w:rPr>
        <w:t xml:space="preserve">53</w:t>
      </w:r>
      <w:r>
        <w:t xml:space="preserve">(2), 382--392.</w:t>
      </w:r>
      <w:r>
        <w:t xml:space="preserve"> </w:t>
      </w:r>
      <w:hyperlink r:id="rId66">
        <w:r>
          <w:rPr>
            <w:rStyle w:val="Hyperlink"/>
          </w:rPr>
          <w:t xml:space="preserve">https://doi.org/10.1007/s00267-013-0197-3</w:t>
        </w:r>
      </w:hyperlink>
    </w:p>
    <w:bookmarkEnd w:id="67"/>
    <w:bookmarkStart w:id="69" w:name="ref-Bates2015"/>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68">
        <w:r>
          <w:rPr>
            <w:rStyle w:val="Hyperlink"/>
          </w:rPr>
          <w:t xml:space="preserve">https://doi.org/10.18637/jss.v067.i01</w:t>
        </w:r>
      </w:hyperlink>
    </w:p>
    <w:bookmarkEnd w:id="69"/>
    <w:bookmarkStart w:id="71" w:name="ref-Bhimani2016"/>
    <w:p>
      <w:pPr>
        <w:pStyle w:val="Bibliography"/>
      </w:pPr>
      <w:r>
        <w:t xml:space="preserve">Bhimani, R., &amp; Huber, R. (2015). Operant avoidance learning in crayfish, orconectes rusticus: Computational ethology and the development of an automated learning paradigm.</w:t>
      </w:r>
      <w:r>
        <w:t xml:space="preserve"> </w:t>
      </w:r>
      <w:r>
        <w:rPr>
          <w:i/>
          <w:iCs/>
        </w:rPr>
        <w:t xml:space="preserve">Learning &amp;Amp; Behavior</w:t>
      </w:r>
      <w:r>
        <w:t xml:space="preserve">,</w:t>
      </w:r>
      <w:r>
        <w:t xml:space="preserve"> </w:t>
      </w:r>
      <w:r>
        <w:rPr>
          <w:i/>
          <w:iCs/>
        </w:rPr>
        <w:t xml:space="preserve">44</w:t>
      </w:r>
      <w:r>
        <w:t xml:space="preserve">(3), 239--249.</w:t>
      </w:r>
      <w:r>
        <w:t xml:space="preserve"> </w:t>
      </w:r>
      <w:hyperlink r:id="rId70">
        <w:r>
          <w:rPr>
            <w:rStyle w:val="Hyperlink"/>
          </w:rPr>
          <w:t xml:space="preserve">https://doi.org/10.3758/s13420-015-0205-y</w:t>
        </w:r>
      </w:hyperlink>
    </w:p>
    <w:bookmarkEnd w:id="71"/>
    <w:bookmarkStart w:id="73" w:name="ref-Bolker2009"/>
    <w:p>
      <w:pPr>
        <w:pStyle w:val="Bibliography"/>
      </w:pPr>
      <w:r>
        <w:t xml:space="preserve">Bolker, B. M., Brooks, M. E., Clark, C. J., Geange, S. W., Poulsen, J. R., Stevens, M. H. H., &amp; White, J.-S. S. (2009). Generalized linear mixed models: A practical guide for ecology and evolution.</w:t>
      </w:r>
      <w:r>
        <w:t xml:space="preserve"> </w:t>
      </w:r>
      <w:r>
        <w:rPr>
          <w:i/>
          <w:iCs/>
        </w:rPr>
        <w:t xml:space="preserve">Trends in Ecology &amp; Evolution</w:t>
      </w:r>
      <w:r>
        <w:t xml:space="preserve">,</w:t>
      </w:r>
      <w:r>
        <w:t xml:space="preserve"> </w:t>
      </w:r>
      <w:r>
        <w:rPr>
          <w:i/>
          <w:iCs/>
        </w:rPr>
        <w:t xml:space="preserve">24</w:t>
      </w:r>
      <w:r>
        <w:t xml:space="preserve">(3), 127--135.</w:t>
      </w:r>
      <w:r>
        <w:t xml:space="preserve"> </w:t>
      </w:r>
      <w:hyperlink r:id="rId72">
        <w:r>
          <w:rPr>
            <w:rStyle w:val="Hyperlink"/>
          </w:rPr>
          <w:t xml:space="preserve">https://doi.org/10.1016/j.tree.2008.10.008</w:t>
        </w:r>
      </w:hyperlink>
    </w:p>
    <w:bookmarkEnd w:id="73"/>
    <w:bookmarkStart w:id="75" w:name="ref-Burkner2025"/>
    <w:p>
      <w:pPr>
        <w:pStyle w:val="Bibliography"/>
      </w:pPr>
      <w:r>
        <w:t xml:space="preserve">Bürkner, P.-C., Gabry, J., Weber, S., &amp; Johnson, A. (2025).</w:t>
      </w:r>
      <w:r>
        <w:t xml:space="preserve"> </w:t>
      </w:r>
      <w:r>
        <w:rPr>
          <w:i/>
          <w:iCs/>
        </w:rPr>
        <w:t xml:space="preserve">brms</w:t>
      </w:r>
      <w:r>
        <w:rPr>
          <w:i/>
          <w:iCs/>
        </w:rPr>
        <w:t xml:space="preserve">:</w:t>
      </w:r>
      <w:r>
        <w:rPr>
          <w:i/>
          <w:iCs/>
        </w:rPr>
        <w:t xml:space="preserve"> </w:t>
      </w:r>
      <w:r>
        <w:rPr>
          <w:i/>
          <w:iCs/>
        </w:rPr>
        <w:t xml:space="preserve">Bayesian</w:t>
      </w:r>
      <w:r>
        <w:rPr>
          <w:i/>
          <w:iCs/>
        </w:rPr>
        <w:t xml:space="preserve"> </w:t>
      </w:r>
      <w:r>
        <w:rPr>
          <w:i/>
          <w:iCs/>
        </w:rPr>
        <w:t xml:space="preserve">regression models using</w:t>
      </w:r>
      <w:r>
        <w:rPr>
          <w:i/>
          <w:iCs/>
        </w:rPr>
        <w:t xml:space="preserve"> </w:t>
      </w:r>
      <w:r>
        <w:rPr>
          <w:i/>
          <w:iCs/>
        </w:rPr>
        <w:t xml:space="preserve">Stan</w:t>
      </w:r>
      <w:r>
        <w:t xml:space="preserve"> </w:t>
      </w:r>
      <w:r>
        <w:t xml:space="preserve">(Version 2.23.0) [Computer software].</w:t>
      </w:r>
      <w:r>
        <w:t xml:space="preserve"> </w:t>
      </w:r>
      <w:hyperlink r:id="rId74">
        <w:r>
          <w:rPr>
            <w:rStyle w:val="Hyperlink"/>
          </w:rPr>
          <w:t xml:space="preserve">https://cran.r-project.org/web/packages/brms/index.html</w:t>
        </w:r>
      </w:hyperlink>
    </w:p>
    <w:bookmarkEnd w:id="75"/>
    <w:bookmarkStart w:id="77" w:name="ref-Clapcott2018"/>
    <w:p>
      <w:pPr>
        <w:pStyle w:val="Bibliography"/>
      </w:pPr>
      <w:r>
        <w:t xml:space="preserve">Clapcott, J., Ataria, J., Hepburn, C., Hikuroa, D., Jackson, A., Kirikiri, R., &amp; Williams, E. (2018). Mātauranga māori: Shaping marine and freshwater futures.</w:t>
      </w:r>
      <w:r>
        <w:t xml:space="preserve"> </w:t>
      </w:r>
      <w:r>
        <w:rPr>
          <w:i/>
          <w:iCs/>
        </w:rPr>
        <w:t xml:space="preserve">New Zealand Journal of Marine and Freshwater Research</w:t>
      </w:r>
      <w:r>
        <w:t xml:space="preserve">,</w:t>
      </w:r>
      <w:r>
        <w:t xml:space="preserve"> </w:t>
      </w:r>
      <w:r>
        <w:rPr>
          <w:i/>
          <w:iCs/>
        </w:rPr>
        <w:t xml:space="preserve">52</w:t>
      </w:r>
      <w:r>
        <w:t xml:space="preserve">(4), 457--466.</w:t>
      </w:r>
      <w:r>
        <w:t xml:space="preserve"> </w:t>
      </w:r>
      <w:hyperlink r:id="rId76">
        <w:r>
          <w:rPr>
            <w:rStyle w:val="Hyperlink"/>
          </w:rPr>
          <w:t xml:space="preserve">https://doi.org/10.1080/00288330.2018.1539404</w:t>
        </w:r>
      </w:hyperlink>
    </w:p>
    <w:bookmarkEnd w:id="77"/>
    <w:bookmarkStart w:id="78" w:name="ref-Collier1997"/>
    <w:p>
      <w:pPr>
        <w:pStyle w:val="Bibliography"/>
      </w:pPr>
      <w:r>
        <w:t xml:space="preserve">Collier, K. J., Parkyn, S. M., &amp; Rabeni, C. F. (1997). Koura: A keystone species.</w:t>
      </w:r>
      <w:r>
        <w:t xml:space="preserve"> </w:t>
      </w:r>
      <w:r>
        <w:rPr>
          <w:i/>
          <w:iCs/>
        </w:rPr>
        <w:t xml:space="preserve">Water and Atmosphere</w:t>
      </w:r>
      <w:r>
        <w:t xml:space="preserve">,</w:t>
      </w:r>
      <w:r>
        <w:t xml:space="preserve"> </w:t>
      </w:r>
      <w:r>
        <w:rPr>
          <w:i/>
          <w:iCs/>
        </w:rPr>
        <w:t xml:space="preserve">5</w:t>
      </w:r>
      <w:r>
        <w:t xml:space="preserve">(1), 18–20.</w:t>
      </w:r>
    </w:p>
    <w:bookmarkEnd w:id="78"/>
    <w:bookmarkStart w:id="80" w:name="ref-Cooke2023"/>
    <w:p>
      <w:pPr>
        <w:pStyle w:val="Bibliography"/>
      </w:pPr>
      <w:r>
        <w:t xml:space="preserve">Cooke, S. J., Piczak, M. L., Vermaire, J. C., &amp; Kirkwood, A. E. (2023). On the troubling use of plastic</w:t>
      </w:r>
      <w:r>
        <w:t xml:space="preserve"> </w:t>
      </w:r>
      <w:r>
        <w:t xml:space="preserve">“habitat”</w:t>
      </w:r>
      <w:r>
        <w:t xml:space="preserve"> </w:t>
      </w:r>
      <w:r>
        <w:t xml:space="preserve">structures for fish in freshwater ecosystems – or – when restoration is just littering.</w:t>
      </w:r>
      <w:r>
        <w:t xml:space="preserve"> </w:t>
      </w:r>
      <w:r>
        <w:rPr>
          <w:i/>
          <w:iCs/>
        </w:rPr>
        <w:t xml:space="preserve">FACETS</w:t>
      </w:r>
      <w:r>
        <w:t xml:space="preserve">,</w:t>
      </w:r>
      <w:r>
        <w:t xml:space="preserve"> </w:t>
      </w:r>
      <w:r>
        <w:rPr>
          <w:i/>
          <w:iCs/>
        </w:rPr>
        <w:t xml:space="preserve">8</w:t>
      </w:r>
      <w:r>
        <w:t xml:space="preserve">, 1--19.</w:t>
      </w:r>
      <w:r>
        <w:t xml:space="preserve"> </w:t>
      </w:r>
      <w:hyperlink r:id="rId79">
        <w:r>
          <w:rPr>
            <w:rStyle w:val="Hyperlink"/>
          </w:rPr>
          <w:t xml:space="preserve">https://doi.org/10.1139/facets-2022-0210</w:t>
        </w:r>
      </w:hyperlink>
    </w:p>
    <w:bookmarkEnd w:id="80"/>
    <w:bookmarkStart w:id="82" w:name="ref-Dickson2023"/>
    <w:p>
      <w:pPr>
        <w:pStyle w:val="Bibliography"/>
      </w:pPr>
      <w:r>
        <w:t xml:space="preserve">Dickson, J., Franken, O., Watson, M. S., Monnich, B., Holthuijsen, S., Eriksson, B. K., Govers, L. L., Heide, T. van der, &amp; Bouma, T. J. (2023). Who lives in a pear tree under the sea? A first look at tree reefs as a complex natural biodegradable structure to enhance biodiversity in marine systems.</w:t>
      </w:r>
      <w:r>
        <w:t xml:space="preserve"> </w:t>
      </w:r>
      <w:r>
        <w:rPr>
          <w:i/>
          <w:iCs/>
        </w:rPr>
        <w:t xml:space="preserve">Frontiers in Marine Science</w:t>
      </w:r>
      <w:r>
        <w:t xml:space="preserve">,</w:t>
      </w:r>
      <w:r>
        <w:t xml:space="preserve"> </w:t>
      </w:r>
      <w:r>
        <w:rPr>
          <w:i/>
          <w:iCs/>
        </w:rPr>
        <w:t xml:space="preserve">10</w:t>
      </w:r>
      <w:r>
        <w:t xml:space="preserve">, 1213790.</w:t>
      </w:r>
      <w:r>
        <w:t xml:space="preserve"> </w:t>
      </w:r>
      <w:hyperlink r:id="rId81">
        <w:r>
          <w:rPr>
            <w:rStyle w:val="Hyperlink"/>
          </w:rPr>
          <w:t xml:space="preserve">https://doi.org/10.3389/fmars.2023.1213790</w:t>
        </w:r>
      </w:hyperlink>
    </w:p>
    <w:bookmarkEnd w:id="82"/>
    <w:bookmarkStart w:id="84" w:name="ref-Engels2014"/>
    <w:p>
      <w:pPr>
        <w:pStyle w:val="Bibliography"/>
      </w:pPr>
      <w:r>
        <w:t xml:space="preserve">Engels, B. (2014). XNomial: Exact goodness-of-fit test for multinomial data with fixed probabilities. In</w:t>
      </w:r>
      <w:r>
        <w:t xml:space="preserve"> </w:t>
      </w:r>
      <w:r>
        <w:rPr>
          <w:i/>
          <w:iCs/>
        </w:rPr>
        <w:t xml:space="preserve">CRAN: Contributed Packages</w:t>
      </w:r>
      <w:r>
        <w:t xml:space="preserve">. The R Foundation.</w:t>
      </w:r>
      <w:r>
        <w:t xml:space="preserve"> </w:t>
      </w:r>
      <w:hyperlink r:id="rId83">
        <w:r>
          <w:rPr>
            <w:rStyle w:val="Hyperlink"/>
          </w:rPr>
          <w:t xml:space="preserve">https://doi.org/10.32614/cran.package.xnomial</w:t>
        </w:r>
      </w:hyperlink>
    </w:p>
    <w:bookmarkEnd w:id="84"/>
    <w:bookmarkStart w:id="86" w:name="ref-Figler2005"/>
    <w:p>
      <w:pPr>
        <w:pStyle w:val="Bibliography"/>
      </w:pPr>
      <w:r>
        <w:t xml:space="preserve">Figler, M. H., Blank, G. S., &amp; Peeke, H. V. S. (2005). Shelter competition between resident male red swamp crayfish</w:t>
      </w:r>
      <w:r>
        <w:t xml:space="preserve"> </w:t>
      </w:r>
      <w:r>
        <w:rPr>
          <w:i/>
          <w:iCs/>
        </w:rPr>
        <w:t xml:space="preserve">Procambarus clarkii</w:t>
      </w:r>
      <w:r>
        <w:t xml:space="preserve"> </w:t>
      </w:r>
      <w:r>
        <w:t xml:space="preserve">(girard) and conspecific intruders varying by sex and reproductive status.</w:t>
      </w:r>
      <w:r>
        <w:t xml:space="preserve"> </w:t>
      </w:r>
      <w:r>
        <w:rPr>
          <w:i/>
          <w:iCs/>
        </w:rPr>
        <w:t xml:space="preserve">Marine and Freshwater Behaviour and Physiology</w:t>
      </w:r>
      <w:r>
        <w:t xml:space="preserve">,</w:t>
      </w:r>
      <w:r>
        <w:t xml:space="preserve"> </w:t>
      </w:r>
      <w:r>
        <w:rPr>
          <w:i/>
          <w:iCs/>
        </w:rPr>
        <w:t xml:space="preserve">38</w:t>
      </w:r>
      <w:r>
        <w:t xml:space="preserve">(4), 237--248.</w:t>
      </w:r>
      <w:r>
        <w:t xml:space="preserve"> </w:t>
      </w:r>
      <w:hyperlink r:id="rId85">
        <w:r>
          <w:rPr>
            <w:rStyle w:val="Hyperlink"/>
          </w:rPr>
          <w:t xml:space="preserve">https://doi.org/10.1080/10236240500376477</w:t>
        </w:r>
      </w:hyperlink>
    </w:p>
    <w:bookmarkEnd w:id="86"/>
    <w:bookmarkStart w:id="88" w:name="ref-Figler1999"/>
    <w:p>
      <w:pPr>
        <w:pStyle w:val="Bibliography"/>
      </w:pPr>
      <w:r>
        <w:t xml:space="preserve">Figler, M. H., Cheverton, H. M., &amp; Blank, G. S. (1999). Shelter competition in juvenile red swamp crayfish (procambarus clarkii): The influences of sex differences, relative size, and prior residence.</w:t>
      </w:r>
      <w:r>
        <w:t xml:space="preserve"> </w:t>
      </w:r>
      <w:r>
        <w:rPr>
          <w:i/>
          <w:iCs/>
        </w:rPr>
        <w:t xml:space="preserve">Aquaculture</w:t>
      </w:r>
      <w:r>
        <w:t xml:space="preserve">,</w:t>
      </w:r>
      <w:r>
        <w:t xml:space="preserve"> </w:t>
      </w:r>
      <w:r>
        <w:rPr>
          <w:i/>
          <w:iCs/>
        </w:rPr>
        <w:t xml:space="preserve">178</w:t>
      </w:r>
      <w:r>
        <w:t xml:space="preserve">(1-2), 63--75.</w:t>
      </w:r>
      <w:r>
        <w:t xml:space="preserve"> </w:t>
      </w:r>
      <w:hyperlink r:id="rId87">
        <w:r>
          <w:rPr>
            <w:rStyle w:val="Hyperlink"/>
          </w:rPr>
          <w:t xml:space="preserve">https://doi.org/10.1016/s0044-8486(99)00114-3</w:t>
        </w:r>
      </w:hyperlink>
    </w:p>
    <w:bookmarkEnd w:id="88"/>
    <w:bookmarkStart w:id="90" w:name="ref-Frehse2025"/>
    <w:p>
      <w:pPr>
        <w:pStyle w:val="Bibliography"/>
      </w:pPr>
      <w:r>
        <w:t xml:space="preserve">Frehse, F. de A., Derviche, P., Pereira, F. W., Hostim-Silva, M., &amp; Vitule, J. R. S. (2025). Artificial aquatic habitats: A systematic literature review and new perspectives.</w:t>
      </w:r>
      <w:r>
        <w:t xml:space="preserve"> </w:t>
      </w:r>
      <w:r>
        <w:rPr>
          <w:i/>
          <w:iCs/>
        </w:rPr>
        <w:t xml:space="preserve">Hydrobiologia</w:t>
      </w:r>
      <w:r>
        <w:t xml:space="preserve">,</w:t>
      </w:r>
      <w:r>
        <w:t xml:space="preserve"> </w:t>
      </w:r>
      <w:r>
        <w:rPr>
          <w:i/>
          <w:iCs/>
        </w:rPr>
        <w:t xml:space="preserve">852</w:t>
      </w:r>
      <w:r>
        <w:t xml:space="preserve">(8), 1997–2012.</w:t>
      </w:r>
      <w:r>
        <w:t xml:space="preserve"> </w:t>
      </w:r>
      <w:hyperlink r:id="rId89">
        <w:r>
          <w:rPr>
            <w:rStyle w:val="Hyperlink"/>
          </w:rPr>
          <w:t xml:space="preserve">https://doi.org/10.1007/s10750-024-05589-0</w:t>
        </w:r>
      </w:hyperlink>
    </w:p>
    <w:bookmarkEnd w:id="90"/>
    <w:bookmarkStart w:id="92" w:name="ref-Garron2024"/>
    <w:p>
      <w:pPr>
        <w:pStyle w:val="Bibliography"/>
      </w:pPr>
      <w:r>
        <w:t xml:space="preserve">Garron, C., Pangaud, A., Taubaty, M., Rolan‐Meynard, M., Argillier, C., Raymond, J., Dublon, J., &amp; Westrelin, S. (2024). Towards the development of a standardized method to monitor lakeshore hydromorphological restoration measures.</w:t>
      </w:r>
      <w:r>
        <w:t xml:space="preserve"> </w:t>
      </w:r>
      <w:r>
        <w:rPr>
          <w:i/>
          <w:iCs/>
        </w:rPr>
        <w:t xml:space="preserve">Aquatic Conservation: Marine and Freshwater Ecosystems</w:t>
      </w:r>
      <w:r>
        <w:t xml:space="preserve">,</w:t>
      </w:r>
      <w:r>
        <w:t xml:space="preserve"> </w:t>
      </w:r>
      <w:r>
        <w:rPr>
          <w:i/>
          <w:iCs/>
        </w:rPr>
        <w:t xml:space="preserve">34</w:t>
      </w:r>
      <w:r>
        <w:t xml:space="preserve">(4).</w:t>
      </w:r>
      <w:r>
        <w:t xml:space="preserve"> </w:t>
      </w:r>
      <w:hyperlink r:id="rId91">
        <w:r>
          <w:rPr>
            <w:rStyle w:val="Hyperlink"/>
          </w:rPr>
          <w:t xml:space="preserve">https://doi.org/10.1002/aqc.4152</w:t>
        </w:r>
      </w:hyperlink>
    </w:p>
    <w:bookmarkEnd w:id="92"/>
    <w:bookmarkStart w:id="94" w:name="ref-Gelman1992"/>
    <w:p>
      <w:pPr>
        <w:pStyle w:val="Bibliography"/>
      </w:pPr>
      <w:r>
        <w:t xml:space="preserve">Gelman, A., &amp; Rubin, D. B. (1992). Inference from iterative simulation using multiple sequences.</w:t>
      </w:r>
      <w:r>
        <w:t xml:space="preserve"> </w:t>
      </w:r>
      <w:r>
        <w:rPr>
          <w:i/>
          <w:iCs/>
        </w:rPr>
        <w:t xml:space="preserve">Statistical Science</w:t>
      </w:r>
      <w:r>
        <w:t xml:space="preserve">,</w:t>
      </w:r>
      <w:r>
        <w:t xml:space="preserve"> </w:t>
      </w:r>
      <w:r>
        <w:rPr>
          <w:i/>
          <w:iCs/>
        </w:rPr>
        <w:t xml:space="preserve">7</w:t>
      </w:r>
      <w:r>
        <w:t xml:space="preserve">(4), 457–472.</w:t>
      </w:r>
      <w:r>
        <w:t xml:space="preserve"> </w:t>
      </w:r>
      <w:hyperlink r:id="rId93">
        <w:r>
          <w:rPr>
            <w:rStyle w:val="Hyperlink"/>
          </w:rPr>
          <w:t xml:space="preserve">https://doi.org/10.1214/ss/1177011136</w:t>
        </w:r>
      </w:hyperlink>
    </w:p>
    <w:bookmarkEnd w:id="94"/>
    <w:bookmarkStart w:id="96" w:name="ref-Hammond2006"/>
    <w:p>
      <w:pPr>
        <w:pStyle w:val="Bibliography"/>
      </w:pPr>
      <w:r>
        <w:t xml:space="preserve">Hammond, K. S., Hollows, J. W., Townsend, C. R., &amp; Lokman, P. M. (2006). Effects of temperature and water calcium concentration on growth, survival and moulting of freshwater crayfish, paranephrops zealandicus.</w:t>
      </w:r>
      <w:r>
        <w:t xml:space="preserve"> </w:t>
      </w:r>
      <w:r>
        <w:rPr>
          <w:i/>
          <w:iCs/>
        </w:rPr>
        <w:t xml:space="preserve">Aquaculture</w:t>
      </w:r>
      <w:r>
        <w:t xml:space="preserve">,</w:t>
      </w:r>
      <w:r>
        <w:t xml:space="preserve"> </w:t>
      </w:r>
      <w:r>
        <w:rPr>
          <w:i/>
          <w:iCs/>
        </w:rPr>
        <w:t xml:space="preserve">251</w:t>
      </w:r>
      <w:r>
        <w:t xml:space="preserve">(2-4), 271--279.</w:t>
      </w:r>
      <w:r>
        <w:t xml:space="preserve"> </w:t>
      </w:r>
      <w:hyperlink r:id="rId95">
        <w:r>
          <w:rPr>
            <w:rStyle w:val="Hyperlink"/>
          </w:rPr>
          <w:t xml:space="preserve">https://doi.org/10.1016/j.aquaculture.2005.05.032</w:t>
        </w:r>
      </w:hyperlink>
    </w:p>
    <w:bookmarkEnd w:id="96"/>
    <w:bookmarkStart w:id="98" w:name="ref-Huolila1997"/>
    <w:p>
      <w:pPr>
        <w:pStyle w:val="Bibliography"/>
      </w:pPr>
      <w:r>
        <w:t xml:space="preserve">Huolila, M., Marjomäki, T. J., &amp; Laukkanen, E. (1997). The success of crayfish stocking in a dredged river with and without artificial shelter increase.</w:t>
      </w:r>
      <w:r>
        <w:t xml:space="preserve"> </w:t>
      </w:r>
      <w:r>
        <w:rPr>
          <w:i/>
          <w:iCs/>
        </w:rPr>
        <w:t xml:space="preserve">Fisheries Research</w:t>
      </w:r>
      <w:r>
        <w:t xml:space="preserve">,</w:t>
      </w:r>
      <w:r>
        <w:t xml:space="preserve"> </w:t>
      </w:r>
      <w:r>
        <w:rPr>
          <w:i/>
          <w:iCs/>
        </w:rPr>
        <w:t xml:space="preserve">32</w:t>
      </w:r>
      <w:r>
        <w:t xml:space="preserve">(2), 185--189.</w:t>
      </w:r>
      <w:r>
        <w:t xml:space="preserve"> </w:t>
      </w:r>
      <w:hyperlink r:id="rId97">
        <w:r>
          <w:rPr>
            <w:rStyle w:val="Hyperlink"/>
          </w:rPr>
          <w:t xml:space="preserve">https://doi.org/10.1016/s0165-7836(97)00046-5</w:t>
        </w:r>
      </w:hyperlink>
    </w:p>
    <w:bookmarkEnd w:id="98"/>
    <w:bookmarkStart w:id="100" w:name="ref-Hurlbert1984"/>
    <w:p>
      <w:pPr>
        <w:pStyle w:val="Bibliography"/>
      </w:pPr>
      <w:r>
        <w:t xml:space="preserve">Hurlbert, S. H. (1984). Pseudoreplication and the design of ecological field experiments.</w:t>
      </w:r>
      <w:r>
        <w:t xml:space="preserve"> </w:t>
      </w:r>
      <w:r>
        <w:rPr>
          <w:i/>
          <w:iCs/>
        </w:rPr>
        <w:t xml:space="preserve">Ecological Monographs</w:t>
      </w:r>
      <w:r>
        <w:t xml:space="preserve">,</w:t>
      </w:r>
      <w:r>
        <w:t xml:space="preserve"> </w:t>
      </w:r>
      <w:r>
        <w:rPr>
          <w:i/>
          <w:iCs/>
        </w:rPr>
        <w:t xml:space="preserve">54</w:t>
      </w:r>
      <w:r>
        <w:t xml:space="preserve">(2), 187--211.</w:t>
      </w:r>
      <w:r>
        <w:t xml:space="preserve"> </w:t>
      </w:r>
      <w:hyperlink r:id="rId99">
        <w:r>
          <w:rPr>
            <w:rStyle w:val="Hyperlink"/>
          </w:rPr>
          <w:t xml:space="preserve">https://doi.org/10.2307/1942661</w:t>
        </w:r>
      </w:hyperlink>
    </w:p>
    <w:bookmarkEnd w:id="100"/>
    <w:bookmarkStart w:id="102" w:name="ref-Hylkema2020"/>
    <w:p>
      <w:pPr>
        <w:pStyle w:val="Bibliography"/>
      </w:pPr>
      <w:r>
        <w:t xml:space="preserve">Hylkema, A., Debrot, A. O., Osinga, R., Bron, P. S., Heesink, D. B., Izioka, A. K., Reid, C. B., Rippen, J. C., Treibitz, T., Yuval, M., &amp; Murk, A. J. (2020). Fish assemblages of three common artificial reef designs during early colonization.</w:t>
      </w:r>
      <w:r>
        <w:t xml:space="preserve"> </w:t>
      </w:r>
      <w:r>
        <w:rPr>
          <w:i/>
          <w:iCs/>
        </w:rPr>
        <w:t xml:space="preserve">Ecological Engineering</w:t>
      </w:r>
      <w:r>
        <w:t xml:space="preserve">,</w:t>
      </w:r>
      <w:r>
        <w:t xml:space="preserve"> </w:t>
      </w:r>
      <w:r>
        <w:rPr>
          <w:i/>
          <w:iCs/>
        </w:rPr>
        <w:t xml:space="preserve">157</w:t>
      </w:r>
      <w:r>
        <w:t xml:space="preserve">, 105994.</w:t>
      </w:r>
      <w:r>
        <w:t xml:space="preserve"> </w:t>
      </w:r>
      <w:hyperlink r:id="rId101">
        <w:r>
          <w:rPr>
            <w:rStyle w:val="Hyperlink"/>
          </w:rPr>
          <w:t xml:space="preserve">https://doi.org/10.1016/j.ecoleng.2020.105994</w:t>
        </w:r>
      </w:hyperlink>
    </w:p>
    <w:bookmarkEnd w:id="102"/>
    <w:bookmarkStart w:id="103" w:name="ref-Johnsen2008"/>
    <w:p>
      <w:pPr>
        <w:pStyle w:val="Bibliography"/>
      </w:pPr>
      <w:r>
        <w:t xml:space="preserve">Johnsen, S. I., &amp; Taugbøl, T. (2008). Add stones, get crayfish – is it that simple?</w:t>
      </w:r>
      <w:r>
        <w:t xml:space="preserve"> </w:t>
      </w:r>
      <w:r>
        <w:rPr>
          <w:i/>
          <w:iCs/>
        </w:rPr>
        <w:t xml:space="preserve">Freshwater Crayfish</w:t>
      </w:r>
      <w:r>
        <w:t xml:space="preserve">,</w:t>
      </w:r>
      <w:r>
        <w:t xml:space="preserve"> </w:t>
      </w:r>
      <w:r>
        <w:rPr>
          <w:i/>
          <w:iCs/>
        </w:rPr>
        <w:t xml:space="preserve">16</w:t>
      </w:r>
      <w:r>
        <w:t xml:space="preserve">(1), 47–50.</w:t>
      </w:r>
    </w:p>
    <w:bookmarkEnd w:id="103"/>
    <w:bookmarkStart w:id="105" w:name="ref-Jowett2008"/>
    <w:p>
      <w:pPr>
        <w:pStyle w:val="Bibliography"/>
      </w:pPr>
      <w:r>
        <w:t xml:space="preserve">Jowett, I. G., Parkyn, S. M., &amp; Richardson, J. (2008). Habitat characteristics of crayfish (paranephrops planifrons) in new zealand streams using generalised additive models (GAMs).</w:t>
      </w:r>
      <w:r>
        <w:t xml:space="preserve"> </w:t>
      </w:r>
      <w:r>
        <w:rPr>
          <w:i/>
          <w:iCs/>
        </w:rPr>
        <w:t xml:space="preserve">Hydrobiologia</w:t>
      </w:r>
      <w:r>
        <w:t xml:space="preserve">,</w:t>
      </w:r>
      <w:r>
        <w:t xml:space="preserve"> </w:t>
      </w:r>
      <w:r>
        <w:rPr>
          <w:i/>
          <w:iCs/>
        </w:rPr>
        <w:t xml:space="preserve">596</w:t>
      </w:r>
      <w:r>
        <w:t xml:space="preserve">(1), 353--365.</w:t>
      </w:r>
      <w:r>
        <w:t xml:space="preserve"> </w:t>
      </w:r>
      <w:hyperlink r:id="rId104">
        <w:r>
          <w:rPr>
            <w:rStyle w:val="Hyperlink"/>
          </w:rPr>
          <w:t xml:space="preserve">https://doi.org/10.1007/s10750-007-9108-z</w:t>
        </w:r>
      </w:hyperlink>
    </w:p>
    <w:bookmarkEnd w:id="105"/>
    <w:bookmarkStart w:id="106" w:name="ref-Jurcak2016"/>
    <w:p>
      <w:pPr>
        <w:pStyle w:val="Bibliography"/>
      </w:pPr>
      <w:r>
        <w:t xml:space="preserve">Jurcak, A. M., Lahman, S. E., Wofford, S. J., &amp; Moore, P. A. (2016). Behavior of crayfish. In</w:t>
      </w:r>
      <w:r>
        <w:t xml:space="preserve"> </w:t>
      </w:r>
      <w:r>
        <w:rPr>
          <w:i/>
          <w:iCs/>
        </w:rPr>
        <w:t xml:space="preserve">Biology and ecology of crayfish</w:t>
      </w:r>
      <w:r>
        <w:t xml:space="preserve">. CRC Press.</w:t>
      </w:r>
    </w:p>
    <w:bookmarkEnd w:id="106"/>
    <w:bookmarkStart w:id="107" w:name="ref-Kusabsinpress"/>
    <w:p>
      <w:pPr>
        <w:pStyle w:val="Bibliography"/>
      </w:pPr>
      <w:r>
        <w:t xml:space="preserve">Kusabs, I. A., Duggan, I. C., Scholes, P., Bruere, A., Te Kurapa, T. W., Grant, T., &amp; Burdon, F. J. (inpress). Invasive catfish linked to the decline of freshwater crayfish in two aotearoa new zealand lakes.</w:t>
      </w:r>
      <w:r>
        <w:t xml:space="preserve"> </w:t>
      </w:r>
      <w:r>
        <w:rPr>
          <w:i/>
          <w:iCs/>
        </w:rPr>
        <w:t xml:space="preserve">Manuscript Submitted for Publication</w:t>
      </w:r>
      <w:r>
        <w:t xml:space="preserve">.</w:t>
      </w:r>
    </w:p>
    <w:bookmarkEnd w:id="107"/>
    <w:bookmarkStart w:id="109" w:name="ref-Kusabs2009"/>
    <w:p>
      <w:pPr>
        <w:pStyle w:val="Bibliography"/>
      </w:pPr>
      <w:r>
        <w:t xml:space="preserve">Kusabs, I. A., &amp; Quinn, J. M. (2009). Use of a traditional maori harvesting method, the tau kōura, for monitoring kōura (freshwater crayfish, paranephrops planifrons) in lake rotoiti, north island, new zealand.</w:t>
      </w:r>
      <w:r>
        <w:t xml:space="preserve"> </w:t>
      </w:r>
      <w:r>
        <w:rPr>
          <w:i/>
          <w:iCs/>
        </w:rPr>
        <w:t xml:space="preserve">New Zealand Journal of Marine and Freshwater Research</w:t>
      </w:r>
      <w:r>
        <w:t xml:space="preserve">,</w:t>
      </w:r>
      <w:r>
        <w:t xml:space="preserve"> </w:t>
      </w:r>
      <w:r>
        <w:rPr>
          <w:i/>
          <w:iCs/>
        </w:rPr>
        <w:t xml:space="preserve">43</w:t>
      </w:r>
      <w:r>
        <w:t xml:space="preserve">(3), 713–722.</w:t>
      </w:r>
      <w:r>
        <w:t xml:space="preserve"> </w:t>
      </w:r>
      <w:hyperlink r:id="rId108">
        <w:r>
          <w:rPr>
            <w:rStyle w:val="Hyperlink"/>
          </w:rPr>
          <w:t xml:space="preserve">https://doi.org/10.1080/00288330909510036</w:t>
        </w:r>
      </w:hyperlink>
    </w:p>
    <w:bookmarkEnd w:id="109"/>
    <w:bookmarkStart w:id="111" w:name="ref-Kusabs2015"/>
    <w:p>
      <w:pPr>
        <w:pStyle w:val="Bibliography"/>
      </w:pPr>
      <w:r>
        <w:t xml:space="preserve">Kusabs, I. A., Quinn, J. M., &amp; Hamilton, D. P. (2015). Effects of benthic substrate, nutrient enrichment and predatory fish on freshwater crayfish (koura, paranephrops planifrons) population characteristics in seven te arawa (rotorua) lakes, north island, new zealand.</w:t>
      </w:r>
      <w:r>
        <w:t xml:space="preserve"> </w:t>
      </w:r>
      <w:r>
        <w:rPr>
          <w:i/>
          <w:iCs/>
        </w:rPr>
        <w:t xml:space="preserve">Marine and Freshwater Research</w:t>
      </w:r>
      <w:r>
        <w:t xml:space="preserve">,</w:t>
      </w:r>
      <w:r>
        <w:t xml:space="preserve"> </w:t>
      </w:r>
      <w:r>
        <w:rPr>
          <w:i/>
          <w:iCs/>
        </w:rPr>
        <w:t xml:space="preserve">66</w:t>
      </w:r>
      <w:r>
        <w:t xml:space="preserve">(7), 631–643.</w:t>
      </w:r>
      <w:r>
        <w:t xml:space="preserve"> </w:t>
      </w:r>
      <w:hyperlink r:id="rId110">
        <w:r>
          <w:rPr>
            <w:rStyle w:val="Hyperlink"/>
          </w:rPr>
          <w:t xml:space="preserve">https://doi.org/10.1071/mf14148</w:t>
        </w:r>
      </w:hyperlink>
    </w:p>
    <w:bookmarkEnd w:id="111"/>
    <w:bookmarkStart w:id="113" w:name="ref-Lee2025"/>
    <w:p>
      <w:pPr>
        <w:pStyle w:val="Bibliography"/>
      </w:pPr>
      <w:r>
        <w:t xml:space="preserve">Lee, F., Kusabs, I. A. K., Perry, G. L. W., &amp; MacNeil, C. (2025). Identifying refugia from the synergistic threats of climate change and invasive species.</w:t>
      </w:r>
      <w:r>
        <w:t xml:space="preserve"> </w:t>
      </w:r>
      <w:r>
        <w:rPr>
          <w:i/>
          <w:iCs/>
        </w:rPr>
        <w:t xml:space="preserve">Web Ecology</w:t>
      </w:r>
      <w:r>
        <w:t xml:space="preserve">,</w:t>
      </w:r>
      <w:r>
        <w:t xml:space="preserve"> </w:t>
      </w:r>
      <w:r>
        <w:rPr>
          <w:i/>
          <w:iCs/>
        </w:rPr>
        <w:t xml:space="preserve">25</w:t>
      </w:r>
      <w:r>
        <w:t xml:space="preserve">(2), 221–239.</w:t>
      </w:r>
      <w:r>
        <w:t xml:space="preserve"> </w:t>
      </w:r>
      <w:hyperlink r:id="rId112">
        <w:r>
          <w:rPr>
            <w:rStyle w:val="Hyperlink"/>
          </w:rPr>
          <w:t xml:space="preserve">https://doi.org/10.5194/we-25-221-2025</w:t>
        </w:r>
      </w:hyperlink>
    </w:p>
    <w:bookmarkEnd w:id="113"/>
    <w:bookmarkStart w:id="114" w:name="ref-Magnelia2008"/>
    <w:p>
      <w:pPr>
        <w:pStyle w:val="Bibliography"/>
      </w:pPr>
      <w:r>
        <w:t xml:space="preserve">Magnelia, S. J., Jesus, M. J. D., Schlechte, J. W., Cummings, G. C., &amp; Duty, J. L. (2008).</w:t>
      </w:r>
      <w:r>
        <w:t xml:space="preserve"> </w:t>
      </w:r>
      <w:r>
        <w:rPr>
          <w:i/>
          <w:iCs/>
        </w:rPr>
        <w:t xml:space="preserve">Comparison of plastic pipe and juniper tree fish attractors in a central texas reservoir</w:t>
      </w:r>
      <w:r>
        <w:t xml:space="preserve">.</w:t>
      </w:r>
    </w:p>
    <w:bookmarkEnd w:id="114"/>
    <w:bookmarkStart w:id="116" w:name="ref-Mazlum2017"/>
    <w:p>
      <w:pPr>
        <w:pStyle w:val="Bibliography"/>
      </w:pPr>
      <w:r>
        <w:t xml:space="preserve">Mazlum, Y., Guner Gurlek, O., &amp; Sirin, S. (2017). Effect of different substrates on survival and growth of juveniles of the freshwater narrow-clawed crayfish astacus leptodactylus eschscholtz, 1823 (decapoda, astacidae).</w:t>
      </w:r>
      <w:r>
        <w:t xml:space="preserve"> </w:t>
      </w:r>
      <w:r>
        <w:rPr>
          <w:i/>
          <w:iCs/>
        </w:rPr>
        <w:t xml:space="preserve">Crustaceana</w:t>
      </w:r>
      <w:r>
        <w:t xml:space="preserve">,</w:t>
      </w:r>
      <w:r>
        <w:t xml:space="preserve"> </w:t>
      </w:r>
      <w:r>
        <w:rPr>
          <w:i/>
          <w:iCs/>
        </w:rPr>
        <w:t xml:space="preserve">90</w:t>
      </w:r>
      <w:r>
        <w:t xml:space="preserve">(11-12), 1289--1302.</w:t>
      </w:r>
      <w:r>
        <w:t xml:space="preserve"> </w:t>
      </w:r>
      <w:hyperlink r:id="rId115">
        <w:r>
          <w:rPr>
            <w:rStyle w:val="Hyperlink"/>
          </w:rPr>
          <w:t xml:space="preserve">https://doi.org/10.1163/15685403-00003724</w:t>
        </w:r>
      </w:hyperlink>
    </w:p>
    <w:bookmarkEnd w:id="116"/>
    <w:bookmarkStart w:id="117" w:name="ref-McCarthy2007"/>
    <w:p>
      <w:pPr>
        <w:pStyle w:val="Bibliography"/>
      </w:pPr>
      <w:r>
        <w:t xml:space="preserve">McCarthy, M. A. (2007).</w:t>
      </w:r>
      <w:r>
        <w:t xml:space="preserve"> </w:t>
      </w:r>
      <w:r>
        <w:rPr>
          <w:i/>
          <w:iCs/>
        </w:rPr>
        <w:t xml:space="preserve">Bayesian methods for ecology</w:t>
      </w:r>
      <w:r>
        <w:t xml:space="preserve">. Cambridge University Press.</w:t>
      </w:r>
    </w:p>
    <w:bookmarkEnd w:id="117"/>
    <w:bookmarkStart w:id="119" w:name="ref-Momot1995"/>
    <w:p>
      <w:pPr>
        <w:pStyle w:val="Bibliography"/>
      </w:pPr>
      <w:r>
        <w:t xml:space="preserve">Momot, W. T. (1995). Redefining the role of crayfish in aquatic ecosystems.</w:t>
      </w:r>
      <w:r>
        <w:t xml:space="preserve"> </w:t>
      </w:r>
      <w:r>
        <w:rPr>
          <w:i/>
          <w:iCs/>
        </w:rPr>
        <w:t xml:space="preserve">Reviews in Fisheries Science</w:t>
      </w:r>
      <w:r>
        <w:t xml:space="preserve">,</w:t>
      </w:r>
      <w:r>
        <w:t xml:space="preserve"> </w:t>
      </w:r>
      <w:r>
        <w:rPr>
          <w:i/>
          <w:iCs/>
        </w:rPr>
        <w:t xml:space="preserve">3</w:t>
      </w:r>
      <w:r>
        <w:t xml:space="preserve">(1), 33--63.</w:t>
      </w:r>
      <w:r>
        <w:t xml:space="preserve"> </w:t>
      </w:r>
      <w:hyperlink r:id="rId118">
        <w:r>
          <w:rPr>
            <w:rStyle w:val="Hyperlink"/>
          </w:rPr>
          <w:t xml:space="preserve">https://doi.org/10.1080/10641269509388566</w:t>
        </w:r>
      </w:hyperlink>
    </w:p>
    <w:bookmarkEnd w:id="119"/>
    <w:bookmarkStart w:id="121" w:name="ref-Olsson2009"/>
    <w:p>
      <w:pPr>
        <w:pStyle w:val="Bibliography"/>
      </w:pPr>
      <w:r>
        <w:t xml:space="preserve">Olsson, K., &amp; Nyström, P. (2009). Non-interactive effects of habitat complexity and adult crayfish on survival and growth of juvenile crayfish (</w:t>
      </w:r>
      <w:r>
        <w:rPr>
          <w:i/>
          <w:iCs/>
        </w:rPr>
        <w:t xml:space="preserve">Pacifastacus leniusculus</w:t>
      </w:r>
      <w:r>
        <w:t xml:space="preserve">).</w:t>
      </w:r>
      <w:r>
        <w:t xml:space="preserve"> </w:t>
      </w:r>
      <w:r>
        <w:rPr>
          <w:i/>
          <w:iCs/>
        </w:rPr>
        <w:t xml:space="preserve">Freshwater Biology</w:t>
      </w:r>
      <w:r>
        <w:t xml:space="preserve">,</w:t>
      </w:r>
      <w:r>
        <w:t xml:space="preserve"> </w:t>
      </w:r>
      <w:r>
        <w:rPr>
          <w:i/>
          <w:iCs/>
        </w:rPr>
        <w:t xml:space="preserve">54</w:t>
      </w:r>
      <w:r>
        <w:t xml:space="preserve">(1), 35--46.</w:t>
      </w:r>
      <w:r>
        <w:t xml:space="preserve"> </w:t>
      </w:r>
      <w:hyperlink r:id="rId120">
        <w:r>
          <w:rPr>
            <w:rStyle w:val="Hyperlink"/>
          </w:rPr>
          <w:t xml:space="preserve">https://doi.org/10.1111/j.1365-2427.2008.02089.x</w:t>
        </w:r>
      </w:hyperlink>
    </w:p>
    <w:bookmarkEnd w:id="121"/>
    <w:bookmarkStart w:id="123" w:name="ref-Olsson2006"/>
    <w:p>
      <w:pPr>
        <w:pStyle w:val="Bibliography"/>
      </w:pPr>
      <w:r>
        <w:t xml:space="preserve">Olsson, K., Stenroth, P., Nyström, P., Holmqvist, N., McIntosh, A. R., &amp; Winterbourn, M. J. (2006). Does natural acidity mediate interactions between introduced brown trout, native fish, crayfish and other invertebrates in west coast new zealand streams?</w:t>
      </w:r>
      <w:r>
        <w:t xml:space="preserve"> </w:t>
      </w:r>
      <w:r>
        <w:rPr>
          <w:i/>
          <w:iCs/>
        </w:rPr>
        <w:t xml:space="preserve">Biological Conservation</w:t>
      </w:r>
      <w:r>
        <w:t xml:space="preserve">,</w:t>
      </w:r>
      <w:r>
        <w:t xml:space="preserve"> </w:t>
      </w:r>
      <w:r>
        <w:rPr>
          <w:i/>
          <w:iCs/>
        </w:rPr>
        <w:t xml:space="preserve">130</w:t>
      </w:r>
      <w:r>
        <w:t xml:space="preserve">(2), 255--267.</w:t>
      </w:r>
      <w:r>
        <w:t xml:space="preserve"> </w:t>
      </w:r>
      <w:hyperlink r:id="rId122">
        <w:r>
          <w:rPr>
            <w:rStyle w:val="Hyperlink"/>
          </w:rPr>
          <w:t xml:space="preserve">https://doi.org/10.1016/j.biocon.2005.12.019</w:t>
        </w:r>
      </w:hyperlink>
    </w:p>
    <w:bookmarkEnd w:id="123"/>
    <w:bookmarkStart w:id="125" w:name="ref-Parkyn2001"/>
    <w:p>
      <w:pPr>
        <w:pStyle w:val="Bibliography"/>
      </w:pPr>
      <w:r>
        <w:t xml:space="preserve">Parkyn, S. M., Collier, K. J., &amp; Hicks, B. J. (2001). New zealand stream crayfish: Functional omnivores but trophic predators?</w:t>
      </w:r>
      <w:r>
        <w:t xml:space="preserve"> </w:t>
      </w:r>
      <w:r>
        <w:rPr>
          <w:i/>
          <w:iCs/>
        </w:rPr>
        <w:t xml:space="preserve">Freshwater Biology</w:t>
      </w:r>
      <w:r>
        <w:t xml:space="preserve">,</w:t>
      </w:r>
      <w:r>
        <w:t xml:space="preserve"> </w:t>
      </w:r>
      <w:r>
        <w:rPr>
          <w:i/>
          <w:iCs/>
        </w:rPr>
        <w:t xml:space="preserve">46</w:t>
      </w:r>
      <w:r>
        <w:t xml:space="preserve">(5), 641--652.</w:t>
      </w:r>
      <w:r>
        <w:t xml:space="preserve"> </w:t>
      </w:r>
      <w:hyperlink r:id="rId124">
        <w:r>
          <w:rPr>
            <w:rStyle w:val="Hyperlink"/>
          </w:rPr>
          <w:t xml:space="preserve">https://doi.org/10.1046/j.1365-2427.2001.00702.x</w:t>
        </w:r>
      </w:hyperlink>
    </w:p>
    <w:bookmarkEnd w:id="125"/>
    <w:bookmarkStart w:id="127" w:name="ref-Parkyn2009"/>
    <w:p>
      <w:pPr>
        <w:pStyle w:val="Bibliography"/>
      </w:pPr>
      <w:r>
        <w:t xml:space="preserve">Parkyn, S. M., Meleason, M. A., &amp; Davies‐Colley, R. 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w:t>
      </w:r>
      <w:r>
        <w:t xml:space="preserve"> </w:t>
      </w:r>
      <w:r>
        <w:rPr>
          <w:i/>
          <w:iCs/>
        </w:rPr>
        <w:t xml:space="preserve">43</w:t>
      </w:r>
      <w:r>
        <w:t xml:space="preserve">(3), 689--700.</w:t>
      </w:r>
      <w:r>
        <w:t xml:space="preserve"> </w:t>
      </w:r>
      <w:hyperlink r:id="rId126">
        <w:r>
          <w:rPr>
            <w:rStyle w:val="Hyperlink"/>
          </w:rPr>
          <w:t xml:space="preserve">https://doi.org/10.1080/00288330909510034</w:t>
        </w:r>
      </w:hyperlink>
    </w:p>
    <w:bookmarkEnd w:id="127"/>
    <w:bookmarkStart w:id="129" w:name="ref-Percival2010"/>
    <w:p>
      <w:pPr>
        <w:pStyle w:val="Bibliography"/>
      </w:pPr>
      <w:r>
        <w:t xml:space="preserve">Percival, D., &amp; Moore, P. (2010). Shelter size influences self-assessment of size in crayfish, orconectes rusticus: Consequences for agonistic fights.</w:t>
      </w:r>
      <w:r>
        <w:t xml:space="preserve"> </w:t>
      </w:r>
      <w:r>
        <w:rPr>
          <w:i/>
          <w:iCs/>
        </w:rPr>
        <w:t xml:space="preserve">Behaviour</w:t>
      </w:r>
      <w:r>
        <w:t xml:space="preserve">,</w:t>
      </w:r>
      <w:r>
        <w:t xml:space="preserve"> </w:t>
      </w:r>
      <w:r>
        <w:rPr>
          <w:i/>
          <w:iCs/>
        </w:rPr>
        <w:t xml:space="preserve">147</w:t>
      </w:r>
      <w:r>
        <w:t xml:space="preserve">(1), 103--119.</w:t>
      </w:r>
      <w:r>
        <w:t xml:space="preserve"> </w:t>
      </w:r>
      <w:hyperlink r:id="rId128">
        <w:r>
          <w:rPr>
            <w:rStyle w:val="Hyperlink"/>
          </w:rPr>
          <w:t xml:space="preserve">https://doi.org/10.1163/000579509x12512685881053</w:t>
        </w:r>
      </w:hyperlink>
    </w:p>
    <w:bookmarkEnd w:id="129"/>
    <w:bookmarkStart w:id="130" w:name="ref-Ramalho2010"/>
    <w:p>
      <w:pPr>
        <w:pStyle w:val="Bibliography"/>
      </w:pPr>
      <w:r>
        <w:t xml:space="preserve">Ramalho, R. O., McClain, W. R., &amp; Anastacio, P. M. (2010). An effective and simple method of temporarily marking crayfish.</w:t>
      </w:r>
      <w:r>
        <w:t xml:space="preserve"> </w:t>
      </w:r>
      <w:r>
        <w:rPr>
          <w:i/>
          <w:iCs/>
        </w:rPr>
        <w:t xml:space="preserve">Freshwater Crayfish</w:t>
      </w:r>
      <w:r>
        <w:t xml:space="preserve">,</w:t>
      </w:r>
      <w:r>
        <w:t xml:space="preserve"> </w:t>
      </w:r>
      <w:r>
        <w:rPr>
          <w:i/>
          <w:iCs/>
        </w:rPr>
        <w:t xml:space="preserve">17</w:t>
      </w:r>
      <w:r>
        <w:t xml:space="preserve">(1), 57–60.</w:t>
      </w:r>
    </w:p>
    <w:bookmarkEnd w:id="130"/>
    <w:bookmarkStart w:id="131" w:name="ref-Ranta1993"/>
    <w:p>
      <w:pPr>
        <w:pStyle w:val="Bibliography"/>
      </w:pPr>
      <w:r>
        <w:t xml:space="preserve">Ranta, E., &amp; Lindström, K. (1993). Body size and shelter possession in mature signal crayfish,</w:t>
      </w:r>
      <w:r>
        <w:t xml:space="preserve"> </w:t>
      </w:r>
      <w:r>
        <w:t xml:space="preserve">Pacifastacus leniusculus</w:t>
      </w:r>
      <w:r>
        <w:t xml:space="preserve">.</w:t>
      </w:r>
      <w:r>
        <w:t xml:space="preserve"> </w:t>
      </w:r>
      <w:r>
        <w:rPr>
          <w:i/>
          <w:iCs/>
        </w:rPr>
        <w:t xml:space="preserve">Annales Zoologici Fennici</w:t>
      </w:r>
      <w:r>
        <w:t xml:space="preserve">,</w:t>
      </w:r>
      <w:r>
        <w:t xml:space="preserve"> </w:t>
      </w:r>
      <w:r>
        <w:rPr>
          <w:i/>
          <w:iCs/>
        </w:rPr>
        <w:t xml:space="preserve">30</w:t>
      </w:r>
      <w:r>
        <w:t xml:space="preserve">(2), 125–132.</w:t>
      </w:r>
    </w:p>
    <w:bookmarkEnd w:id="131"/>
    <w:bookmarkStart w:id="133" w:name="ref-Raveninreview"/>
    <w:p>
      <w:pPr>
        <w:pStyle w:val="Bibliography"/>
      </w:pPr>
      <w:r>
        <w:t xml:space="preserve">Raven, O. V., Burdon, F. J., Kusabs, I. A. K., Holmes, R., &amp; Özkundakci, D. (inreview).</w:t>
      </w:r>
      <w:r>
        <w:t xml:space="preserve"> </w:t>
      </w:r>
      <w:r>
        <w:rPr>
          <w:i/>
          <w:iCs/>
        </w:rPr>
        <w:t xml:space="preserve">Littoral habitat structure influences freshwater crayfish populations in five volcanic lakes of aotearoa new zealand</w:t>
      </w:r>
      <w:r>
        <w:t xml:space="preserve">.</w:t>
      </w:r>
      <w:r>
        <w:t xml:space="preserve"> </w:t>
      </w:r>
      <w:hyperlink r:id="rId132">
        <w:r>
          <w:rPr>
            <w:rStyle w:val="Hyperlink"/>
          </w:rPr>
          <w:t xml:space="preserve">https://olivierraven.github.io/Koura_shoreline_habitats/</w:t>
        </w:r>
      </w:hyperlink>
    </w:p>
    <w:bookmarkEnd w:id="133"/>
    <w:bookmarkStart w:id="135" w:name="ref-Ravenindraft"/>
    <w:p>
      <w:pPr>
        <w:pStyle w:val="Bibliography"/>
      </w:pPr>
      <w:r>
        <w:t xml:space="preserve">Raven, O. V., MacNeil, C., Lee, F., Holmes, R., Kusabs, I. A. K., Burdon, F. J., &amp; Özkundakci, D. (indraft).</w:t>
      </w:r>
      <w:r>
        <w:t xml:space="preserve"> </w:t>
      </w:r>
      <w:r>
        <w:rPr>
          <w:i/>
          <w:iCs/>
        </w:rPr>
        <w:t xml:space="preserve">Fear of the invader: A predatory invader may provoke stronger non-consumptive effects on a keystone native prey than a native predator</w:t>
      </w:r>
      <w:r>
        <w:t xml:space="preserve">.</w:t>
      </w:r>
      <w:r>
        <w:t xml:space="preserve"> </w:t>
      </w:r>
      <w:hyperlink r:id="rId134">
        <w:r>
          <w:rPr>
            <w:rStyle w:val="Hyperlink"/>
          </w:rPr>
          <w:t xml:space="preserve">https://olivierraven.github.io/NCE_Koura_catfish/</w:t>
        </w:r>
      </w:hyperlink>
    </w:p>
    <w:bookmarkEnd w:id="135"/>
    <w:bookmarkStart w:id="137" w:name="ref-Richman2015"/>
    <w:p>
      <w:pPr>
        <w:pStyle w:val="Bibliography"/>
      </w:pPr>
      <w:r>
        <w:t xml:space="preserve">Richman, N. I., Böhm, M., Adams, S. B., Alvarez, F., Bergey, E. A., Bunn, J. J. S., Burnham, Q., Cordeiro, J., Coughran, J., Crandall, K. A., Dawkins, K. L., DiStefano, R. J., Doran, N. E., Edsman, L., Eversole, A. G., Füreder, L., Furse, J. M., Gherardi, F., Hamr, P., … Collen, B. (2015). Multiple drivers of decline in the global status of freshwater crayfish (decapoda: astacidea).</w:t>
      </w:r>
      <w:r>
        <w:t xml:space="preserve"> </w:t>
      </w:r>
      <w:r>
        <w:rPr>
          <w:i/>
          <w:iCs/>
        </w:rPr>
        <w:t xml:space="preserve">Philosophical Transactions of the Royal Society B: Biological Sciences</w:t>
      </w:r>
      <w:r>
        <w:t xml:space="preserve">,</w:t>
      </w:r>
      <w:r>
        <w:t xml:space="preserve"> </w:t>
      </w:r>
      <w:r>
        <w:rPr>
          <w:i/>
          <w:iCs/>
        </w:rPr>
        <w:t xml:space="preserve">370</w:t>
      </w:r>
      <w:r>
        <w:t xml:space="preserve">(1662), 20140060.</w:t>
      </w:r>
      <w:r>
        <w:t xml:space="preserve"> </w:t>
      </w:r>
      <w:hyperlink r:id="rId136">
        <w:r>
          <w:rPr>
            <w:rStyle w:val="Hyperlink"/>
          </w:rPr>
          <w:t xml:space="preserve">https://doi.org/10.1098/rstb.2014.0060</w:t>
        </w:r>
      </w:hyperlink>
    </w:p>
    <w:bookmarkEnd w:id="137"/>
    <w:bookmarkStart w:id="138" w:name="ref-Shave1994"/>
    <w:p>
      <w:pPr>
        <w:pStyle w:val="Bibliography"/>
      </w:pPr>
      <w:r>
        <w:t xml:space="preserve">Shave, C. R., Townsend, C. R., &amp; Crowl, T. 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w:t>
      </w:r>
      <w:r>
        <w:t xml:space="preserve"> </w:t>
      </w:r>
      <w:r>
        <w:rPr>
          <w:i/>
          <w:iCs/>
        </w:rPr>
        <w:t xml:space="preserve">18</w:t>
      </w:r>
      <w:r>
        <w:t xml:space="preserve">(1), 1–10.</w:t>
      </w:r>
    </w:p>
    <w:bookmarkEnd w:id="138"/>
    <w:bookmarkStart w:id="139" w:name="ref-Spanier1994"/>
    <w:p>
      <w:pPr>
        <w:pStyle w:val="Bibliography"/>
      </w:pPr>
      <w:r>
        <w:t xml:space="preserve">Spanier, E. (1994). What are the characteristics of a good artificial reef for lobsters?</w:t>
      </w:r>
      <w:r>
        <w:t xml:space="preserve"> </w:t>
      </w:r>
      <w:r>
        <w:rPr>
          <w:i/>
          <w:iCs/>
        </w:rPr>
        <w:t xml:space="preserve">Crustaceana</w:t>
      </w:r>
      <w:r>
        <w:t xml:space="preserve">,</w:t>
      </w:r>
      <w:r>
        <w:t xml:space="preserve"> </w:t>
      </w:r>
      <w:r>
        <w:rPr>
          <w:i/>
          <w:iCs/>
        </w:rPr>
        <w:t xml:space="preserve">67</w:t>
      </w:r>
      <w:r>
        <w:t xml:space="preserve">(2), 173--186.</w:t>
      </w:r>
    </w:p>
    <w:bookmarkEnd w:id="139"/>
    <w:bookmarkStart w:id="141" w:name="ref-Stewart2011"/>
    <w:p>
      <w:pPr>
        <w:pStyle w:val="Bibliography"/>
      </w:pPr>
      <w:r>
        <w:t xml:space="preserve">Stewart, C., &amp; Tabak, J. (2011). Size‐based dominance hierarchies in the new zealand freshwater crayfish (koura)</w:t>
      </w:r>
      <w:r>
        <w:t xml:space="preserve"> </w:t>
      </w:r>
      <w:r>
        <w:t xml:space="preserve">Paranephrops zealandicus</w:t>
      </w:r>
      <w:r>
        <w:t xml:space="preserve">.</w:t>
      </w:r>
      <w:r>
        <w:t xml:space="preserve"> </w:t>
      </w:r>
      <w:r>
        <w:rPr>
          <w:i/>
          <w:iCs/>
        </w:rPr>
        <w:t xml:space="preserve">New Zealand Journal of Marine and Freshwater Research</w:t>
      </w:r>
      <w:r>
        <w:t xml:space="preserve">,</w:t>
      </w:r>
      <w:r>
        <w:t xml:space="preserve"> </w:t>
      </w:r>
      <w:r>
        <w:rPr>
          <w:i/>
          <w:iCs/>
        </w:rPr>
        <w:t xml:space="preserve">45</w:t>
      </w:r>
      <w:r>
        <w:t xml:space="preserve">(2), 281–285.</w:t>
      </w:r>
      <w:r>
        <w:t xml:space="preserve"> </w:t>
      </w:r>
      <w:hyperlink r:id="rId140">
        <w:r>
          <w:rPr>
            <w:rStyle w:val="Hyperlink"/>
          </w:rPr>
          <w:t xml:space="preserve">https://doi.org/10.1080/00288330.2011.559661</w:t>
        </w:r>
      </w:hyperlink>
    </w:p>
    <w:bookmarkEnd w:id="141"/>
    <w:bookmarkStart w:id="143" w:name="ref-Streissl2002"/>
    <w:p>
      <w:pPr>
        <w:pStyle w:val="Bibliography"/>
      </w:pPr>
      <w:r>
        <w:t xml:space="preserve">Streissl, F., &amp; Hödl, W. (2002). Habitat and shelter requirements of the stone crayfish,</w:t>
      </w:r>
      <w:r>
        <w:t xml:space="preserve"> </w:t>
      </w:r>
      <w:r>
        <w:t xml:space="preserve">Austropotamobius torrentium</w:t>
      </w:r>
      <w:r>
        <w:t xml:space="preserve"> </w:t>
      </w:r>
      <w:r>
        <w:t xml:space="preserve">schrank.</w:t>
      </w:r>
      <w:r>
        <w:t xml:space="preserve"> </w:t>
      </w:r>
      <w:r>
        <w:rPr>
          <w:i/>
          <w:iCs/>
        </w:rPr>
        <w:t xml:space="preserve">Hydrobiologia</w:t>
      </w:r>
      <w:r>
        <w:t xml:space="preserve">,</w:t>
      </w:r>
      <w:r>
        <w:t xml:space="preserve"> </w:t>
      </w:r>
      <w:r>
        <w:rPr>
          <w:i/>
          <w:iCs/>
        </w:rPr>
        <w:t xml:space="preserve">477</w:t>
      </w:r>
      <w:r>
        <w:t xml:space="preserve">, 195–199.</w:t>
      </w:r>
      <w:r>
        <w:t xml:space="preserve"> </w:t>
      </w:r>
      <w:hyperlink r:id="rId142">
        <w:r>
          <w:rPr>
            <w:rStyle w:val="Hyperlink"/>
          </w:rPr>
          <w:t xml:space="preserve">https://doi.org/10.1023/A:1021094309738</w:t>
        </w:r>
      </w:hyperlink>
    </w:p>
    <w:bookmarkEnd w:id="143"/>
    <w:bookmarkStart w:id="145" w:name="ref-Takahashi2019"/>
    <w:p>
      <w:pPr>
        <w:pStyle w:val="Bibliography"/>
      </w:pPr>
      <w:r>
        <w:t xml:space="preserve">Takahashi, K., Yamaguchi, E., Fujiyama, N., &amp; Nagayama, T. (2019). The effects of quality of shelters and prior residence on marmorkrebs (marbled crayfish).</w:t>
      </w:r>
      <w:r>
        <w:t xml:space="preserve"> </w:t>
      </w:r>
      <w:r>
        <w:rPr>
          <w:i/>
          <w:iCs/>
        </w:rPr>
        <w:t xml:space="preserve">Journal of Experimental Biology</w:t>
      </w:r>
      <w:r>
        <w:t xml:space="preserve">.</w:t>
      </w:r>
      <w:r>
        <w:t xml:space="preserve"> </w:t>
      </w:r>
      <w:hyperlink r:id="rId144">
        <w:r>
          <w:rPr>
            <w:rStyle w:val="Hyperlink"/>
          </w:rPr>
          <w:t xml:space="preserve">https://doi.org/10.1242/jeb.197301</w:t>
        </w:r>
      </w:hyperlink>
    </w:p>
    <w:bookmarkEnd w:id="145"/>
    <w:bookmarkStart w:id="147" w:name="ref-Usio2000"/>
    <w:p>
      <w:pPr>
        <w:pStyle w:val="Bibliography"/>
      </w:pPr>
      <w:r>
        <w:t xml:space="preserve">Usio, N., &amp; Townsend, C. R. (2000). Distribution of the new zealand crayfish</w:t>
      </w:r>
      <w:r>
        <w:t xml:space="preserve"> </w:t>
      </w:r>
      <w:r>
        <w:t xml:space="preserve">Paranephrops zealandicus</w:t>
      </w:r>
      <w:r>
        <w:t xml:space="preserve"> </w:t>
      </w:r>
      <w:r>
        <w:t xml:space="preserve">in relation to stream physico‐chemistry, predatory fish, and invertebrate prey.</w:t>
      </w:r>
      <w:r>
        <w:t xml:space="preserve"> </w:t>
      </w:r>
      <w:r>
        <w:rPr>
          <w:i/>
          <w:iCs/>
        </w:rPr>
        <w:t xml:space="preserve">New Zealand Journal of Marine and Freshwater Research</w:t>
      </w:r>
      <w:r>
        <w:t xml:space="preserve">,</w:t>
      </w:r>
      <w:r>
        <w:t xml:space="preserve"> </w:t>
      </w:r>
      <w:r>
        <w:rPr>
          <w:i/>
          <w:iCs/>
        </w:rPr>
        <w:t xml:space="preserve">34</w:t>
      </w:r>
      <w:r>
        <w:t xml:space="preserve">(3), 557--567.</w:t>
      </w:r>
      <w:r>
        <w:t xml:space="preserve"> </w:t>
      </w:r>
      <w:hyperlink r:id="rId146">
        <w:r>
          <w:rPr>
            <w:rStyle w:val="Hyperlink"/>
          </w:rPr>
          <w:t xml:space="preserve">https://doi.org/10.1080/00288330.2000.9516957</w:t>
        </w:r>
      </w:hyperlink>
    </w:p>
    <w:bookmarkEnd w:id="147"/>
    <w:bookmarkStart w:id="149" w:name="ref-Wehi2017"/>
    <w:p>
      <w:pPr>
        <w:pStyle w:val="Bibliography"/>
      </w:pPr>
      <w:r>
        <w:t xml:space="preserve">Wehi, P. M., &amp; Lord, J. M. (2017). Importance of including cultural practices in ecological restoration.</w:t>
      </w:r>
      <w:r>
        <w:t xml:space="preserve"> </w:t>
      </w:r>
      <w:r>
        <w:rPr>
          <w:i/>
          <w:iCs/>
        </w:rPr>
        <w:t xml:space="preserve">Conservation Biology</w:t>
      </w:r>
      <w:r>
        <w:t xml:space="preserve">,</w:t>
      </w:r>
      <w:r>
        <w:t xml:space="preserve"> </w:t>
      </w:r>
      <w:r>
        <w:rPr>
          <w:i/>
          <w:iCs/>
        </w:rPr>
        <w:t xml:space="preserve">31</w:t>
      </w:r>
      <w:r>
        <w:t xml:space="preserve">(5), 1109--1118.</w:t>
      </w:r>
      <w:r>
        <w:t xml:space="preserve"> </w:t>
      </w:r>
      <w:hyperlink r:id="rId148">
        <w:r>
          <w:rPr>
            <w:rStyle w:val="Hyperlink"/>
          </w:rPr>
          <w:t xml:space="preserve">https://doi.org/10.1111/cobi.12915</w:t>
        </w:r>
      </w:hyperlink>
    </w:p>
    <w:bookmarkEnd w:id="149"/>
    <w:bookmarkStart w:id="151" w:name="ref-Zhao2024"/>
    <w:p>
      <w:pPr>
        <w:pStyle w:val="Bibliography"/>
      </w:pPr>
      <w:r>
        <w:t xml:space="preserve">Zhao, M., Feng, G., Wang, H., Shen, C., Fu, Y., Zhang, Y., Zhang, H., Yao, Y., Chen, J., &amp; Xu, W. (2024). The influence of shelter type and coverage on crayfish (procambarus clarkii) predation by catfish (silurus asotus): A controlled environment study.</w:t>
      </w:r>
      <w:r>
        <w:t xml:space="preserve"> </w:t>
      </w:r>
      <w:r>
        <w:rPr>
          <w:i/>
          <w:iCs/>
        </w:rPr>
        <w:t xml:space="preserve">Animals</w:t>
      </w:r>
      <w:r>
        <w:t xml:space="preserve">,</w:t>
      </w:r>
      <w:r>
        <w:t xml:space="preserve"> </w:t>
      </w:r>
      <w:r>
        <w:rPr>
          <w:i/>
          <w:iCs/>
        </w:rPr>
        <w:t xml:space="preserve">14</w:t>
      </w:r>
      <w:r>
        <w:t xml:space="preserve">(8), 1147.</w:t>
      </w:r>
      <w:r>
        <w:t xml:space="preserve"> </w:t>
      </w:r>
      <w:hyperlink r:id="rId150">
        <w:r>
          <w:rPr>
            <w:rStyle w:val="Hyperlink"/>
          </w:rPr>
          <w:t xml:space="preserve">https://doi.org/10.3390/ani14081147</w:t>
        </w:r>
      </w:hyperlink>
    </w:p>
    <w:bookmarkEnd w:id="151"/>
    <w:bookmarkEnd w:id="152"/>
    <w:bookmarkEnd w:id="153"/>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2447CA"/>
    <w:rsid w:val="00336821"/>
    <w:rsid w:val="003C7EE2"/>
    <w:rsid w:val="005044F2"/>
    <w:rsid w:val="00510764"/>
    <w:rsid w:val="0051102F"/>
    <w:rsid w:val="006327B2"/>
    <w:rsid w:val="00634882"/>
    <w:rsid w:val="00696C14"/>
    <w:rsid w:val="007469FE"/>
    <w:rsid w:val="008000A7"/>
    <w:rsid w:val="00917306"/>
    <w:rsid w:val="009B7F83"/>
    <w:rsid w:val="00AA3340"/>
    <w:rsid w:val="00B43B10"/>
    <w:rsid w:val="00E2075A"/>
    <w:rsid w:val="00F03ACD"/>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E2075A"/>
    <w:pPr>
      <w:keepNext/>
      <w:keepLines/>
      <w:spacing w:after="80" w:before="360" w:line="240" w:lineRule="auto"/>
      <w:outlineLvl w:val="0"/>
    </w:pPr>
    <w:rPr>
      <w:rFonts w:cstheme="majorBidi" w:eastAsiaTheme="majorEastAsia"/>
      <w:b/>
      <w:sz w:val="32"/>
      <w:szCs w:val="40"/>
    </w:rPr>
  </w:style>
  <w:style w:styleId="Heading2" w:type="paragraph">
    <w:name w:val="heading 2"/>
    <w:basedOn w:val="Normal"/>
    <w:next w:val="Normal"/>
    <w:link w:val="Heading2Char"/>
    <w:uiPriority w:val="9"/>
    <w:unhideWhenUsed/>
    <w:qFormat/>
    <w:rsid w:val="00E2075A"/>
    <w:pPr>
      <w:keepNext/>
      <w:keepLines/>
      <w:spacing w:after="320" w:before="400" w:line="240" w:lineRule="auto"/>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E2075A"/>
    <w:rPr>
      <w:rFonts w:cstheme="majorBidi" w:eastAsiaTheme="majorEastAsia"/>
      <w:b/>
      <w:sz w:val="32"/>
      <w:szCs w:val="40"/>
      <w:lang w:val="en-GB"/>
    </w:rPr>
  </w:style>
  <w:style w:customStyle="1" w:styleId="Heading2Char" w:type="character">
    <w:name w:val="Heading 2 Char"/>
    <w:basedOn w:val="DefaultParagraphFont"/>
    <w:link w:val="Heading2"/>
    <w:uiPriority w:val="9"/>
    <w:rsid w:val="00E2075A"/>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5044F2"/>
    <w:pPr>
      <w:spacing w:after="80" w:line="240" w:lineRule="auto"/>
      <w:contextualSpacing/>
    </w:pPr>
    <w:rPr>
      <w:rFonts w:cstheme="majorBidi" w:eastAsiaTheme="majorEastAsia"/>
      <w:b/>
      <w:spacing w:val="-10"/>
      <w:kern w:val="28"/>
      <w:sz w:val="48"/>
      <w:szCs w:val="56"/>
    </w:rPr>
  </w:style>
  <w:style w:customStyle="1" w:styleId="TitleChar" w:type="character">
    <w:name w:val="Title Char"/>
    <w:basedOn w:val="DefaultParagraphFont"/>
    <w:link w:val="Title"/>
    <w:uiPriority w:val="10"/>
    <w:rsid w:val="005044F2"/>
    <w:rPr>
      <w:rFonts w:cstheme="majorBidi" w:eastAsiaTheme="majorEastAsia"/>
      <w:b/>
      <w:spacing w:val="-10"/>
      <w:kern w:val="28"/>
      <w:sz w:val="48"/>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hyperlink" Id="rId47" Target="https://OlivierRaven.github.io/4.Mesocosm_study/index.qmd.html" TargetMode="External" /><Relationship Type="http://schemas.openxmlformats.org/officeDocument/2006/relationships/hyperlink" Id="rId74" Target="https://cran.r-project.org/web/packages/brms/index.html" TargetMode="External" /><Relationship Type="http://schemas.openxmlformats.org/officeDocument/2006/relationships/hyperlink" Id="rId91" Target="https://doi.org/10.1002/aqc.4152" TargetMode="External" /><Relationship Type="http://schemas.openxmlformats.org/officeDocument/2006/relationships/hyperlink" Id="rId66" Target="https://doi.org/10.1007/s00267-013-0197-3" TargetMode="External" /><Relationship Type="http://schemas.openxmlformats.org/officeDocument/2006/relationships/hyperlink" Id="rId104" Target="https://doi.org/10.1007/s10750-007-9108-z" TargetMode="External" /><Relationship Type="http://schemas.openxmlformats.org/officeDocument/2006/relationships/hyperlink" Id="rId89" Target="https://doi.org/10.1007/s10750-024-05589-0" TargetMode="External" /><Relationship Type="http://schemas.openxmlformats.org/officeDocument/2006/relationships/hyperlink" Id="rId95" Target="https://doi.org/10.1016/j.aquaculture.2005.05.032" TargetMode="External" /><Relationship Type="http://schemas.openxmlformats.org/officeDocument/2006/relationships/hyperlink" Id="rId122" Target="https://doi.org/10.1016/j.biocon.2005.12.019" TargetMode="External" /><Relationship Type="http://schemas.openxmlformats.org/officeDocument/2006/relationships/hyperlink" Id="rId101" Target="https://doi.org/10.1016/j.ecoleng.2020.105994" TargetMode="External" /><Relationship Type="http://schemas.openxmlformats.org/officeDocument/2006/relationships/hyperlink" Id="rId72" Target="https://doi.org/10.1016/j.tree.2008.10.008" TargetMode="External" /><Relationship Type="http://schemas.openxmlformats.org/officeDocument/2006/relationships/hyperlink" Id="rId87" Target="https://doi.org/10.1016/s0044-8486(99)00114-3" TargetMode="External" /><Relationship Type="http://schemas.openxmlformats.org/officeDocument/2006/relationships/hyperlink" Id="rId97" Target="https://doi.org/10.1016/s0165-7836(97)00046-5" TargetMode="External" /><Relationship Type="http://schemas.openxmlformats.org/officeDocument/2006/relationships/hyperlink" Id="rId142" Target="https://doi.org/10.1023/A:1021094309738" TargetMode="External" /><Relationship Type="http://schemas.openxmlformats.org/officeDocument/2006/relationships/hyperlink" Id="rId124" Target="https://doi.org/10.1046/j.1365-2427.2001.00702.x" TargetMode="External" /><Relationship Type="http://schemas.openxmlformats.org/officeDocument/2006/relationships/hyperlink" Id="rId110" Target="https://doi.org/10.1071/mf14148" TargetMode="External" /><Relationship Type="http://schemas.openxmlformats.org/officeDocument/2006/relationships/hyperlink" Id="rId146" Target="https://doi.org/10.1080/00288330.2000.9516957" TargetMode="External" /><Relationship Type="http://schemas.openxmlformats.org/officeDocument/2006/relationships/hyperlink" Id="rId140" Target="https://doi.org/10.1080/00288330.2011.559661" TargetMode="External" /><Relationship Type="http://schemas.openxmlformats.org/officeDocument/2006/relationships/hyperlink" Id="rId76" Target="https://doi.org/10.1080/00288330.2018.1539404" TargetMode="External" /><Relationship Type="http://schemas.openxmlformats.org/officeDocument/2006/relationships/hyperlink" Id="rId126" Target="https://doi.org/10.1080/00288330909510034" TargetMode="External" /><Relationship Type="http://schemas.openxmlformats.org/officeDocument/2006/relationships/hyperlink" Id="rId108" Target="https://doi.org/10.1080/00288330909510036" TargetMode="External" /><Relationship Type="http://schemas.openxmlformats.org/officeDocument/2006/relationships/hyperlink" Id="rId85" Target="https://doi.org/10.1080/10236240500376477" TargetMode="External" /><Relationship Type="http://schemas.openxmlformats.org/officeDocument/2006/relationships/hyperlink" Id="rId118" Target="https://doi.org/10.1080/10641269509388566" TargetMode="External" /><Relationship Type="http://schemas.openxmlformats.org/officeDocument/2006/relationships/hyperlink" Id="rId136" Target="https://doi.org/10.1098/rstb.2014.0060" TargetMode="External" /><Relationship Type="http://schemas.openxmlformats.org/officeDocument/2006/relationships/hyperlink" Id="rId148" Target="https://doi.org/10.1111/cobi.12915" TargetMode="External" /><Relationship Type="http://schemas.openxmlformats.org/officeDocument/2006/relationships/hyperlink" Id="rId120" Target="https://doi.org/10.1111/j.1365-2427.2008.02089.x" TargetMode="External" /><Relationship Type="http://schemas.openxmlformats.org/officeDocument/2006/relationships/hyperlink" Id="rId79" Target="https://doi.org/10.1139/facets-2022-0210" TargetMode="External" /><Relationship Type="http://schemas.openxmlformats.org/officeDocument/2006/relationships/hyperlink" Id="rId128" Target="https://doi.org/10.1163/000579509x12512685881053" TargetMode="External" /><Relationship Type="http://schemas.openxmlformats.org/officeDocument/2006/relationships/hyperlink" Id="rId115" Target="https://doi.org/10.1163/15685403-00003724" TargetMode="External" /><Relationship Type="http://schemas.openxmlformats.org/officeDocument/2006/relationships/hyperlink" Id="rId93" Target="https://doi.org/10.1214/ss/1177011136" TargetMode="External" /><Relationship Type="http://schemas.openxmlformats.org/officeDocument/2006/relationships/hyperlink" Id="rId144" Target="https://doi.org/10.1242/jeb.197301" TargetMode="External" /><Relationship Type="http://schemas.openxmlformats.org/officeDocument/2006/relationships/hyperlink" Id="rId64" Target="https://doi.org/10.1674/0003-0031(2007)158[85:daieoc]2.0.co;2" TargetMode="External" /><Relationship Type="http://schemas.openxmlformats.org/officeDocument/2006/relationships/hyperlink" Id="rId68" Target="https://doi.org/10.18637/jss.v067.i01" TargetMode="External" /><Relationship Type="http://schemas.openxmlformats.org/officeDocument/2006/relationships/hyperlink" Id="rId99" Target="https://doi.org/10.2307/1942661" TargetMode="External" /><Relationship Type="http://schemas.openxmlformats.org/officeDocument/2006/relationships/hyperlink" Id="rId83" Target="https://doi.org/10.32614/cran.package.xnomial" TargetMode="External" /><Relationship Type="http://schemas.openxmlformats.org/officeDocument/2006/relationships/hyperlink" Id="rId81" Target="https://doi.org/10.3389/fmars.2023.1213790" TargetMode="External" /><Relationship Type="http://schemas.openxmlformats.org/officeDocument/2006/relationships/hyperlink" Id="rId150" Target="https://doi.org/10.3390/ani14081147" TargetMode="External" /><Relationship Type="http://schemas.openxmlformats.org/officeDocument/2006/relationships/hyperlink" Id="rId70" Target="https://doi.org/10.3758/s13420-015-0205-y" TargetMode="External" /><Relationship Type="http://schemas.openxmlformats.org/officeDocument/2006/relationships/hyperlink" Id="rId112" Target="https://doi.org/10.5194/we-25-221-2025" TargetMode="External" /><Relationship Type="http://schemas.openxmlformats.org/officeDocument/2006/relationships/hyperlink" Id="rId132" Target="https://olivierraven.github.io/Koura_shoreline_habitats/" TargetMode="External" /><Relationship Type="http://schemas.openxmlformats.org/officeDocument/2006/relationships/hyperlink" Id="rId134" Target="https://olivierraven.github.io/NCE_Koura_catfish/" TargetMode="External" /></Relationships>
</file>

<file path=word/_rels/footnotes.xml.rels><?xml version="1.0" encoding="UTF-8"?><Relationships xmlns="http://schemas.openxmlformats.org/package/2006/relationships"><Relationship Type="http://schemas.openxmlformats.org/officeDocument/2006/relationships/hyperlink" Id="rId47" Target="https://OlivierRaven.github.io/4.Mesocosm_study/index.qmd.html" TargetMode="External" /><Relationship Type="http://schemas.openxmlformats.org/officeDocument/2006/relationships/hyperlink" Id="rId74" Target="https://cran.r-project.org/web/packages/brms/index.html" TargetMode="External" /><Relationship Type="http://schemas.openxmlformats.org/officeDocument/2006/relationships/hyperlink" Id="rId91" Target="https://doi.org/10.1002/aqc.4152" TargetMode="External" /><Relationship Type="http://schemas.openxmlformats.org/officeDocument/2006/relationships/hyperlink" Id="rId66" Target="https://doi.org/10.1007/s00267-013-0197-3" TargetMode="External" /><Relationship Type="http://schemas.openxmlformats.org/officeDocument/2006/relationships/hyperlink" Id="rId104" Target="https://doi.org/10.1007/s10750-007-9108-z" TargetMode="External" /><Relationship Type="http://schemas.openxmlformats.org/officeDocument/2006/relationships/hyperlink" Id="rId89" Target="https://doi.org/10.1007/s10750-024-05589-0" TargetMode="External" /><Relationship Type="http://schemas.openxmlformats.org/officeDocument/2006/relationships/hyperlink" Id="rId95" Target="https://doi.org/10.1016/j.aquaculture.2005.05.032" TargetMode="External" /><Relationship Type="http://schemas.openxmlformats.org/officeDocument/2006/relationships/hyperlink" Id="rId122" Target="https://doi.org/10.1016/j.biocon.2005.12.019" TargetMode="External" /><Relationship Type="http://schemas.openxmlformats.org/officeDocument/2006/relationships/hyperlink" Id="rId101" Target="https://doi.org/10.1016/j.ecoleng.2020.105994" TargetMode="External" /><Relationship Type="http://schemas.openxmlformats.org/officeDocument/2006/relationships/hyperlink" Id="rId72" Target="https://doi.org/10.1016/j.tree.2008.10.008" TargetMode="External" /><Relationship Type="http://schemas.openxmlformats.org/officeDocument/2006/relationships/hyperlink" Id="rId87" Target="https://doi.org/10.1016/s0044-8486(99)00114-3" TargetMode="External" /><Relationship Type="http://schemas.openxmlformats.org/officeDocument/2006/relationships/hyperlink" Id="rId97" Target="https://doi.org/10.1016/s0165-7836(97)00046-5" TargetMode="External" /><Relationship Type="http://schemas.openxmlformats.org/officeDocument/2006/relationships/hyperlink" Id="rId142" Target="https://doi.org/10.1023/A:1021094309738" TargetMode="External" /><Relationship Type="http://schemas.openxmlformats.org/officeDocument/2006/relationships/hyperlink" Id="rId124" Target="https://doi.org/10.1046/j.1365-2427.2001.00702.x" TargetMode="External" /><Relationship Type="http://schemas.openxmlformats.org/officeDocument/2006/relationships/hyperlink" Id="rId110" Target="https://doi.org/10.1071/mf14148" TargetMode="External" /><Relationship Type="http://schemas.openxmlformats.org/officeDocument/2006/relationships/hyperlink" Id="rId146" Target="https://doi.org/10.1080/00288330.2000.9516957" TargetMode="External" /><Relationship Type="http://schemas.openxmlformats.org/officeDocument/2006/relationships/hyperlink" Id="rId140" Target="https://doi.org/10.1080/00288330.2011.559661" TargetMode="External" /><Relationship Type="http://schemas.openxmlformats.org/officeDocument/2006/relationships/hyperlink" Id="rId76" Target="https://doi.org/10.1080/00288330.2018.1539404" TargetMode="External" /><Relationship Type="http://schemas.openxmlformats.org/officeDocument/2006/relationships/hyperlink" Id="rId126" Target="https://doi.org/10.1080/00288330909510034" TargetMode="External" /><Relationship Type="http://schemas.openxmlformats.org/officeDocument/2006/relationships/hyperlink" Id="rId108" Target="https://doi.org/10.1080/00288330909510036" TargetMode="External" /><Relationship Type="http://schemas.openxmlformats.org/officeDocument/2006/relationships/hyperlink" Id="rId85" Target="https://doi.org/10.1080/10236240500376477" TargetMode="External" /><Relationship Type="http://schemas.openxmlformats.org/officeDocument/2006/relationships/hyperlink" Id="rId118" Target="https://doi.org/10.1080/10641269509388566" TargetMode="External" /><Relationship Type="http://schemas.openxmlformats.org/officeDocument/2006/relationships/hyperlink" Id="rId136" Target="https://doi.org/10.1098/rstb.2014.0060" TargetMode="External" /><Relationship Type="http://schemas.openxmlformats.org/officeDocument/2006/relationships/hyperlink" Id="rId148" Target="https://doi.org/10.1111/cobi.12915" TargetMode="External" /><Relationship Type="http://schemas.openxmlformats.org/officeDocument/2006/relationships/hyperlink" Id="rId120" Target="https://doi.org/10.1111/j.1365-2427.2008.02089.x" TargetMode="External" /><Relationship Type="http://schemas.openxmlformats.org/officeDocument/2006/relationships/hyperlink" Id="rId79" Target="https://doi.org/10.1139/facets-2022-0210" TargetMode="External" /><Relationship Type="http://schemas.openxmlformats.org/officeDocument/2006/relationships/hyperlink" Id="rId128" Target="https://doi.org/10.1163/000579509x12512685881053" TargetMode="External" /><Relationship Type="http://schemas.openxmlformats.org/officeDocument/2006/relationships/hyperlink" Id="rId115" Target="https://doi.org/10.1163/15685403-00003724" TargetMode="External" /><Relationship Type="http://schemas.openxmlformats.org/officeDocument/2006/relationships/hyperlink" Id="rId93" Target="https://doi.org/10.1214/ss/1177011136" TargetMode="External" /><Relationship Type="http://schemas.openxmlformats.org/officeDocument/2006/relationships/hyperlink" Id="rId144" Target="https://doi.org/10.1242/jeb.197301" TargetMode="External" /><Relationship Type="http://schemas.openxmlformats.org/officeDocument/2006/relationships/hyperlink" Id="rId64" Target="https://doi.org/10.1674/0003-0031(2007)158[85:daieoc]2.0.co;2" TargetMode="External" /><Relationship Type="http://schemas.openxmlformats.org/officeDocument/2006/relationships/hyperlink" Id="rId68" Target="https://doi.org/10.18637/jss.v067.i01" TargetMode="External" /><Relationship Type="http://schemas.openxmlformats.org/officeDocument/2006/relationships/hyperlink" Id="rId99" Target="https://doi.org/10.2307/1942661" TargetMode="External" /><Relationship Type="http://schemas.openxmlformats.org/officeDocument/2006/relationships/hyperlink" Id="rId83" Target="https://doi.org/10.32614/cran.package.xnomial" TargetMode="External" /><Relationship Type="http://schemas.openxmlformats.org/officeDocument/2006/relationships/hyperlink" Id="rId81" Target="https://doi.org/10.3389/fmars.2023.1213790" TargetMode="External" /><Relationship Type="http://schemas.openxmlformats.org/officeDocument/2006/relationships/hyperlink" Id="rId150" Target="https://doi.org/10.3390/ani14081147" TargetMode="External" /><Relationship Type="http://schemas.openxmlformats.org/officeDocument/2006/relationships/hyperlink" Id="rId70" Target="https://doi.org/10.3758/s13420-015-0205-y" TargetMode="External" /><Relationship Type="http://schemas.openxmlformats.org/officeDocument/2006/relationships/hyperlink" Id="rId112" Target="https://doi.org/10.5194/we-25-221-2025" TargetMode="External" /><Relationship Type="http://schemas.openxmlformats.org/officeDocument/2006/relationships/hyperlink" Id="rId132" Target="https://olivierraven.github.io/Koura_shoreline_habitats/" TargetMode="External" /><Relationship Type="http://schemas.openxmlformats.org/officeDocument/2006/relationships/hyperlink" Id="rId134" Target="https://olivierraven.github.io/NCE_Koura_cat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Words>
  <Characters>18</Characters>
  <Application>Microsoft Office Word</Application>
  <DocSecurity>0</DocSecurity>
  <Lines>1</Lines>
  <Paragraphs>1</Paragraphs>
  <ScaleCrop>false</ScaleCrop>
  <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Structure over material: mesocosm experiments reveal shelter design principles for threatened freshwater crayfish restoration</dc:title>
  <dc:creator>Olivier V. Raven; Robin Holmes; Ian A. K. Kusabs; Francis J. Burdon; Deniz Özkundakci</dc:creator>
  <cp:keywords>kōura, Paranephrops planifrons, refuge selection, artificial reef, Aotearoa New Zealand</cp:keywords>
  <dcterms:created xsi:type="dcterms:W3CDTF">2026-05-29T04:47:40Z</dcterms:created>
  <dcterms:modified xsi:type="dcterms:W3CDTF">2026-05-29T04:47:40Z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Freshwater crayfish are among the most threatened invertebrates globally, with habitat loss as a primary driver of population decline, yet the optimal design of habitat enhancement structures for their restoration remains largely unknown. Four controlled mesocosm experiments with the endemic Aotearoa-New Zealand freshwater crayfish kōura (Paranephrops planifrons) examined how shelter structure, material composition, body size, and group dynamics influence refuge selection. Individual kōura strongly preferred a wooden log with enclosed drilled holes, but when housed in mixed-size groups, kōura preference shifted to flat and piled stone configurations, providing more complex refugia for different-size individuals simultaneously. Flat stone structures were preferred over wood splits and this was strongest for large individuals. When structural dimensions were held constant, no significant preference was detected between concrete and wooden brick structures, indicating that material composition alone does not drive refuge selection. Size class effects on shelter preference were quantified using Bayesian categorical mixed-effects models, which provide an appropriate framework for multi-choice repeated-measures designs with categorical outcomes and nested group structures. These mesocosm findings suggest that stone-based configurations warrant field evaluation as habitat enhancement structures for kōura restoration, given their structural complexity across size classes and alignment with the cultural values associated with restoring this taonga species.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references/apa.csl</vt:lpwstr>
  </property>
  <property fmtid="{D5CDD505-2E9C-101B-9397-08002B2CF9AE}" pid="12" name="date">
    <vt:lpwstr>2026-05-29</vt:lpwstr>
  </property>
  <property fmtid="{D5CDD505-2E9C-101B-9397-08002B2CF9AE}" pid="13" name="engines">
    <vt:lpwstr/>
  </property>
  <property fmtid="{D5CDD505-2E9C-101B-9397-08002B2CF9AE}" pid="14" name="execute">
    <vt:lpwstr/>
  </property>
  <property fmtid="{D5CDD505-2E9C-101B-9397-08002B2CF9AE}" pid="15" name="funding">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knitr">
    <vt:lpwstr/>
  </property>
  <property fmtid="{D5CDD505-2E9C-101B-9397-08002B2CF9AE}" pid="21" name="labels">
    <vt:lpwstr/>
  </property>
  <property fmtid="{D5CDD505-2E9C-101B-9397-08002B2CF9AE}" pid="22" name="lightbox">
    <vt:lpwstr>auto</vt:lpwstr>
  </property>
  <property fmtid="{D5CDD505-2E9C-101B-9397-08002B2CF9AE}" pid="23" name="manuscript">
    <vt:lpwstr/>
  </property>
  <property fmtid="{D5CDD505-2E9C-101B-9397-08002B2CF9AE}" pid="24" name="notebook-preview-options">
    <vt:lpwstr/>
  </property>
  <property fmtid="{D5CDD505-2E9C-101B-9397-08002B2CF9AE}" pid="25" name="quarto-internal">
    <vt:lpwstr/>
  </property>
  <property fmtid="{D5CDD505-2E9C-101B-9397-08002B2CF9AE}" pid="26" name="remove-hidden">
    <vt:lpwstr>all</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