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3.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Author"/>
      </w:pPr>
      <w:r>
        <w:t xml:space="preserve">Olivier V. Raven</w:t>
      </w:r>
    </w:p>
    <w:p>
      <w:pPr>
        <w:pStyle w:val="Author"/>
      </w:pPr>
      <w:r>
        <w:t xml:space="preserve">Robin Holmes</w:t>
      </w:r>
    </w:p>
    <w:p>
      <w:pPr>
        <w:pStyle w:val="Author"/>
      </w:pPr>
      <w:r>
        <w:t xml:space="preserve">Ian A. K. Kusabs</w:t>
      </w:r>
    </w:p>
    <w:p>
      <w:pPr>
        <w:pStyle w:val="Author"/>
      </w:pPr>
      <w:r>
        <w:t xml:space="preserve">Francis J. Burdon</w:t>
      </w:r>
    </w:p>
    <w:p>
      <w:pPr>
        <w:pStyle w:val="Author"/>
      </w:pPr>
      <w:r>
        <w:t xml:space="preserve">Deniz Özkundakci</w:t>
      </w:r>
    </w:p>
    <w:p>
      <w:pPr>
        <w:pStyle w:val="Date"/>
      </w:pPr>
      <w:r>
        <w:t xml:space="preserve">2026-05-29</w:t>
      </w:r>
    </w:p>
    <w:p>
      <w:pPr>
        <w:pStyle w:val="AbstractTitle"/>
      </w:pPr>
      <w:r>
        <w:t xml:space="preserve">Abstract</w:t>
      </w:r>
    </w:p>
    <w:p>
      <w:pPr>
        <w:pStyle w:val="Abstract"/>
      </w:pPr>
      <w:r>
        <w:t xml:space="preserve">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 et al.,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(Collier et al., 1997; Momot, 1995; Parkyn et al.,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 et al.,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(Adams, 2014; Parkyn et al., 2009)</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 et al., 1997; Johnsen &amp; Taugbøl, 2008)</w:t>
      </w:r>
      <w:r>
        <w:t xml:space="preserve">, and the availability of coarser substrate has also been shown to improve juvenile survival rates</w:t>
      </w:r>
      <w:r>
        <w:t xml:space="preserve"> </w:t>
      </w:r>
      <w:r>
        <w:t xml:space="preserve">(Mazlum et al., 2017)</w:t>
      </w:r>
      <w:r>
        <w:t xml:space="preserve">. These findings indicate that enhancing habitat complexity can be a useful management tool for threatened crayfish populations. While artificial aquatic habitats have received attention in marine systems</w:t>
      </w:r>
      <w:r>
        <w:t xml:space="preserve"> </w:t>
      </w:r>
      <w:r>
        <w:t xml:space="preserve">(Frehse et al., 2025)</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&amp;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&amp;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 et al., 2005)</w:t>
      </w:r>
      <w:r>
        <w:t xml:space="preserve">. Body weight ratio between contestants is a strong predictor of shelter takeover success, although prior ownership can offset size disadvantages</w:t>
      </w:r>
      <w:r>
        <w:t xml:space="preserve"> </w:t>
      </w:r>
      <w:r>
        <w:t xml:space="preserve">(Ranta &amp; Lindström, 1993)</w:t>
      </w:r>
      <w:r>
        <w:t xml:space="preserve">, particularly when both individuals hold high-quality shelters</w:t>
      </w:r>
      <w:r>
        <w:t xml:space="preserve"> </w:t>
      </w:r>
      <w:r>
        <w:t xml:space="preserve">(Takahashi et al.,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&amp;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 et al., 2020)</w:t>
      </w:r>
      <w:r>
        <w:t xml:space="preserve">. Additionally, enclosed structures such as PVC pipes provide greater protection against predatory fish than stone or vegetation structures, likely due to their consistent hole dimensions</w:t>
      </w:r>
      <w:r>
        <w:t xml:space="preserve"> </w:t>
      </w:r>
      <w:r>
        <w:t xml:space="preserve">(Zhao et al.,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(Cooke et al., 2023; Wehi &amp; Lord, 2017)</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(Kusabs et al., inpress; Lee et al., 2025)</w:t>
      </w:r>
      <w:r>
        <w:t xml:space="preserve">. Kōura are taonga (culturally treasured) species for Māori, the indigenous people of Aotearoa, and hold significant ecological and cultural value in freshwater ecosystems</w:t>
      </w:r>
      <w:r>
        <w:t xml:space="preserve"> </w:t>
      </w:r>
      <w:r>
        <w:t xml:space="preserve">(Kusabs &amp; Quinn, 2009)</w:t>
      </w:r>
      <w:r>
        <w:t xml:space="preserve">. In their natural habitat, kōura are positively associated with overhanging banks, coarse substrates, and woody debris</w:t>
      </w:r>
      <w:r>
        <w:t xml:space="preserve"> </w:t>
      </w:r>
      <w:r>
        <w:t xml:space="preserve">(Jowett et al., 2008; Parkyn et al., 2009; Raven et al., inreview; Usio &amp; Townsend, 2000)</w:t>
      </w:r>
      <w:r>
        <w:t xml:space="preserve">. Kōura have been shown to significantly increase refuge use in the presence of predators</w:t>
      </w:r>
      <w:r>
        <w:t xml:space="preserve"> </w:t>
      </w:r>
      <w:r>
        <w:t xml:space="preserve">(Raven et al., indraft; Shave et al., 1994)</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(Percival &amp; Moore, 2010; Streissl &amp; Hödl, 2002)</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 et al.,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 taonga (treasured)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w:t>
      </w:r>
      <w:r>
        <w:t xml:space="preserve"> </w:t>
      </w:r>
      <w:r>
        <w:t xml:space="preserve">(Bates et al., 2015)</w:t>
      </w:r>
      <w:r>
        <w:t xml:space="preserve"> </w:t>
      </w:r>
      <w:r>
        <w:t xml:space="preserve">do not support categorical outcomes with complex nested random effects structures, making Bayesian estimation the appropriate choice for this design</w:t>
      </w:r>
      <w:r>
        <w:t xml:space="preserve"> </w:t>
      </w:r>
      <w:r>
        <w:t xml:space="preserve">(Bolker et al., 2009; McCarthy, 2007)</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&amp;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 et al.,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Structure preference did not differ significantly between sexes (Fisher’s exact test:</w:t>
      </w:r>
      <w:r>
        <w:t xml:space="preserve"> </w:t>
      </w:r>
      <w:r>
        <w:rPr>
          <w:i/>
          <w:iCs/>
        </w:rPr>
        <w:t xml:space="preserve">p</w:t>
      </w:r>
      <w:r>
        <w:t xml:space="preserve"> </w:t>
      </w:r>
      <w:r>
        <w:t xml:space="preserve">= 0.464). The symmetry test indicated that structure type use shifted between L0 and L1 (</w:t>
      </w:r>
      <w:r>
        <w:rPr>
          <w:i/>
          <w:iCs/>
        </w:rPr>
        <w:t xml:space="preserve">p</w:t>
      </w:r>
      <w:r>
        <w:t xml:space="preserve"> </w:t>
      </w:r>
      <w:r>
        <w:t xml:space="preserve">= 0.001), suggesting kōura actively relocated to preferred structure types overnight rather than remaining at their initial location. The GoPro footage showed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(β = -2.4, 95% CI: -4.39 to -0.8;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-1.29 to 0.85; posterior probability = 0.64),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provided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 et al., 2016)</w:t>
      </w:r>
      <w:r>
        <w:t xml:space="preserve">, and the drilled holes in the WoodLog offered most protection similar to what has been found for perforated brick and PVC tube shelters under catfish predation</w:t>
      </w:r>
      <w:r>
        <w:t xml:space="preserve"> </w:t>
      </w:r>
      <w:r>
        <w:t xml:space="preserve">(Adams, 2007; Zhao et al.,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w:t>
      </w:r>
      <w:r>
        <w:t xml:space="preserve"> </w:t>
      </w:r>
      <w:r>
        <w:t xml:space="preserve">(</w:t>
      </w:r>
      <w:r>
        <w:rPr>
          <w:b/>
          <w:bCs/>
        </w:rPr>
        <w:t xml:space="preserve">Bhimani2016?</w:t>
      </w:r>
      <w:r>
        <w:t xml:space="preserve">)</w:t>
      </w:r>
      <w:r>
        <w:t xml:space="preserve">.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w:t>
      </w:r>
      <w:r>
        <w:t xml:space="preserve"> </w:t>
      </w:r>
      <w:r>
        <w:t xml:space="preserve">(Hurlbert, 1984)</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(Percival &amp; Moore, 2010; Streissl &amp; Hödl, 2002)</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(Figler et al., 2005; Ranta &amp; Lindström, 1993; Stewart &amp;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&amp;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(Figler et al., 1999)</w:t>
      </w:r>
      <w:r>
        <w:t xml:space="preserve">. When refuge availability is limited, competitive hierarchies displace smaller and recently moulted individuals from preferred refugia, leaving them exposed</w:t>
      </w:r>
      <w:r>
        <w:t xml:space="preserve"> </w:t>
      </w:r>
      <w:r>
        <w:t xml:space="preserve">(Figler et al., 2005; Ranta &amp; Lindström, 1993)</w:t>
      </w:r>
      <w:r>
        <w:t xml:space="preserve">. Providing sufficient refuge spaces with a range of crevice size can reduce agonistic interactions and benefit the whole population</w:t>
      </w:r>
      <w:r>
        <w:t xml:space="preserve"> </w:t>
      </w:r>
      <w:r>
        <w:t xml:space="preserve">(Olsson &amp;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 et al., 1997; Streissl &amp; Hödl, 2002)</w:t>
      </w:r>
      <w:r>
        <w:t xml:space="preserve">, but also for marine environments, as reef fish, marine shrimp, and lobsters benefit from habitat enhancement structures such as artificial reefs</w:t>
      </w:r>
      <w:r>
        <w:t xml:space="preserve"> </w:t>
      </w:r>
      <w:r>
        <w:t xml:space="preserve">(Dickson et al., 2023; Hylkema et al., 2020; Magnelia et al., 2008; Spanier, 1994)</w:t>
      </w:r>
      <w:r>
        <w:t xml:space="preserve">. Structures made from stone and wood have been shown to outperform synthetic alternatives and bare substrates</w:t>
      </w:r>
      <w:r>
        <w:t xml:space="preserve"> </w:t>
      </w:r>
      <w:r>
        <w:t xml:space="preserve">(Cooke et al., 2023; Dickson et al., 2023; Huolila et al., 1997; Magnelia et al., 2008)</w:t>
      </w:r>
      <w:r>
        <w:t xml:space="preserve">, and do not contribute to plastic pollution in the environment</w:t>
      </w:r>
      <w:r>
        <w:t xml:space="preserve"> </w:t>
      </w:r>
      <w:r>
        <w:t xml:space="preserve">(Cooke et al., 2023)</w:t>
      </w:r>
      <w:r>
        <w:t xml:space="preserve">. Locally sourced natural materials also align with kaitiakitanga, which is the Māori principle of environmental guardianship and preserves the natural character of culturally significant lake environments</w:t>
      </w:r>
      <w:r>
        <w:t xml:space="preserve"> </w:t>
      </w:r>
      <w:r>
        <w:t xml:space="preserve">(Clapcott et al., 2018)</w:t>
      </w:r>
      <w:r>
        <w:t xml:space="preserve">. For in-lake deployment, existing habitat surveys suggest that kōura are associated with coarser substrate</w:t>
      </w:r>
      <w:r>
        <w:t xml:space="preserve"> </w:t>
      </w:r>
      <w:r>
        <w:t xml:space="preserve">(Jowett et al., 2008; Kusabs et al., 2015; Olsson et al., 2006)</w:t>
      </w:r>
      <w:r>
        <w:t xml:space="preserve">, and cobbles have previously been used in stream and lake restoration</w:t>
      </w:r>
      <w:r>
        <w:t xml:space="preserve"> </w:t>
      </w:r>
      <w:r>
        <w:t xml:space="preserve">(Huolila et al., 1997; Johnsen &amp;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 et al., 2024)</w:t>
      </w:r>
      <w:r>
        <w:t xml:space="preserve">. With the threat from invasive predatory fish, like catfish preying on kōura</w:t>
      </w:r>
      <w:r>
        <w:t xml:space="preserve"> </w:t>
      </w:r>
      <w:r>
        <w:t xml:space="preserve">(Kusabs et al., inpress)</w:t>
      </w:r>
      <w:r>
        <w:t xml:space="preserve">, enhancing habitat complexity which provides enclosed crevices can be important for kōura as refuge availability directly influences predation survival</w:t>
      </w:r>
      <w:r>
        <w:t xml:space="preserve"> </w:t>
      </w:r>
      <w:r>
        <w:t xml:space="preserve">(Adams, 2007; Zhao et al.,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8"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This research was supported by the Fish Futures programme funded through a Ministry of Business, Innovation and Employment grant (CAWX2101).</w:t>
      </w:r>
    </w:p>
    <w:bookmarkStart w:id="34"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Local ecological knowledge and kōura were supplied by I.A.K.K. Manuscript drafting was led by O.V.R. All authors contributed to manuscript revision, approved the results, and the final manuscript.</w:t>
      </w:r>
    </w:p>
    <w:bookmarkEnd w:id="34"/>
    <w:bookmarkStart w:id="35"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5"/>
    <w:bookmarkStart w:id="36" w:name="declarations"/>
    <w:p>
      <w:pPr>
        <w:pStyle w:val="Heading2"/>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7"/>
    <w:bookmarkEnd w:id="38"/>
    <w:bookmarkStart w:id="151"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2" w:name="fig-exp-setup"/>
          <w:p>
            <w:pPr>
              <w:pStyle w:val="Compact"/>
              <w:jc w:val="center"/>
            </w:pPr>
            <w:r>
              <w:drawing>
                <wp:inline>
                  <wp:extent cx="5727700" cy="4293634"/>
                  <wp:effectExtent b="0" l="0" r="0" t="0"/>
                  <wp:docPr descr="" title="" id="40" name="Picture"/>
                  <a:graphic>
                    <a:graphicData uri="http://schemas.openxmlformats.org/drawingml/2006/picture">
                      <pic:pic>
                        <pic:nvPicPr>
                          <pic:cNvPr descr="images/Setup_exp_tanks.png" id="41" name="Picture"/>
                          <pic:cNvPicPr>
                            <a:picLocks noChangeArrowheads="1" noChangeAspect="1"/>
                          </pic:cNvPicPr>
                        </pic:nvPicPr>
                        <pic:blipFill>
                          <a:blip r:embed="rId39"/>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2"/>
        </w:tc>
      </w:tr>
    </w:tbl>
    <w:bookmarkStart w:id="48" w:name="cell-fig-exp1-ms"/>
    <w:tbl>
      <w:tblPr>
        <w:tblStyle w:val="Table"/>
        <w:tblW w:type="pct" w:w="5000"/>
        <w:tblLayout w:type="fixed"/>
        <w:tblLook w:firstRow="0" w:lastRow="0" w:firstColumn="0" w:lastColumn="0" w:noHBand="0" w:noVBand="0" w:val="0000"/>
      </w:tblPr>
      <w:tblGrid>
        <w:gridCol w:w="7920"/>
      </w:tblGrid>
      <w:tr>
        <w:tc>
          <w:tcPr/>
          <w:bookmarkStart w:id="46" w:name="fig-exp1-ms"/>
          <w:p>
            <w:pPr>
              <w:pStyle w:val="Compact"/>
              <w:jc w:val="center"/>
            </w:pPr>
            <w:r>
              <w:drawing>
                <wp:inline>
                  <wp:extent cx="4587290" cy="3669832"/>
                  <wp:effectExtent b="0" l="0" r="0" t="0"/>
                  <wp:docPr descr="" title="" id="44" name="Picture"/>
                  <a:graphic>
                    <a:graphicData uri="http://schemas.openxmlformats.org/drawingml/2006/picture">
                      <pic:pic>
                        <pic:nvPicPr>
                          <pic:cNvPr descr="outputs/fig-exp1.png" id="45" name="Picture"/>
                          <pic:cNvPicPr>
                            <a:picLocks noChangeArrowheads="1" noChangeAspect="1"/>
                          </pic:cNvPicPr>
                        </pic:nvPicPr>
                        <pic:blipFill>
                          <a:blip r:embed="rId43"/>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at final observation (L1), shown separately for female and male kōura. Bars show observed proportions with sample sizes (n) shown in white. Letters above bars indicate significant pairwise differences (G-test, Bonferroni adjusted).</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48"/>
    <w:bookmarkStart w:id="53" w:name="cell-fig-exp2-ms"/>
    <w:tbl>
      <w:tblPr>
        <w:tblStyle w:val="Table"/>
        <w:tblW w:type="pct" w:w="5000"/>
        <w:tblLayout w:type="fixed"/>
        <w:tblLook w:firstRow="0" w:lastRow="0" w:firstColumn="0" w:lastColumn="0" w:noHBand="0" w:noVBand="0" w:val="0000"/>
      </w:tblPr>
      <w:tblGrid>
        <w:gridCol w:w="7920"/>
      </w:tblGrid>
      <w:tr>
        <w:tc>
          <w:tcPr/>
          <w:bookmarkStart w:id="52" w:name="fig-exp2-ms"/>
          <w:p>
            <w:pPr>
              <w:pStyle w:val="Compact"/>
              <w:jc w:val="center"/>
            </w:pPr>
            <w:r>
              <w:drawing>
                <wp:inline>
                  <wp:extent cx="5727700" cy="2863850"/>
                  <wp:effectExtent b="0" l="0" r="0" t="0"/>
                  <wp:docPr descr="" title="" id="50" name="Picture"/>
                  <a:graphic>
                    <a:graphicData uri="http://schemas.openxmlformats.org/drawingml/2006/picture">
                      <pic:pic>
                        <pic:nvPicPr>
                          <pic:cNvPr descr="outputs/fig-exp2.png" id="51" name="Picture"/>
                          <pic:cNvPicPr>
                            <a:picLocks noChangeArrowheads="1" noChangeAspect="1"/>
                          </pic:cNvPicPr>
                        </pic:nvPicPr>
                        <pic:blipFill>
                          <a:blip r:embed="rId4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3"/>
    <w:bookmarkStart w:id="58" w:name="cell-fig-exp3-ms"/>
    <w:tbl>
      <w:tblPr>
        <w:tblStyle w:val="Table"/>
        <w:tblW w:type="pct" w:w="5000"/>
        <w:tblLayout w:type="fixed"/>
        <w:tblLook w:firstRow="0" w:lastRow="0" w:firstColumn="0" w:lastColumn="0" w:noHBand="0" w:noVBand="0" w:val="0000"/>
      </w:tblPr>
      <w:tblGrid>
        <w:gridCol w:w="7920"/>
      </w:tblGrid>
      <w:tr>
        <w:tc>
          <w:tcPr/>
          <w:bookmarkStart w:id="57" w:name="fig-exp3-ms"/>
          <w:p>
            <w:pPr>
              <w:pStyle w:val="Compact"/>
              <w:jc w:val="center"/>
            </w:pPr>
            <w:r>
              <w:drawing>
                <wp:inline>
                  <wp:extent cx="5727700" cy="2863850"/>
                  <wp:effectExtent b="0" l="0" r="0" t="0"/>
                  <wp:docPr descr="" title="" id="55" name="Picture"/>
                  <a:graphic>
                    <a:graphicData uri="http://schemas.openxmlformats.org/drawingml/2006/picture">
                      <pic:pic>
                        <pic:nvPicPr>
                          <pic:cNvPr descr="outputs/fig-exp3.png" id="56" name="Picture"/>
                          <pic:cNvPicPr>
                            <a:picLocks noChangeArrowheads="1" noChangeAspect="1"/>
                          </pic:cNvPicPr>
                        </pic:nvPicPr>
                        <pic:blipFill>
                          <a:blip r:embed="rId54"/>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TankWall excluded from model predictions.</w:t>
            </w:r>
          </w:p>
          <w:bookmarkEnd w:id="57"/>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8"/>
    <w:bookmarkStart w:id="63" w:name="cell-fig-exp4-ms"/>
    <w:tbl>
      <w:tblPr>
        <w:tblStyle w:val="Table"/>
        <w:tblW w:type="pct" w:w="5000"/>
        <w:tblLayout w:type="fixed"/>
        <w:tblLook w:firstRow="0" w:lastRow="0" w:firstColumn="0" w:lastColumn="0" w:noHBand="0" w:noVBand="0" w:val="0000"/>
      </w:tblPr>
      <w:tblGrid>
        <w:gridCol w:w="7920"/>
      </w:tblGrid>
      <w:tr>
        <w:tc>
          <w:tcPr/>
          <w:bookmarkStart w:id="62" w:name="fig-exp4-ms"/>
          <w:p>
            <w:pPr>
              <w:pStyle w:val="Compact"/>
              <w:jc w:val="center"/>
            </w:pPr>
            <w:r>
              <w:drawing>
                <wp:inline>
                  <wp:extent cx="5727700" cy="2863850"/>
                  <wp:effectExtent b="0" l="0" r="0" t="0"/>
                  <wp:docPr descr="" title="" id="60" name="Picture"/>
                  <a:graphic>
                    <a:graphicData uri="http://schemas.openxmlformats.org/drawingml/2006/picture">
                      <pic:pic>
                        <pic:nvPicPr>
                          <pic:cNvPr descr="outputs/fig-exp4.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63"/>
    <w:bookmarkStart w:id="150" w:name="refs"/>
    <w:bookmarkStart w:id="65"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64">
        <w:r>
          <w:rPr>
            <w:rStyle w:val="Hyperlink"/>
          </w:rPr>
          <w:t xml:space="preserve">https://doi.org/10.1674/0003-0031(2007)158[85:daieoc]2.0.co;2</w:t>
        </w:r>
      </w:hyperlink>
    </w:p>
    <w:bookmarkEnd w:id="65"/>
    <w:bookmarkStart w:id="67" w:name="ref-Adams2014"/>
    <w:p>
      <w:pPr>
        <w:pStyle w:val="Bibliography"/>
      </w:pPr>
      <w:r>
        <w:t xml:space="preserve">Adams, S. B. (2014). Crayfish use of trash versus natural cover in incised, sand-bed streams.</w:t>
      </w:r>
      <w:r>
        <w:t xml:space="preserve"> </w:t>
      </w:r>
      <w:r>
        <w:rPr>
          <w:i/>
          <w:iCs/>
        </w:rPr>
        <w:t xml:space="preserve">Environmental Management</w:t>
      </w:r>
      <w:r>
        <w:t xml:space="preserve">,</w:t>
      </w:r>
      <w:r>
        <w:t xml:space="preserve"> </w:t>
      </w:r>
      <w:r>
        <w:rPr>
          <w:i/>
          <w:iCs/>
        </w:rPr>
        <w:t xml:space="preserve">53</w:t>
      </w:r>
      <w:r>
        <w:t xml:space="preserve">(2), 382--392.</w:t>
      </w:r>
      <w:r>
        <w:t xml:space="preserve"> </w:t>
      </w:r>
      <w:hyperlink r:id="rId66">
        <w:r>
          <w:rPr>
            <w:rStyle w:val="Hyperlink"/>
          </w:rPr>
          <w:t xml:space="preserve">https://doi.org/10.1007/s00267-013-0197-3</w:t>
        </w:r>
      </w:hyperlink>
    </w:p>
    <w:bookmarkEnd w:id="67"/>
    <w:bookmarkStart w:id="69"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8">
        <w:r>
          <w:rPr>
            <w:rStyle w:val="Hyperlink"/>
          </w:rPr>
          <w:t xml:space="preserve">https://doi.org/10.18637/jss.v067.i01</w:t>
        </w:r>
      </w:hyperlink>
    </w:p>
    <w:bookmarkEnd w:id="69"/>
    <w:bookmarkStart w:id="71" w:name="ref-Bolker2009"/>
    <w:p>
      <w:pPr>
        <w:pStyle w:val="Bibliography"/>
      </w:pPr>
      <w:r>
        <w:t xml:space="preserve">Bolker, B. M., Brooks, M. E., Clark, C. J., Geange, S. W., Poulsen, J. R., Stevens, M. H. H., &amp; White, J.-S. S. (2009). Generalized linear mixed models: A practical guide for ecology and evolution.</w:t>
      </w:r>
      <w:r>
        <w:t xml:space="preserve"> </w:t>
      </w:r>
      <w:r>
        <w:rPr>
          <w:i/>
          <w:iCs/>
        </w:rPr>
        <w:t xml:space="preserve">Trends in Ecology &amp; Evolution</w:t>
      </w:r>
      <w:r>
        <w:t xml:space="preserve">,</w:t>
      </w:r>
      <w:r>
        <w:t xml:space="preserve"> </w:t>
      </w:r>
      <w:r>
        <w:rPr>
          <w:i/>
          <w:iCs/>
        </w:rPr>
        <w:t xml:space="preserve">24</w:t>
      </w:r>
      <w:r>
        <w:t xml:space="preserve">(3), 127--135.</w:t>
      </w:r>
      <w:r>
        <w:t xml:space="preserve"> </w:t>
      </w:r>
      <w:hyperlink r:id="rId70">
        <w:r>
          <w:rPr>
            <w:rStyle w:val="Hyperlink"/>
          </w:rPr>
          <w:t xml:space="preserve">https://doi.org/10.1016/j.tree.2008.10.008</w:t>
        </w:r>
      </w:hyperlink>
    </w:p>
    <w:bookmarkEnd w:id="71"/>
    <w:bookmarkStart w:id="73" w:name="ref-Burkner2025"/>
    <w:p>
      <w:pPr>
        <w:pStyle w:val="Bibliography"/>
      </w:pPr>
      <w:r>
        <w:t xml:space="preserve">Bürkner, P.-C., Gabry, J., Weber, S., &amp; Johnson, A. (2025).</w:t>
      </w:r>
      <w:r>
        <w:t xml:space="preserve"> </w:t>
      </w:r>
      <w:r>
        <w:rPr>
          <w:i/>
          <w:iCs/>
        </w:rPr>
        <w:t xml:space="preserve">brms</w:t>
      </w:r>
      <w:r>
        <w:rPr>
          <w:i/>
          <w:iCs/>
        </w:rPr>
        <w:t xml:space="preserve">:</w:t>
      </w:r>
      <w:r>
        <w:rPr>
          <w:i/>
          <w:iCs/>
        </w:rPr>
        <w:t xml:space="preserve"> </w:t>
      </w:r>
      <w:r>
        <w:rPr>
          <w:i/>
          <w:iCs/>
        </w:rPr>
        <w:t xml:space="preserve">Bayesian</w:t>
      </w:r>
      <w:r>
        <w:rPr>
          <w:i/>
          <w:iCs/>
        </w:rPr>
        <w:t xml:space="preserve"> </w:t>
      </w:r>
      <w:r>
        <w:rPr>
          <w:i/>
          <w:iCs/>
        </w:rPr>
        <w:t xml:space="preserve">regression models using</w:t>
      </w:r>
      <w:r>
        <w:rPr>
          <w:i/>
          <w:iCs/>
        </w:rPr>
        <w:t xml:space="preserve"> </w:t>
      </w:r>
      <w:r>
        <w:rPr>
          <w:i/>
          <w:iCs/>
        </w:rPr>
        <w:t xml:space="preserve">Stan</w:t>
      </w:r>
      <w:r>
        <w:t xml:space="preserve"> </w:t>
      </w:r>
      <w:r>
        <w:t xml:space="preserve">(Version 2.23.0) [Computer software].</w:t>
      </w:r>
      <w:r>
        <w:t xml:space="preserve"> </w:t>
      </w:r>
      <w:hyperlink r:id="rId72">
        <w:r>
          <w:rPr>
            <w:rStyle w:val="Hyperlink"/>
          </w:rPr>
          <w:t xml:space="preserve">https://cran.r-project.org/web/packages/brms/index.html</w:t>
        </w:r>
      </w:hyperlink>
    </w:p>
    <w:bookmarkEnd w:id="73"/>
    <w:bookmarkStart w:id="75" w:name="ref-Clapcott2018"/>
    <w:p>
      <w:pPr>
        <w:pStyle w:val="Bibliography"/>
      </w:pPr>
      <w:r>
        <w:t xml:space="preserve">Clapcott, J., Ataria, J., Hepburn, C., Hikuroa, D., Jackson, A., Kirikiri, R., &amp; Williams, E. (2018). Mātauranga māori: Shaping marine and freshwater futures.</w:t>
      </w:r>
      <w:r>
        <w:t xml:space="preserve"> </w:t>
      </w:r>
      <w:r>
        <w:rPr>
          <w:i/>
          <w:iCs/>
        </w:rPr>
        <w:t xml:space="preserve">New Zealand Journal of Marine and Freshwater Research</w:t>
      </w:r>
      <w:r>
        <w:t xml:space="preserve">,</w:t>
      </w:r>
      <w:r>
        <w:t xml:space="preserve"> </w:t>
      </w:r>
      <w:r>
        <w:rPr>
          <w:i/>
          <w:iCs/>
        </w:rPr>
        <w:t xml:space="preserve">52</w:t>
      </w:r>
      <w:r>
        <w:t xml:space="preserve">(4), 457--466.</w:t>
      </w:r>
      <w:r>
        <w:t xml:space="preserve"> </w:t>
      </w:r>
      <w:hyperlink r:id="rId74">
        <w:r>
          <w:rPr>
            <w:rStyle w:val="Hyperlink"/>
          </w:rPr>
          <w:t xml:space="preserve">https://doi.org/10.1080/00288330.2018.1539404</w:t>
        </w:r>
      </w:hyperlink>
    </w:p>
    <w:bookmarkEnd w:id="75"/>
    <w:bookmarkStart w:id="76"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6"/>
    <w:bookmarkStart w:id="78" w:name="ref-Cooke2023"/>
    <w:p>
      <w:pPr>
        <w:pStyle w:val="Bibliography"/>
      </w:pPr>
      <w:r>
        <w:t xml:space="preserve">Cooke, S. J., Piczak, M. L., Vermaire, J. C., &amp; Kirkwood, A. E. (2023). On the troubling use of plastic</w:t>
      </w:r>
      <w:r>
        <w:t xml:space="preserve"> </w:t>
      </w:r>
      <w:r>
        <w:t xml:space="preserve">“habitat”</w:t>
      </w:r>
      <w:r>
        <w:t xml:space="preserve"> </w:t>
      </w:r>
      <w:r>
        <w:t xml:space="preserve">structures for fish in freshwater ecosystems – or – when restoration is just littering.</w:t>
      </w:r>
      <w:r>
        <w:t xml:space="preserve"> </w:t>
      </w:r>
      <w:r>
        <w:rPr>
          <w:i/>
          <w:iCs/>
        </w:rPr>
        <w:t xml:space="preserve">FACETS</w:t>
      </w:r>
      <w:r>
        <w:t xml:space="preserve">,</w:t>
      </w:r>
      <w:r>
        <w:t xml:space="preserve"> </w:t>
      </w:r>
      <w:r>
        <w:rPr>
          <w:i/>
          <w:iCs/>
        </w:rPr>
        <w:t xml:space="preserve">8</w:t>
      </w:r>
      <w:r>
        <w:t xml:space="preserve">, 1--19.</w:t>
      </w:r>
      <w:r>
        <w:t xml:space="preserve"> </w:t>
      </w:r>
      <w:hyperlink r:id="rId77">
        <w:r>
          <w:rPr>
            <w:rStyle w:val="Hyperlink"/>
          </w:rPr>
          <w:t xml:space="preserve">https://doi.org/10.1139/facets-2022-0210</w:t>
        </w:r>
      </w:hyperlink>
    </w:p>
    <w:bookmarkEnd w:id="78"/>
    <w:bookmarkStart w:id="80" w:name="ref-Dickson2023"/>
    <w:p>
      <w:pPr>
        <w:pStyle w:val="Bibliography"/>
      </w:pPr>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w:t>
      </w:r>
      <w:r>
        <w:t xml:space="preserve"> </w:t>
      </w:r>
      <w:r>
        <w:rPr>
          <w:i/>
          <w:iCs/>
        </w:rPr>
        <w:t xml:space="preserve">10</w:t>
      </w:r>
      <w:r>
        <w:t xml:space="preserve">, 1213790.</w:t>
      </w:r>
      <w:r>
        <w:t xml:space="preserve"> </w:t>
      </w:r>
      <w:hyperlink r:id="rId79">
        <w:r>
          <w:rPr>
            <w:rStyle w:val="Hyperlink"/>
          </w:rPr>
          <w:t xml:space="preserve">https://doi.org/10.3389/fmars.2023.1213790</w:t>
        </w:r>
      </w:hyperlink>
    </w:p>
    <w:bookmarkEnd w:id="80"/>
    <w:bookmarkStart w:id="82" w:name="ref-Engels2014"/>
    <w:p>
      <w:pPr>
        <w:pStyle w:val="Bibliography"/>
      </w:pPr>
      <w:r>
        <w:t xml:space="preserve">Engels, B. (2014). XNomial: Exact goodness-of-fit test for multinomial data with fixed probabilities. In</w:t>
      </w:r>
      <w:r>
        <w:t xml:space="preserve"> </w:t>
      </w:r>
      <w:r>
        <w:rPr>
          <w:i/>
          <w:iCs/>
        </w:rPr>
        <w:t xml:space="preserve">CRAN: Contributed Packages</w:t>
      </w:r>
      <w:r>
        <w:t xml:space="preserve">. The R Foundation.</w:t>
      </w:r>
      <w:r>
        <w:t xml:space="preserve"> </w:t>
      </w:r>
      <w:hyperlink r:id="rId81">
        <w:r>
          <w:rPr>
            <w:rStyle w:val="Hyperlink"/>
          </w:rPr>
          <w:t xml:space="preserve">https://doi.org/10.32614/cran.package.xnomial</w:t>
        </w:r>
      </w:hyperlink>
    </w:p>
    <w:bookmarkEnd w:id="82"/>
    <w:bookmarkStart w:id="84" w:name="ref-Figler2005"/>
    <w:p>
      <w:pPr>
        <w:pStyle w:val="Bibliography"/>
      </w:pPr>
      <w:r>
        <w:t xml:space="preserve">Figler, M. H., Blank, G. S., &amp; Peeke, H. V. 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3">
        <w:r>
          <w:rPr>
            <w:rStyle w:val="Hyperlink"/>
          </w:rPr>
          <w:t xml:space="preserve">https://doi.org/10.1080/10236240500376477</w:t>
        </w:r>
      </w:hyperlink>
    </w:p>
    <w:bookmarkEnd w:id="84"/>
    <w:bookmarkStart w:id="86" w:name="ref-Figler1999"/>
    <w:p>
      <w:pPr>
        <w:pStyle w:val="Bibliography"/>
      </w:pPr>
      <w:r>
        <w:t xml:space="preserve">Figler, M. H., Cheverton, H. M., &amp; Blank, G. S. (1999). Shelter competition in juvenile red swamp crayfish (procambarus clarkii): The influences of sex differences, relative size, and prior residence.</w:t>
      </w:r>
      <w:r>
        <w:t xml:space="preserve"> </w:t>
      </w:r>
      <w:r>
        <w:rPr>
          <w:i/>
          <w:iCs/>
        </w:rPr>
        <w:t xml:space="preserve">Aquaculture</w:t>
      </w:r>
      <w:r>
        <w:t xml:space="preserve">,</w:t>
      </w:r>
      <w:r>
        <w:t xml:space="preserve"> </w:t>
      </w:r>
      <w:r>
        <w:rPr>
          <w:i/>
          <w:iCs/>
        </w:rPr>
        <w:t xml:space="preserve">178</w:t>
      </w:r>
      <w:r>
        <w:t xml:space="preserve">(1-2), 63--75.</w:t>
      </w:r>
      <w:r>
        <w:t xml:space="preserve"> </w:t>
      </w:r>
      <w:hyperlink r:id="rId85">
        <w:r>
          <w:rPr>
            <w:rStyle w:val="Hyperlink"/>
          </w:rPr>
          <w:t xml:space="preserve">https://doi.org/10.1016/s0044-8486(99)00114-3</w:t>
        </w:r>
      </w:hyperlink>
    </w:p>
    <w:bookmarkEnd w:id="86"/>
    <w:bookmarkStart w:id="88" w:name="ref-Frehse2025"/>
    <w:p>
      <w:pPr>
        <w:pStyle w:val="Bibliography"/>
      </w:pPr>
      <w:r>
        <w:t xml:space="preserve">Frehse, F. de A., Derviche, P., Pereira, F. W., Hostim-Silva, M., &amp; Vitule, J. R. S. (2025). Artificial aquatic habitats: A systematic literature review and new perspectives.</w:t>
      </w:r>
      <w:r>
        <w:t xml:space="preserve"> </w:t>
      </w:r>
      <w:r>
        <w:rPr>
          <w:i/>
          <w:iCs/>
        </w:rPr>
        <w:t xml:space="preserve">Hydrobiologia</w:t>
      </w:r>
      <w:r>
        <w:t xml:space="preserve">,</w:t>
      </w:r>
      <w:r>
        <w:t xml:space="preserve"> </w:t>
      </w:r>
      <w:r>
        <w:rPr>
          <w:i/>
          <w:iCs/>
        </w:rPr>
        <w:t xml:space="preserve">852</w:t>
      </w:r>
      <w:r>
        <w:t xml:space="preserve">(8), 1997–2012.</w:t>
      </w:r>
      <w:r>
        <w:t xml:space="preserve"> </w:t>
      </w:r>
      <w:hyperlink r:id="rId87">
        <w:r>
          <w:rPr>
            <w:rStyle w:val="Hyperlink"/>
          </w:rPr>
          <w:t xml:space="preserve">https://doi.org/10.1007/s10750-024-05589-0</w:t>
        </w:r>
      </w:hyperlink>
    </w:p>
    <w:bookmarkEnd w:id="88"/>
    <w:bookmarkStart w:id="90" w:name="ref-Garron2024"/>
    <w:p>
      <w:pPr>
        <w:pStyle w:val="Bibliography"/>
      </w:pPr>
      <w:r>
        <w:t xml:space="preserve">Garron, C., Pangaud, A., Taubaty, M., Rolan‐Meynard, M., Argillier, C., Raymond, J., Dublon, J., &amp;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w:t>
      </w:r>
      <w:r>
        <w:t xml:space="preserve"> </w:t>
      </w:r>
      <w:r>
        <w:rPr>
          <w:i/>
          <w:iCs/>
        </w:rPr>
        <w:t xml:space="preserve">34</w:t>
      </w:r>
      <w:r>
        <w:t xml:space="preserve">(4).</w:t>
      </w:r>
      <w:r>
        <w:t xml:space="preserve"> </w:t>
      </w:r>
      <w:hyperlink r:id="rId89">
        <w:r>
          <w:rPr>
            <w:rStyle w:val="Hyperlink"/>
          </w:rPr>
          <w:t xml:space="preserve">https://doi.org/10.1002/aqc.4152</w:t>
        </w:r>
      </w:hyperlink>
    </w:p>
    <w:bookmarkEnd w:id="90"/>
    <w:bookmarkStart w:id="92" w:name="ref-Gelman1992"/>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91">
        <w:r>
          <w:rPr>
            <w:rStyle w:val="Hyperlink"/>
          </w:rPr>
          <w:t xml:space="preserve">https://doi.org/10.1214/ss/1177011136</w:t>
        </w:r>
      </w:hyperlink>
    </w:p>
    <w:bookmarkEnd w:id="92"/>
    <w:bookmarkStart w:id="94" w:name="ref-Hammond2006"/>
    <w:p>
      <w:pPr>
        <w:pStyle w:val="Bibliography"/>
      </w:pPr>
      <w:r>
        <w:t xml:space="preserve">Hammond, K. S., Hollows, J. W., Townsend, C. R., &amp; Lokman, P. M. (2006). Effects of temperature and water calcium concentration on growth, survival and moulting of freshwater crayfish, paranephrops zealandicus.</w:t>
      </w:r>
      <w:r>
        <w:t xml:space="preserve"> </w:t>
      </w:r>
      <w:r>
        <w:rPr>
          <w:i/>
          <w:iCs/>
        </w:rPr>
        <w:t xml:space="preserve">Aquaculture</w:t>
      </w:r>
      <w:r>
        <w:t xml:space="preserve">,</w:t>
      </w:r>
      <w:r>
        <w:t xml:space="preserve"> </w:t>
      </w:r>
      <w:r>
        <w:rPr>
          <w:i/>
          <w:iCs/>
        </w:rPr>
        <w:t xml:space="preserve">251</w:t>
      </w:r>
      <w:r>
        <w:t xml:space="preserve">(2-4), 271--279.</w:t>
      </w:r>
      <w:r>
        <w:t xml:space="preserve"> </w:t>
      </w:r>
      <w:hyperlink r:id="rId93">
        <w:r>
          <w:rPr>
            <w:rStyle w:val="Hyperlink"/>
          </w:rPr>
          <w:t xml:space="preserve">https://doi.org/10.1016/j.aquaculture.2005.05.032</w:t>
        </w:r>
      </w:hyperlink>
    </w:p>
    <w:bookmarkEnd w:id="94"/>
    <w:bookmarkStart w:id="96" w:name="ref-Huolila1997"/>
    <w:p>
      <w:pPr>
        <w:pStyle w:val="Bibliography"/>
      </w:pPr>
      <w:r>
        <w:t xml:space="preserve">Huolila, M., Marjomäki, T. J., &amp; Laukkanen, E. (1997). The success of crayfish stocking in a dredged river with and without artificial shelter increase.</w:t>
      </w:r>
      <w:r>
        <w:t xml:space="preserve"> </w:t>
      </w:r>
      <w:r>
        <w:rPr>
          <w:i/>
          <w:iCs/>
        </w:rPr>
        <w:t xml:space="preserve">Fisheries Research</w:t>
      </w:r>
      <w:r>
        <w:t xml:space="preserve">,</w:t>
      </w:r>
      <w:r>
        <w:t xml:space="preserve"> </w:t>
      </w:r>
      <w:r>
        <w:rPr>
          <w:i/>
          <w:iCs/>
        </w:rPr>
        <w:t xml:space="preserve">32</w:t>
      </w:r>
      <w:r>
        <w:t xml:space="preserve">(2), 185--189.</w:t>
      </w:r>
      <w:r>
        <w:t xml:space="preserve"> </w:t>
      </w:r>
      <w:hyperlink r:id="rId95">
        <w:r>
          <w:rPr>
            <w:rStyle w:val="Hyperlink"/>
          </w:rPr>
          <w:t xml:space="preserve">https://doi.org/10.1016/s0165-7836(97)00046-5</w:t>
        </w:r>
      </w:hyperlink>
    </w:p>
    <w:bookmarkEnd w:id="96"/>
    <w:bookmarkStart w:id="98" w:name="ref-Hurlbert1984"/>
    <w:p>
      <w:pPr>
        <w:pStyle w:val="Bibliography"/>
      </w:pPr>
      <w:r>
        <w:t xml:space="preserve">Hurlbert, S. H. (1984). Pseudoreplication and the design of ecological field experiments.</w:t>
      </w:r>
      <w:r>
        <w:t xml:space="preserve"> </w:t>
      </w:r>
      <w:r>
        <w:rPr>
          <w:i/>
          <w:iCs/>
        </w:rPr>
        <w:t xml:space="preserve">Ecological Monographs</w:t>
      </w:r>
      <w:r>
        <w:t xml:space="preserve">,</w:t>
      </w:r>
      <w:r>
        <w:t xml:space="preserve"> </w:t>
      </w:r>
      <w:r>
        <w:rPr>
          <w:i/>
          <w:iCs/>
        </w:rPr>
        <w:t xml:space="preserve">54</w:t>
      </w:r>
      <w:r>
        <w:t xml:space="preserve">(2), 187--211.</w:t>
      </w:r>
      <w:r>
        <w:t xml:space="preserve"> </w:t>
      </w:r>
      <w:hyperlink r:id="rId97">
        <w:r>
          <w:rPr>
            <w:rStyle w:val="Hyperlink"/>
          </w:rPr>
          <w:t xml:space="preserve">https://doi.org/10.2307/1942661</w:t>
        </w:r>
      </w:hyperlink>
    </w:p>
    <w:bookmarkEnd w:id="98"/>
    <w:bookmarkStart w:id="100" w:name="ref-Hylkema2020"/>
    <w:p>
      <w:pPr>
        <w:pStyle w:val="Bibliography"/>
      </w:pPr>
      <w:r>
        <w:t xml:space="preserve">Hylkema, A., Debrot, A. O., Osinga, R., Bron, P. S., Heesink, D. B., Izioka, A. K., Reid, C. B., Rippen, J. C., Treibitz, T., Yuval, M., &amp; Murk, A. J. (2020). Fish assemblages of three common artificial reef designs during early colonization.</w:t>
      </w:r>
      <w:r>
        <w:t xml:space="preserve"> </w:t>
      </w:r>
      <w:r>
        <w:rPr>
          <w:i/>
          <w:iCs/>
        </w:rPr>
        <w:t xml:space="preserve">Ecological Engineering</w:t>
      </w:r>
      <w:r>
        <w:t xml:space="preserve">,</w:t>
      </w:r>
      <w:r>
        <w:t xml:space="preserve"> </w:t>
      </w:r>
      <w:r>
        <w:rPr>
          <w:i/>
          <w:iCs/>
        </w:rPr>
        <w:t xml:space="preserve">157</w:t>
      </w:r>
      <w:r>
        <w:t xml:space="preserve">, 105994.</w:t>
      </w:r>
      <w:r>
        <w:t xml:space="preserve"> </w:t>
      </w:r>
      <w:hyperlink r:id="rId99">
        <w:r>
          <w:rPr>
            <w:rStyle w:val="Hyperlink"/>
          </w:rPr>
          <w:t xml:space="preserve">https://doi.org/10.1016/j.ecoleng.2020.105994</w:t>
        </w:r>
      </w:hyperlink>
    </w:p>
    <w:bookmarkEnd w:id="100"/>
    <w:bookmarkStart w:id="101" w:name="ref-Johnsen2008"/>
    <w:p>
      <w:pPr>
        <w:pStyle w:val="Bibliography"/>
      </w:pPr>
      <w:r>
        <w:t xml:space="preserve">Johnsen, S. I., &amp; Taugbøl, T. (2008). Add stones, get crayfish – is it that simple?</w:t>
      </w:r>
      <w:r>
        <w:t xml:space="preserve"> </w:t>
      </w:r>
      <w:r>
        <w:rPr>
          <w:i/>
          <w:iCs/>
        </w:rPr>
        <w:t xml:space="preserve">Freshwater Crayfish</w:t>
      </w:r>
      <w:r>
        <w:t xml:space="preserve">,</w:t>
      </w:r>
      <w:r>
        <w:t xml:space="preserve"> </w:t>
      </w:r>
      <w:r>
        <w:rPr>
          <w:i/>
          <w:iCs/>
        </w:rPr>
        <w:t xml:space="preserve">16</w:t>
      </w:r>
      <w:r>
        <w:t xml:space="preserve">(1), 47–50.</w:t>
      </w:r>
    </w:p>
    <w:bookmarkEnd w:id="101"/>
    <w:bookmarkStart w:id="103" w:name="ref-Jowett2008"/>
    <w:p>
      <w:pPr>
        <w:pStyle w:val="Bibliography"/>
      </w:pPr>
      <w:r>
        <w:t xml:space="preserve">Jowett, I. G., Parkyn, S. M., &amp; Richardson, J. (2008). Habitat characteristics of crayfish (paranephrops planifrons) in new zealand streams using generalised additive models (GAMs).</w:t>
      </w:r>
      <w:r>
        <w:t xml:space="preserve"> </w:t>
      </w:r>
      <w:r>
        <w:rPr>
          <w:i/>
          <w:iCs/>
        </w:rPr>
        <w:t xml:space="preserve">Hydrobiologia</w:t>
      </w:r>
      <w:r>
        <w:t xml:space="preserve">,</w:t>
      </w:r>
      <w:r>
        <w:t xml:space="preserve"> </w:t>
      </w:r>
      <w:r>
        <w:rPr>
          <w:i/>
          <w:iCs/>
        </w:rPr>
        <w:t xml:space="preserve">596</w:t>
      </w:r>
      <w:r>
        <w:t xml:space="preserve">(1), 353--365.</w:t>
      </w:r>
      <w:r>
        <w:t xml:space="preserve"> </w:t>
      </w:r>
      <w:hyperlink r:id="rId102">
        <w:r>
          <w:rPr>
            <w:rStyle w:val="Hyperlink"/>
          </w:rPr>
          <w:t xml:space="preserve">https://doi.org/10.1007/s10750-007-9108-z</w:t>
        </w:r>
      </w:hyperlink>
    </w:p>
    <w:bookmarkEnd w:id="103"/>
    <w:bookmarkStart w:id="104" w:name="ref-Jurcak2016"/>
    <w:p>
      <w:pPr>
        <w:pStyle w:val="Bibliography"/>
      </w:pPr>
      <w:r>
        <w:t xml:space="preserve">Jurcak, A. M., Lahman, S. E., Wofford, S. J., &amp; Moore, P. A. (2016). Behavior of crayfish. In</w:t>
      </w:r>
      <w:r>
        <w:t xml:space="preserve"> </w:t>
      </w:r>
      <w:r>
        <w:rPr>
          <w:i/>
          <w:iCs/>
        </w:rPr>
        <w:t xml:space="preserve">Biology and ecology of crayfish</w:t>
      </w:r>
      <w:r>
        <w:t xml:space="preserve">. CRC Press.</w:t>
      </w:r>
    </w:p>
    <w:bookmarkEnd w:id="104"/>
    <w:bookmarkStart w:id="105" w:name="ref-Kusabsinpress"/>
    <w:p>
      <w:pPr>
        <w:pStyle w:val="Bibliography"/>
      </w:pPr>
      <w:r>
        <w:t xml:space="preserve">Kusabs, I. A., Duggan, I. C., Scholes, P., Bruere, A., Te Kurapa, T. W., Grant, T., &amp; Burdon, F. J. (inpress). Invasive catfish linked to the decline of freshwater crayfish in two aotearoa new zealand lakes.</w:t>
      </w:r>
      <w:r>
        <w:t xml:space="preserve"> </w:t>
      </w:r>
      <w:r>
        <w:rPr>
          <w:i/>
          <w:iCs/>
        </w:rPr>
        <w:t xml:space="preserve">Manuscript Submitted for Publication</w:t>
      </w:r>
      <w:r>
        <w:t xml:space="preserve">.</w:t>
      </w:r>
    </w:p>
    <w:bookmarkEnd w:id="105"/>
    <w:bookmarkStart w:id="107"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6">
        <w:r>
          <w:rPr>
            <w:rStyle w:val="Hyperlink"/>
          </w:rPr>
          <w:t xml:space="preserve">https://doi.org/10.1080/00288330909510036</w:t>
        </w:r>
      </w:hyperlink>
    </w:p>
    <w:bookmarkEnd w:id="107"/>
    <w:bookmarkStart w:id="109" w:name="ref-Kusabs2015"/>
    <w:p>
      <w:pPr>
        <w:pStyle w:val="Bibliography"/>
      </w:pPr>
      <w:r>
        <w:t xml:space="preserve">Kusabs, I. A., Quinn, J. M., &amp; Hamilton, D. P. (2015). Effects of benthic substrate, nutrient enrichment and predatory fish on freshwater crayfish (koura, paranephrops planifrons) population characteristics in seven te arawa (rotorua) lakes, north island, new zealand.</w:t>
      </w:r>
      <w:r>
        <w:t xml:space="preserve"> </w:t>
      </w:r>
      <w:r>
        <w:rPr>
          <w:i/>
          <w:iCs/>
        </w:rPr>
        <w:t xml:space="preserve">Marine and Freshwater Research</w:t>
      </w:r>
      <w:r>
        <w:t xml:space="preserve">,</w:t>
      </w:r>
      <w:r>
        <w:t xml:space="preserve"> </w:t>
      </w:r>
      <w:r>
        <w:rPr>
          <w:i/>
          <w:iCs/>
        </w:rPr>
        <w:t xml:space="preserve">66</w:t>
      </w:r>
      <w:r>
        <w:t xml:space="preserve">(7), 631–643.</w:t>
      </w:r>
      <w:r>
        <w:t xml:space="preserve"> </w:t>
      </w:r>
      <w:hyperlink r:id="rId108">
        <w:r>
          <w:rPr>
            <w:rStyle w:val="Hyperlink"/>
          </w:rPr>
          <w:t xml:space="preserve">https://doi.org/10.1071/mf14148</w:t>
        </w:r>
      </w:hyperlink>
    </w:p>
    <w:bookmarkEnd w:id="109"/>
    <w:bookmarkStart w:id="111"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10">
        <w:r>
          <w:rPr>
            <w:rStyle w:val="Hyperlink"/>
          </w:rPr>
          <w:t xml:space="preserve">https://doi.org/10.5194/we-25-221-2025</w:t>
        </w:r>
      </w:hyperlink>
    </w:p>
    <w:bookmarkEnd w:id="111"/>
    <w:bookmarkStart w:id="112" w:name="ref-Magnelia2008"/>
    <w:p>
      <w:pPr>
        <w:pStyle w:val="Bibliography"/>
      </w:pPr>
      <w:r>
        <w:t xml:space="preserve">Magnelia, S. J., Jesus, M. J. D., Schlechte, J. W., Cummings, G. C., &amp; Duty, J. L. (2008).</w:t>
      </w:r>
      <w:r>
        <w:t xml:space="preserve"> </w:t>
      </w:r>
      <w:r>
        <w:rPr>
          <w:i/>
          <w:iCs/>
        </w:rPr>
        <w:t xml:space="preserve">Comparison of plastic pipe and juniper tree fish attractors in a central texas reservoir</w:t>
      </w:r>
      <w:r>
        <w:t xml:space="preserve">.</w:t>
      </w:r>
    </w:p>
    <w:bookmarkEnd w:id="112"/>
    <w:bookmarkStart w:id="114" w:name="ref-Mazlum2017"/>
    <w:p>
      <w:pPr>
        <w:pStyle w:val="Bibliography"/>
      </w:pPr>
      <w:r>
        <w:t xml:space="preserve">Mazlum, Y., Guner Gurlek, O., &amp;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w:t>
      </w:r>
      <w:r>
        <w:t xml:space="preserve"> </w:t>
      </w:r>
      <w:r>
        <w:rPr>
          <w:i/>
          <w:iCs/>
        </w:rPr>
        <w:t xml:space="preserve">90</w:t>
      </w:r>
      <w:r>
        <w:t xml:space="preserve">(11-12), 1289--1302.</w:t>
      </w:r>
      <w:r>
        <w:t xml:space="preserve"> </w:t>
      </w:r>
      <w:hyperlink r:id="rId113">
        <w:r>
          <w:rPr>
            <w:rStyle w:val="Hyperlink"/>
          </w:rPr>
          <w:t xml:space="preserve">https://doi.org/10.1163/15685403-00003724</w:t>
        </w:r>
      </w:hyperlink>
    </w:p>
    <w:bookmarkEnd w:id="114"/>
    <w:bookmarkStart w:id="115" w:name="ref-McCarthy2007"/>
    <w:p>
      <w:pPr>
        <w:pStyle w:val="Bibliography"/>
      </w:pPr>
      <w:r>
        <w:t xml:space="preserve">McCarthy, M. A. (2007).</w:t>
      </w:r>
      <w:r>
        <w:t xml:space="preserve"> </w:t>
      </w:r>
      <w:r>
        <w:rPr>
          <w:i/>
          <w:iCs/>
        </w:rPr>
        <w:t xml:space="preserve">Bayesian methods for ecology</w:t>
      </w:r>
      <w:r>
        <w:t xml:space="preserve">. Cambridge University Press.</w:t>
      </w:r>
    </w:p>
    <w:bookmarkEnd w:id="115"/>
    <w:bookmarkStart w:id="117" w:name="ref-Momot1995"/>
    <w:p>
      <w:pPr>
        <w:pStyle w:val="Bibliography"/>
      </w:pPr>
      <w:r>
        <w:t xml:space="preserve">Momot, W. T. (1995). Redefining the role of crayfish in aquatic ecosystems.</w:t>
      </w:r>
      <w:r>
        <w:t xml:space="preserve"> </w:t>
      </w:r>
      <w:r>
        <w:rPr>
          <w:i/>
          <w:iCs/>
        </w:rPr>
        <w:t xml:space="preserve">Reviews in Fisheries Science</w:t>
      </w:r>
      <w:r>
        <w:t xml:space="preserve">,</w:t>
      </w:r>
      <w:r>
        <w:t xml:space="preserve"> </w:t>
      </w:r>
      <w:r>
        <w:rPr>
          <w:i/>
          <w:iCs/>
        </w:rPr>
        <w:t xml:space="preserve">3</w:t>
      </w:r>
      <w:r>
        <w:t xml:space="preserve">(1), 33--63.</w:t>
      </w:r>
      <w:r>
        <w:t xml:space="preserve"> </w:t>
      </w:r>
      <w:hyperlink r:id="rId116">
        <w:r>
          <w:rPr>
            <w:rStyle w:val="Hyperlink"/>
          </w:rPr>
          <w:t xml:space="preserve">https://doi.org/10.1080/10641269509388566</w:t>
        </w:r>
      </w:hyperlink>
    </w:p>
    <w:bookmarkEnd w:id="117"/>
    <w:bookmarkStart w:id="119" w:name="ref-Olsson2009"/>
    <w:p>
      <w:pPr>
        <w:pStyle w:val="Bibliography"/>
      </w:pPr>
      <w:r>
        <w:t xml:space="preserve">Olsson, K., &amp;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w:t>
      </w:r>
      <w:r>
        <w:t xml:space="preserve"> </w:t>
      </w:r>
      <w:r>
        <w:rPr>
          <w:i/>
          <w:iCs/>
        </w:rPr>
        <w:t xml:space="preserve">54</w:t>
      </w:r>
      <w:r>
        <w:t xml:space="preserve">(1), 35--46.</w:t>
      </w:r>
      <w:r>
        <w:t xml:space="preserve"> </w:t>
      </w:r>
      <w:hyperlink r:id="rId118">
        <w:r>
          <w:rPr>
            <w:rStyle w:val="Hyperlink"/>
          </w:rPr>
          <w:t xml:space="preserve">https://doi.org/10.1111/j.1365-2427.2008.02089.x</w:t>
        </w:r>
      </w:hyperlink>
    </w:p>
    <w:bookmarkEnd w:id="119"/>
    <w:bookmarkStart w:id="121" w:name="ref-Olsson2006"/>
    <w:p>
      <w:pPr>
        <w:pStyle w:val="Bibliography"/>
      </w:pPr>
      <w:r>
        <w:t xml:space="preserve">Olsson, K., Stenroth, P., Nyström, P., Holmqvist, N., McIntosh, A. R., &amp; Winterbourn, M. 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w:t>
      </w:r>
      <w:r>
        <w:t xml:space="preserve"> </w:t>
      </w:r>
      <w:r>
        <w:rPr>
          <w:i/>
          <w:iCs/>
        </w:rPr>
        <w:t xml:space="preserve">130</w:t>
      </w:r>
      <w:r>
        <w:t xml:space="preserve">(2), 255--267.</w:t>
      </w:r>
      <w:r>
        <w:t xml:space="preserve"> </w:t>
      </w:r>
      <w:hyperlink r:id="rId120">
        <w:r>
          <w:rPr>
            <w:rStyle w:val="Hyperlink"/>
          </w:rPr>
          <w:t xml:space="preserve">https://doi.org/10.1016/j.biocon.2005.12.019</w:t>
        </w:r>
      </w:hyperlink>
    </w:p>
    <w:bookmarkEnd w:id="121"/>
    <w:bookmarkStart w:id="123"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22">
        <w:r>
          <w:rPr>
            <w:rStyle w:val="Hyperlink"/>
          </w:rPr>
          <w:t xml:space="preserve">https://doi.org/10.1046/j.1365-2427.2001.00702.x</w:t>
        </w:r>
      </w:hyperlink>
    </w:p>
    <w:bookmarkEnd w:id="123"/>
    <w:bookmarkStart w:id="125" w:name="ref-Parkyn2009"/>
    <w:p>
      <w:pPr>
        <w:pStyle w:val="Bibliography"/>
      </w:pPr>
      <w:r>
        <w:t xml:space="preserve">Parkyn, S. M., Meleason, M. A., &amp; Davies‐Colley, R. 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w:t>
      </w:r>
      <w:r>
        <w:t xml:space="preserve"> </w:t>
      </w:r>
      <w:r>
        <w:rPr>
          <w:i/>
          <w:iCs/>
        </w:rPr>
        <w:t xml:space="preserve">43</w:t>
      </w:r>
      <w:r>
        <w:t xml:space="preserve">(3), 689--700.</w:t>
      </w:r>
      <w:r>
        <w:t xml:space="preserve"> </w:t>
      </w:r>
      <w:hyperlink r:id="rId124">
        <w:r>
          <w:rPr>
            <w:rStyle w:val="Hyperlink"/>
          </w:rPr>
          <w:t xml:space="preserve">https://doi.org/10.1080/00288330909510034</w:t>
        </w:r>
      </w:hyperlink>
    </w:p>
    <w:bookmarkEnd w:id="125"/>
    <w:bookmarkStart w:id="127" w:name="ref-Percival2010"/>
    <w:p>
      <w:pPr>
        <w:pStyle w:val="Bibliography"/>
      </w:pPr>
      <w:r>
        <w:t xml:space="preserve">Percival, D., &amp; Moore, P. (2010). Shelter size influences self-assessment of size in crayfish, orconectes rusticus: Consequences for agonistic fights.</w:t>
      </w:r>
      <w:r>
        <w:t xml:space="preserve"> </w:t>
      </w:r>
      <w:r>
        <w:rPr>
          <w:i/>
          <w:iCs/>
        </w:rPr>
        <w:t xml:space="preserve">Behaviour</w:t>
      </w:r>
      <w:r>
        <w:t xml:space="preserve">,</w:t>
      </w:r>
      <w:r>
        <w:t xml:space="preserve"> </w:t>
      </w:r>
      <w:r>
        <w:rPr>
          <w:i/>
          <w:iCs/>
        </w:rPr>
        <w:t xml:space="preserve">147</w:t>
      </w:r>
      <w:r>
        <w:t xml:space="preserve">(1), 103--119.</w:t>
      </w:r>
      <w:r>
        <w:t xml:space="preserve"> </w:t>
      </w:r>
      <w:hyperlink r:id="rId126">
        <w:r>
          <w:rPr>
            <w:rStyle w:val="Hyperlink"/>
          </w:rPr>
          <w:t xml:space="preserve">https://doi.org/10.1163/000579509x12512685881053</w:t>
        </w:r>
      </w:hyperlink>
    </w:p>
    <w:bookmarkEnd w:id="127"/>
    <w:bookmarkStart w:id="128" w:name="ref-Ramalho2010"/>
    <w:p>
      <w:pPr>
        <w:pStyle w:val="Bibliography"/>
      </w:pPr>
      <w:r>
        <w:t xml:space="preserve">Ramalho, R. O., McClain, W. R., &amp; Anastacio, P. M. (2010). An effective and simple method of temporarily marking crayfish.</w:t>
      </w:r>
      <w:r>
        <w:t xml:space="preserve"> </w:t>
      </w:r>
      <w:r>
        <w:rPr>
          <w:i/>
          <w:iCs/>
        </w:rPr>
        <w:t xml:space="preserve">Freshwater Crayfish</w:t>
      </w:r>
      <w:r>
        <w:t xml:space="preserve">,</w:t>
      </w:r>
      <w:r>
        <w:t xml:space="preserve"> </w:t>
      </w:r>
      <w:r>
        <w:rPr>
          <w:i/>
          <w:iCs/>
        </w:rPr>
        <w:t xml:space="preserve">17</w:t>
      </w:r>
      <w:r>
        <w:t xml:space="preserve">(1), 57–60.</w:t>
      </w:r>
    </w:p>
    <w:bookmarkEnd w:id="128"/>
    <w:bookmarkStart w:id="129" w:name="ref-Ranta1993"/>
    <w:p>
      <w:pPr>
        <w:pStyle w:val="Bibliography"/>
      </w:pPr>
      <w:r>
        <w:t xml:space="preserve">Ranta, E., &amp;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w:t>
      </w:r>
      <w:r>
        <w:t xml:space="preserve"> </w:t>
      </w:r>
      <w:r>
        <w:rPr>
          <w:i/>
          <w:iCs/>
        </w:rPr>
        <w:t xml:space="preserve">30</w:t>
      </w:r>
      <w:r>
        <w:t xml:space="preserve">(2), 125–132.</w:t>
      </w:r>
    </w:p>
    <w:bookmarkEnd w:id="129"/>
    <w:bookmarkStart w:id="131" w:name="ref-Raveninreview"/>
    <w:p>
      <w:pPr>
        <w:pStyle w:val="Bibliography"/>
      </w:pPr>
      <w:r>
        <w:t xml:space="preserve">Raven, O. V., Burdon, F. J., Kusabs, I. A. K., Holmes, R., &amp; Özkundakci, D. (inreview).</w:t>
      </w:r>
      <w:r>
        <w:t xml:space="preserve"> </w:t>
      </w:r>
      <w:r>
        <w:rPr>
          <w:i/>
          <w:iCs/>
        </w:rPr>
        <w:t xml:space="preserve">Littoral habitat structure influences freshwater crayfish populations in five volcanic lakes of aotearoa new zealand</w:t>
      </w:r>
      <w:r>
        <w:t xml:space="preserve">.</w:t>
      </w:r>
      <w:r>
        <w:t xml:space="preserve"> </w:t>
      </w:r>
      <w:hyperlink r:id="rId130">
        <w:r>
          <w:rPr>
            <w:rStyle w:val="Hyperlink"/>
          </w:rPr>
          <w:t xml:space="preserve">https://olivierraven.github.io/Koura_shoreline_habitats/</w:t>
        </w:r>
      </w:hyperlink>
    </w:p>
    <w:bookmarkEnd w:id="131"/>
    <w:bookmarkStart w:id="133" w:name="ref-Ravenindraft"/>
    <w:p>
      <w:pPr>
        <w:pStyle w:val="Bibliography"/>
      </w:pPr>
      <w:r>
        <w:t xml:space="preserve">Raven, O. V., MacNeil, C., Lee, F., Holmes, R., Kusabs, I. A. K., Burdon, F. J., &amp; Özkundakci, D. (indraft).</w:t>
      </w:r>
      <w:r>
        <w:t xml:space="preserve"> </w:t>
      </w:r>
      <w:r>
        <w:rPr>
          <w:i/>
          <w:iCs/>
        </w:rPr>
        <w:t xml:space="preserve">Fear of the invader: A predatory invader may provoke stronger non-consumptive effects on a keystone native prey than a native predator</w:t>
      </w:r>
      <w:r>
        <w:t xml:space="preserve">.</w:t>
      </w:r>
      <w:r>
        <w:t xml:space="preserve"> </w:t>
      </w:r>
      <w:hyperlink r:id="rId132">
        <w:r>
          <w:rPr>
            <w:rStyle w:val="Hyperlink"/>
          </w:rPr>
          <w:t xml:space="preserve">https://olivierraven.github.io/NCE_Koura_catfish/</w:t>
        </w:r>
      </w:hyperlink>
    </w:p>
    <w:bookmarkEnd w:id="133"/>
    <w:bookmarkStart w:id="135" w:name="ref-Richman2015"/>
    <w:p>
      <w:pPr>
        <w:pStyle w:val="Bibliography"/>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w:t>
      </w:r>
      <w:r>
        <w:t xml:space="preserve"> </w:t>
      </w:r>
      <w:r>
        <w:rPr>
          <w:i/>
          <w:iCs/>
        </w:rPr>
        <w:t xml:space="preserve">Philosophical Transactions of the Royal Society B: Biological Sciences</w:t>
      </w:r>
      <w:r>
        <w:t xml:space="preserve">,</w:t>
      </w:r>
      <w:r>
        <w:t xml:space="preserve"> </w:t>
      </w:r>
      <w:r>
        <w:rPr>
          <w:i/>
          <w:iCs/>
        </w:rPr>
        <w:t xml:space="preserve">370</w:t>
      </w:r>
      <w:r>
        <w:t xml:space="preserve">(1662), 20140060.</w:t>
      </w:r>
      <w:r>
        <w:t xml:space="preserve"> </w:t>
      </w:r>
      <w:hyperlink r:id="rId134">
        <w:r>
          <w:rPr>
            <w:rStyle w:val="Hyperlink"/>
          </w:rPr>
          <w:t xml:space="preserve">https://doi.org/10.1098/rstb.2014.0060</w:t>
        </w:r>
      </w:hyperlink>
    </w:p>
    <w:bookmarkEnd w:id="135"/>
    <w:bookmarkStart w:id="136" w:name="ref-Shave1994"/>
    <w:p>
      <w:pPr>
        <w:pStyle w:val="Bibliography"/>
      </w:pPr>
      <w:r>
        <w:t xml:space="preserve">Shave, C. R., Townsend, C. R., &amp; Crowl, T. 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36"/>
    <w:bookmarkStart w:id="137" w:name="ref-Spanier1994"/>
    <w:p>
      <w:pPr>
        <w:pStyle w:val="Bibliography"/>
      </w:pPr>
      <w:r>
        <w:t xml:space="preserve">Spanier, E. (1994). What are the characteristics of a good artificial reef for lobsters?</w:t>
      </w:r>
      <w:r>
        <w:t xml:space="preserve"> </w:t>
      </w:r>
      <w:r>
        <w:rPr>
          <w:i/>
          <w:iCs/>
        </w:rPr>
        <w:t xml:space="preserve">Crustaceana</w:t>
      </w:r>
      <w:r>
        <w:t xml:space="preserve">,</w:t>
      </w:r>
      <w:r>
        <w:t xml:space="preserve"> </w:t>
      </w:r>
      <w:r>
        <w:rPr>
          <w:i/>
          <w:iCs/>
        </w:rPr>
        <w:t xml:space="preserve">67</w:t>
      </w:r>
      <w:r>
        <w:t xml:space="preserve">(2), 173--186.</w:t>
      </w:r>
    </w:p>
    <w:bookmarkEnd w:id="137"/>
    <w:bookmarkStart w:id="139" w:name="ref-Stewart2011"/>
    <w:p>
      <w:pPr>
        <w:pStyle w:val="Bibliography"/>
      </w:pPr>
      <w:r>
        <w:t xml:space="preserve">Stewart, C., &amp;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w:t>
      </w:r>
      <w:r>
        <w:t xml:space="preserve"> </w:t>
      </w:r>
      <w:r>
        <w:rPr>
          <w:i/>
          <w:iCs/>
        </w:rPr>
        <w:t xml:space="preserve">45</w:t>
      </w:r>
      <w:r>
        <w:t xml:space="preserve">(2), 281–285.</w:t>
      </w:r>
      <w:r>
        <w:t xml:space="preserve"> </w:t>
      </w:r>
      <w:hyperlink r:id="rId138">
        <w:r>
          <w:rPr>
            <w:rStyle w:val="Hyperlink"/>
          </w:rPr>
          <w:t xml:space="preserve">https://doi.org/10.1080/00288330.2011.559661</w:t>
        </w:r>
      </w:hyperlink>
    </w:p>
    <w:bookmarkEnd w:id="139"/>
    <w:bookmarkStart w:id="141" w:name="ref-Streissl2002"/>
    <w:p>
      <w:pPr>
        <w:pStyle w:val="Bibliography"/>
      </w:pPr>
      <w:r>
        <w:t xml:space="preserve">Streissl, F., &amp;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w:t>
      </w:r>
      <w:r>
        <w:t xml:space="preserve"> </w:t>
      </w:r>
      <w:r>
        <w:rPr>
          <w:i/>
          <w:iCs/>
        </w:rPr>
        <w:t xml:space="preserve">477</w:t>
      </w:r>
      <w:r>
        <w:t xml:space="preserve">, 195–199.</w:t>
      </w:r>
      <w:r>
        <w:t xml:space="preserve"> </w:t>
      </w:r>
      <w:hyperlink r:id="rId140">
        <w:r>
          <w:rPr>
            <w:rStyle w:val="Hyperlink"/>
          </w:rPr>
          <w:t xml:space="preserve">https://doi.org/10.1023/A:1021094309738</w:t>
        </w:r>
      </w:hyperlink>
    </w:p>
    <w:bookmarkEnd w:id="141"/>
    <w:bookmarkStart w:id="143" w:name="ref-Takahashi2019"/>
    <w:p>
      <w:pPr>
        <w:pStyle w:val="Bibliography"/>
      </w:pPr>
      <w:r>
        <w:t xml:space="preserve">Takahashi, K., Yamaguchi, E., Fujiyama, N., &amp; Nagayama, T. (2019). The effects of quality of shelters and prior residence on marmorkrebs (marbled crayfish).</w:t>
      </w:r>
      <w:r>
        <w:t xml:space="preserve"> </w:t>
      </w:r>
      <w:r>
        <w:rPr>
          <w:i/>
          <w:iCs/>
        </w:rPr>
        <w:t xml:space="preserve">Journal of Experimental Biology</w:t>
      </w:r>
      <w:r>
        <w:t xml:space="preserve">.</w:t>
      </w:r>
      <w:r>
        <w:t xml:space="preserve"> </w:t>
      </w:r>
      <w:hyperlink r:id="rId142">
        <w:r>
          <w:rPr>
            <w:rStyle w:val="Hyperlink"/>
          </w:rPr>
          <w:t xml:space="preserve">https://doi.org/10.1242/jeb.197301</w:t>
        </w:r>
      </w:hyperlink>
    </w:p>
    <w:bookmarkEnd w:id="143"/>
    <w:bookmarkStart w:id="145" w:name="ref-Usio2000"/>
    <w:p>
      <w:pPr>
        <w:pStyle w:val="Bibliography"/>
      </w:pPr>
      <w:r>
        <w:t xml:space="preserve">Usio, N., &amp; Townsend, C. 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w:t>
      </w:r>
      <w:r>
        <w:t xml:space="preserve"> </w:t>
      </w:r>
      <w:r>
        <w:rPr>
          <w:i/>
          <w:iCs/>
        </w:rPr>
        <w:t xml:space="preserve">34</w:t>
      </w:r>
      <w:r>
        <w:t xml:space="preserve">(3), 557--567.</w:t>
      </w:r>
      <w:r>
        <w:t xml:space="preserve"> </w:t>
      </w:r>
      <w:hyperlink r:id="rId144">
        <w:r>
          <w:rPr>
            <w:rStyle w:val="Hyperlink"/>
          </w:rPr>
          <w:t xml:space="preserve">https://doi.org/10.1080/00288330.2000.9516957</w:t>
        </w:r>
      </w:hyperlink>
    </w:p>
    <w:bookmarkEnd w:id="145"/>
    <w:bookmarkStart w:id="147" w:name="ref-Wehi2017"/>
    <w:p>
      <w:pPr>
        <w:pStyle w:val="Bibliography"/>
      </w:pPr>
      <w:r>
        <w:t xml:space="preserve">Wehi, P. M., &amp; Lord, J. M. (2017). Importance of including cultural practices in ecological restoration.</w:t>
      </w:r>
      <w:r>
        <w:t xml:space="preserve"> </w:t>
      </w:r>
      <w:r>
        <w:rPr>
          <w:i/>
          <w:iCs/>
        </w:rPr>
        <w:t xml:space="preserve">Conservation Biology</w:t>
      </w:r>
      <w:r>
        <w:t xml:space="preserve">,</w:t>
      </w:r>
      <w:r>
        <w:t xml:space="preserve"> </w:t>
      </w:r>
      <w:r>
        <w:rPr>
          <w:i/>
          <w:iCs/>
        </w:rPr>
        <w:t xml:space="preserve">31</w:t>
      </w:r>
      <w:r>
        <w:t xml:space="preserve">(5), 1109--1118.</w:t>
      </w:r>
      <w:r>
        <w:t xml:space="preserve"> </w:t>
      </w:r>
      <w:hyperlink r:id="rId146">
        <w:r>
          <w:rPr>
            <w:rStyle w:val="Hyperlink"/>
          </w:rPr>
          <w:t xml:space="preserve">https://doi.org/10.1111/cobi.12915</w:t>
        </w:r>
      </w:hyperlink>
    </w:p>
    <w:bookmarkEnd w:id="147"/>
    <w:bookmarkStart w:id="149"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48">
        <w:r>
          <w:rPr>
            <w:rStyle w:val="Hyperlink"/>
          </w:rPr>
          <w:t xml:space="preserve">https://doi.org/10.3390/ani14081147</w:t>
        </w:r>
      </w:hyperlink>
    </w:p>
    <w:bookmarkEnd w:id="149"/>
    <w:bookmarkEnd w:id="150"/>
    <w:bookmarkEnd w:id="151"/>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2447CA"/>
    <w:rsid w:val="00336821"/>
    <w:rsid w:val="003C7EE2"/>
    <w:rsid w:val="005044F2"/>
    <w:rsid w:val="00510764"/>
    <w:rsid w:val="0051102F"/>
    <w:rsid w:val="006327B2"/>
    <w:rsid w:val="00634882"/>
    <w:rsid w:val="00696C14"/>
    <w:rsid w:val="007469FE"/>
    <w:rsid w:val="008000A7"/>
    <w:rsid w:val="00917306"/>
    <w:rsid w:val="009B7F83"/>
    <w:rsid w:val="00AA3340"/>
    <w:rsid w:val="00B43B10"/>
    <w:rsid w:val="00E2075A"/>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E2075A"/>
    <w:pPr>
      <w:keepNext/>
      <w:keepLines/>
      <w:spacing w:after="80" w:before="360" w:line="240" w:lineRule="auto"/>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E2075A"/>
    <w:pPr>
      <w:keepNext/>
      <w:keepLines/>
      <w:spacing w:after="320" w:before="40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2075A"/>
    <w:rPr>
      <w:rFonts w:cstheme="majorBidi" w:eastAsiaTheme="majorEastAsia"/>
      <w:b/>
      <w:sz w:val="32"/>
      <w:szCs w:val="40"/>
      <w:lang w:val="en-GB"/>
    </w:rPr>
  </w:style>
  <w:style w:customStyle="1" w:styleId="Heading2Char" w:type="character">
    <w:name w:val="Heading 2 Char"/>
    <w:basedOn w:val="DefaultParagraphFont"/>
    <w:link w:val="Heading2"/>
    <w:uiPriority w:val="9"/>
    <w:rsid w:val="00E2075A"/>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5044F2"/>
    <w:pPr>
      <w:spacing w:after="80" w:line="240" w:lineRule="auto"/>
      <w:contextualSpacing/>
    </w:pPr>
    <w:rPr>
      <w:rFonts w:cstheme="majorBidi" w:eastAsiaTheme="majorEastAsia"/>
      <w:b/>
      <w:spacing w:val="-10"/>
      <w:kern w:val="28"/>
      <w:sz w:val="48"/>
      <w:szCs w:val="56"/>
    </w:rPr>
  </w:style>
  <w:style w:customStyle="1" w:styleId="TitleChar" w:type="character">
    <w:name w:val="Title Char"/>
    <w:basedOn w:val="DefaultParagraphFont"/>
    <w:link w:val="Title"/>
    <w:uiPriority w:val="10"/>
    <w:rsid w:val="005044F2"/>
    <w:rPr>
      <w:rFonts w:cstheme="majorBidi" w:eastAsiaTheme="majorEastAsia"/>
      <w:b/>
      <w:spacing w:val="-10"/>
      <w:kern w:val="28"/>
      <w:sz w:val="48"/>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47" Target="https://OlivierRaven.github.io/4.Mesocosm_study/index.qmd.html" TargetMode="External" /><Relationship Type="http://schemas.openxmlformats.org/officeDocument/2006/relationships/hyperlink" Id="rId72" Target="https://cran.r-project.org/web/packages/brms/index.html" TargetMode="External" /><Relationship Type="http://schemas.openxmlformats.org/officeDocument/2006/relationships/hyperlink" Id="rId89"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102" Target="https://doi.org/10.1007/s10750-007-9108-z" TargetMode="External" /><Relationship Type="http://schemas.openxmlformats.org/officeDocument/2006/relationships/hyperlink" Id="rId87" Target="https://doi.org/10.1007/s10750-024-05589-0" TargetMode="External" /><Relationship Type="http://schemas.openxmlformats.org/officeDocument/2006/relationships/hyperlink" Id="rId93" Target="https://doi.org/10.1016/j.aquaculture.2005.05.032" TargetMode="External" /><Relationship Type="http://schemas.openxmlformats.org/officeDocument/2006/relationships/hyperlink" Id="rId120" Target="https://doi.org/10.1016/j.biocon.2005.12.019" TargetMode="External" /><Relationship Type="http://schemas.openxmlformats.org/officeDocument/2006/relationships/hyperlink" Id="rId99" Target="https://doi.org/10.1016/j.ecoleng.2020.105994" TargetMode="External" /><Relationship Type="http://schemas.openxmlformats.org/officeDocument/2006/relationships/hyperlink" Id="rId70" Target="https://doi.org/10.1016/j.tree.2008.10.008" TargetMode="External" /><Relationship Type="http://schemas.openxmlformats.org/officeDocument/2006/relationships/hyperlink" Id="rId85" Target="https://doi.org/10.1016/s0044-8486(99)00114-3" TargetMode="External" /><Relationship Type="http://schemas.openxmlformats.org/officeDocument/2006/relationships/hyperlink" Id="rId95" Target="https://doi.org/10.1016/s0165-7836(97)00046-5" TargetMode="External" /><Relationship Type="http://schemas.openxmlformats.org/officeDocument/2006/relationships/hyperlink" Id="rId140" Target="https://doi.org/10.1023/A:1021094309738" TargetMode="External" /><Relationship Type="http://schemas.openxmlformats.org/officeDocument/2006/relationships/hyperlink" Id="rId122" Target="https://doi.org/10.1046/j.1365-2427.2001.00702.x" TargetMode="External" /><Relationship Type="http://schemas.openxmlformats.org/officeDocument/2006/relationships/hyperlink" Id="rId108" Target="https://doi.org/10.1071/mf14148" TargetMode="External" /><Relationship Type="http://schemas.openxmlformats.org/officeDocument/2006/relationships/hyperlink" Id="rId144" Target="https://doi.org/10.1080/00288330.2000.9516957" TargetMode="External" /><Relationship Type="http://schemas.openxmlformats.org/officeDocument/2006/relationships/hyperlink" Id="rId138" Target="https://doi.org/10.1080/00288330.2011.559661" TargetMode="External" /><Relationship Type="http://schemas.openxmlformats.org/officeDocument/2006/relationships/hyperlink" Id="rId74" Target="https://doi.org/10.1080/00288330.2018.1539404" TargetMode="External" /><Relationship Type="http://schemas.openxmlformats.org/officeDocument/2006/relationships/hyperlink" Id="rId124" Target="https://doi.org/10.1080/00288330909510034" TargetMode="External" /><Relationship Type="http://schemas.openxmlformats.org/officeDocument/2006/relationships/hyperlink" Id="rId106" Target="https://doi.org/10.1080/00288330909510036" TargetMode="External" /><Relationship Type="http://schemas.openxmlformats.org/officeDocument/2006/relationships/hyperlink" Id="rId83" Target="https://doi.org/10.1080/10236240500376477" TargetMode="External" /><Relationship Type="http://schemas.openxmlformats.org/officeDocument/2006/relationships/hyperlink" Id="rId116" Target="https://doi.org/10.1080/10641269509388566" TargetMode="External" /><Relationship Type="http://schemas.openxmlformats.org/officeDocument/2006/relationships/hyperlink" Id="rId134" Target="https://doi.org/10.1098/rstb.2014.0060" TargetMode="External" /><Relationship Type="http://schemas.openxmlformats.org/officeDocument/2006/relationships/hyperlink" Id="rId146" Target="https://doi.org/10.1111/cobi.12915" TargetMode="External" /><Relationship Type="http://schemas.openxmlformats.org/officeDocument/2006/relationships/hyperlink" Id="rId118" Target="https://doi.org/10.1111/j.1365-2427.2008.02089.x" TargetMode="External" /><Relationship Type="http://schemas.openxmlformats.org/officeDocument/2006/relationships/hyperlink" Id="rId77" Target="https://doi.org/10.1139/facets-2022-0210" TargetMode="External" /><Relationship Type="http://schemas.openxmlformats.org/officeDocument/2006/relationships/hyperlink" Id="rId126" Target="https://doi.org/10.1163/000579509x12512685881053" TargetMode="External" /><Relationship Type="http://schemas.openxmlformats.org/officeDocument/2006/relationships/hyperlink" Id="rId113" Target="https://doi.org/10.1163/15685403-00003724" TargetMode="External" /><Relationship Type="http://schemas.openxmlformats.org/officeDocument/2006/relationships/hyperlink" Id="rId91" Target="https://doi.org/10.1214/ss/1177011136" TargetMode="External" /><Relationship Type="http://schemas.openxmlformats.org/officeDocument/2006/relationships/hyperlink" Id="rId142"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7" Target="https://doi.org/10.2307/1942661" TargetMode="External" /><Relationship Type="http://schemas.openxmlformats.org/officeDocument/2006/relationships/hyperlink" Id="rId81" Target="https://doi.org/10.32614/cran.package.xnomial" TargetMode="External" /><Relationship Type="http://schemas.openxmlformats.org/officeDocument/2006/relationships/hyperlink" Id="rId79" Target="https://doi.org/10.3389/fmars.2023.1213790" TargetMode="External" /><Relationship Type="http://schemas.openxmlformats.org/officeDocument/2006/relationships/hyperlink" Id="rId148" Target="https://doi.org/10.3390/ani14081147" TargetMode="External" /><Relationship Type="http://schemas.openxmlformats.org/officeDocument/2006/relationships/hyperlink" Id="rId110" Target="https://doi.org/10.5194/we-25-221-2025" TargetMode="External" /><Relationship Type="http://schemas.openxmlformats.org/officeDocument/2006/relationships/hyperlink" Id="rId130" Target="https://olivierraven.github.io/Koura_shoreline_habitats/" TargetMode="External" /><Relationship Type="http://schemas.openxmlformats.org/officeDocument/2006/relationships/hyperlink" Id="rId132"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7" Target="https://OlivierRaven.github.io/4.Mesocosm_study/index.qmd.html" TargetMode="External" /><Relationship Type="http://schemas.openxmlformats.org/officeDocument/2006/relationships/hyperlink" Id="rId72" Target="https://cran.r-project.org/web/packages/brms/index.html" TargetMode="External" /><Relationship Type="http://schemas.openxmlformats.org/officeDocument/2006/relationships/hyperlink" Id="rId89"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102" Target="https://doi.org/10.1007/s10750-007-9108-z" TargetMode="External" /><Relationship Type="http://schemas.openxmlformats.org/officeDocument/2006/relationships/hyperlink" Id="rId87" Target="https://doi.org/10.1007/s10750-024-05589-0" TargetMode="External" /><Relationship Type="http://schemas.openxmlformats.org/officeDocument/2006/relationships/hyperlink" Id="rId93" Target="https://doi.org/10.1016/j.aquaculture.2005.05.032" TargetMode="External" /><Relationship Type="http://schemas.openxmlformats.org/officeDocument/2006/relationships/hyperlink" Id="rId120" Target="https://doi.org/10.1016/j.biocon.2005.12.019" TargetMode="External" /><Relationship Type="http://schemas.openxmlformats.org/officeDocument/2006/relationships/hyperlink" Id="rId99" Target="https://doi.org/10.1016/j.ecoleng.2020.105994" TargetMode="External" /><Relationship Type="http://schemas.openxmlformats.org/officeDocument/2006/relationships/hyperlink" Id="rId70" Target="https://doi.org/10.1016/j.tree.2008.10.008" TargetMode="External" /><Relationship Type="http://schemas.openxmlformats.org/officeDocument/2006/relationships/hyperlink" Id="rId85" Target="https://doi.org/10.1016/s0044-8486(99)00114-3" TargetMode="External" /><Relationship Type="http://schemas.openxmlformats.org/officeDocument/2006/relationships/hyperlink" Id="rId95" Target="https://doi.org/10.1016/s0165-7836(97)00046-5" TargetMode="External" /><Relationship Type="http://schemas.openxmlformats.org/officeDocument/2006/relationships/hyperlink" Id="rId140" Target="https://doi.org/10.1023/A:1021094309738" TargetMode="External" /><Relationship Type="http://schemas.openxmlformats.org/officeDocument/2006/relationships/hyperlink" Id="rId122" Target="https://doi.org/10.1046/j.1365-2427.2001.00702.x" TargetMode="External" /><Relationship Type="http://schemas.openxmlformats.org/officeDocument/2006/relationships/hyperlink" Id="rId108" Target="https://doi.org/10.1071/mf14148" TargetMode="External" /><Relationship Type="http://schemas.openxmlformats.org/officeDocument/2006/relationships/hyperlink" Id="rId144" Target="https://doi.org/10.1080/00288330.2000.9516957" TargetMode="External" /><Relationship Type="http://schemas.openxmlformats.org/officeDocument/2006/relationships/hyperlink" Id="rId138" Target="https://doi.org/10.1080/00288330.2011.559661" TargetMode="External" /><Relationship Type="http://schemas.openxmlformats.org/officeDocument/2006/relationships/hyperlink" Id="rId74" Target="https://doi.org/10.1080/00288330.2018.1539404" TargetMode="External" /><Relationship Type="http://schemas.openxmlformats.org/officeDocument/2006/relationships/hyperlink" Id="rId124" Target="https://doi.org/10.1080/00288330909510034" TargetMode="External" /><Relationship Type="http://schemas.openxmlformats.org/officeDocument/2006/relationships/hyperlink" Id="rId106" Target="https://doi.org/10.1080/00288330909510036" TargetMode="External" /><Relationship Type="http://schemas.openxmlformats.org/officeDocument/2006/relationships/hyperlink" Id="rId83" Target="https://doi.org/10.1080/10236240500376477" TargetMode="External" /><Relationship Type="http://schemas.openxmlformats.org/officeDocument/2006/relationships/hyperlink" Id="rId116" Target="https://doi.org/10.1080/10641269509388566" TargetMode="External" /><Relationship Type="http://schemas.openxmlformats.org/officeDocument/2006/relationships/hyperlink" Id="rId134" Target="https://doi.org/10.1098/rstb.2014.0060" TargetMode="External" /><Relationship Type="http://schemas.openxmlformats.org/officeDocument/2006/relationships/hyperlink" Id="rId146" Target="https://doi.org/10.1111/cobi.12915" TargetMode="External" /><Relationship Type="http://schemas.openxmlformats.org/officeDocument/2006/relationships/hyperlink" Id="rId118" Target="https://doi.org/10.1111/j.1365-2427.2008.02089.x" TargetMode="External" /><Relationship Type="http://schemas.openxmlformats.org/officeDocument/2006/relationships/hyperlink" Id="rId77" Target="https://doi.org/10.1139/facets-2022-0210" TargetMode="External" /><Relationship Type="http://schemas.openxmlformats.org/officeDocument/2006/relationships/hyperlink" Id="rId126" Target="https://doi.org/10.1163/000579509x12512685881053" TargetMode="External" /><Relationship Type="http://schemas.openxmlformats.org/officeDocument/2006/relationships/hyperlink" Id="rId113" Target="https://doi.org/10.1163/15685403-00003724" TargetMode="External" /><Relationship Type="http://schemas.openxmlformats.org/officeDocument/2006/relationships/hyperlink" Id="rId91" Target="https://doi.org/10.1214/ss/1177011136" TargetMode="External" /><Relationship Type="http://schemas.openxmlformats.org/officeDocument/2006/relationships/hyperlink" Id="rId142"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68" Target="https://doi.org/10.18637/jss.v067.i01" TargetMode="External" /><Relationship Type="http://schemas.openxmlformats.org/officeDocument/2006/relationships/hyperlink" Id="rId97" Target="https://doi.org/10.2307/1942661" TargetMode="External" /><Relationship Type="http://schemas.openxmlformats.org/officeDocument/2006/relationships/hyperlink" Id="rId81" Target="https://doi.org/10.32614/cran.package.xnomial" TargetMode="External" /><Relationship Type="http://schemas.openxmlformats.org/officeDocument/2006/relationships/hyperlink" Id="rId79" Target="https://doi.org/10.3389/fmars.2023.1213790" TargetMode="External" /><Relationship Type="http://schemas.openxmlformats.org/officeDocument/2006/relationships/hyperlink" Id="rId148" Target="https://doi.org/10.3390/ani14081147" TargetMode="External" /><Relationship Type="http://schemas.openxmlformats.org/officeDocument/2006/relationships/hyperlink" Id="rId110" Target="https://doi.org/10.5194/we-25-221-2025" TargetMode="External" /><Relationship Type="http://schemas.openxmlformats.org/officeDocument/2006/relationships/hyperlink" Id="rId130" Target="https://olivierraven.github.io/Koura_shoreline_habitats/" TargetMode="External" /><Relationship Type="http://schemas.openxmlformats.org/officeDocument/2006/relationships/hyperlink" Id="rId132"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Olivier V. Raven; Robin Holmes; Ian A. K. Kusabs; Francis J. Burdon; Deniz Özkundakci</dc:creator>
  <cp:keywords>kōura, Paranephrops planifrons, refuge selection, artificial reef, Aotearoa New Zealand</cp:keywords>
  <dcterms:created xsi:type="dcterms:W3CDTF">2026-05-29T04:19:34Z</dcterms:created>
  <dcterms:modified xsi:type="dcterms:W3CDTF">2026-05-29T04:19:34Z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2026-05-29</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