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44.png" ContentType="image/png"/>
  <Override PartName="/word/media/rId50.png" ContentType="image/png"/>
  <Override PartName="/word/media/rId55.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importance of structure: mesocosm evidence for shelter design in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keystone species that rank among the most threatened invertebrate groups globally. While habitat loss and predation by non-native predators feature prominently as drivers of crayfish population declines, the optimal design of habitat enhancement structures for their restoration remains largely unknown. To better understand freshwater crayfish habitat preferences, our study focused on the endemic kōura (</w:t>
      </w:r>
      <w:r>
        <w:rPr>
          <w:i/>
          <w:iCs/>
        </w:rPr>
        <w:t xml:space="preserve">Paranephrops planifrons</w:t>
      </w:r>
      <w:r>
        <w:t xml:space="preserve">) found in Aotearoa New Zealand. We used four mesocosm experiments to examine how shelter structure, material composition, individual body size, and group dynamics influence refuge selection in kōura. Individual kōura strongly preferred a wooden log with enclosed drilled holes, but when housed in mixed-size groups, their preference shifted to flat and piled stone configurations that provided more complex refugia for individuals of different sizes. Flat stone structures were preferred over split wood pieces of similar dimensions, and this was strongest for large individuals. When structural dimensions were held constant, no significant preference was detected between concrete and wooden structures, indicating that material composition alone does not drive refuge selection. The findings of these mesocosm experiments suggest that stone pile configurations warrant field evaluations as habitat enhancement structures for kōura restoration. The stone piles create structural complexity that can provide habitat for different size classes and thus may add critical refuge from non-native predators for kōura populations.</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Behaviour</w:t>
      </w:r>
      <w:r>
        <w:t xml:space="preserve">; </w:t>
      </w:r>
      <w:r>
        <w:t xml:space="preserve">Habitat preference</w:t>
      </w:r>
      <w:r>
        <w:t xml:space="preserve">; </w:t>
      </w:r>
      <w:r>
        <w:t xml:space="preserve">Aotearoa New Zealand</w:t>
      </w:r>
    </w:p>
    <w:bookmarkStart w:id="16" w:name="introduction"/>
    <w:p>
      <w:pPr>
        <w:pStyle w:val="Heading1"/>
      </w:pPr>
      <w:r>
        <w:t xml:space="preserve">Introduction</w:t>
      </w:r>
    </w:p>
    <w:p>
      <w:pPr>
        <w:pStyle w:val="FirstParagraph"/>
      </w:pPr>
      <w:r>
        <w:t xml:space="preserve">Freshwater biodiversity is declining faster than in any other ecosystem globally, driven by habitat loss, pollution, and invasive species</w:t>
      </w:r>
      <w:r>
        <w:t xml:space="preserve"> </w:t>
      </w:r>
      <w:r>
        <w:t xml:space="preserve">(Dudgeon</w:t>
      </w:r>
      <w:r>
        <w:t xml:space="preserve"> </w:t>
      </w:r>
      <w:r>
        <w:rPr>
          <w:i/>
          <w:iCs/>
        </w:rPr>
        <w:t xml:space="preserve">et al.</w:t>
      </w:r>
      <w:r>
        <w:t xml:space="preserve">, 2006)</w:t>
      </w:r>
      <w:r>
        <w:t xml:space="preserve">. Crayfish are among the most threatened freshwater invertebrates, with 32 % of species assessed as threatened with extinction due to these same pressures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While this diversity of potential refugia is well documented, preferences among different structure types remain poorly understood, even though knowledge of habitat preferences is fundamental to designing effective enhancement structures for restoration.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yet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tend to select stones more than 3 times longer and 1.25 times wider than their carapace length, with larger males consistently selecting larger stones</w:t>
      </w:r>
      <w:r>
        <w:t xml:space="preserve"> </w:t>
      </w:r>
      <w:r>
        <w:t xml:space="preserve">(Streissl and Hödl, 2002)</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take over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Body size ratios between contestants are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can influence their value as refugia. In a study comparing shelter configurations on reef fish assemblages, the availability and size of enclosed spaces mattered more than total structure volume</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However,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is poorly understood.</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 a</w:t>
      </w:r>
      <w:r>
        <w:t xml:space="preserve"> </w:t>
      </w:r>
      <w:r>
        <w:rPr>
          <w:i/>
          <w:iCs/>
        </w:rPr>
        <w:t xml:space="preserve">taonga</w:t>
      </w:r>
      <w:r>
        <w:t xml:space="preserve"> </w:t>
      </w:r>
      <w:r>
        <w:t xml:space="preserve">(culturally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(Usio and Townsend, 2000; Jowett</w:t>
      </w:r>
      <w:r>
        <w:t xml:space="preserve"> </w:t>
      </w:r>
      <w:r>
        <w:rPr>
          <w:i/>
          <w:iCs/>
        </w:rPr>
        <w:t xml:space="preserve">et al.</w:t>
      </w:r>
      <w:r>
        <w:t xml:space="preserve">, 2008; Parkyn</w:t>
      </w:r>
      <w:r>
        <w:t xml:space="preserve"> </w:t>
      </w:r>
      <w:r>
        <w:rPr>
          <w:i/>
          <w:iCs/>
        </w:rPr>
        <w:t xml:space="preserve">et al.</w:t>
      </w:r>
      <w:r>
        <w:t xml:space="preserve">, 2009; Raven</w:t>
      </w:r>
      <w:r>
        <w:t xml:space="preserve"> </w:t>
      </w:r>
      <w:r>
        <w:rPr>
          <w:i/>
          <w:iCs/>
        </w:rPr>
        <w:t xml:space="preserve">et al.</w:t>
      </w:r>
      <w:r>
        <w:t xml:space="preserve">, (a) in review)</w:t>
      </w:r>
      <w:r>
        <w:t xml:space="preserve">. Kōura have been shown to significantly increase refuge use in the presence of predators</w:t>
      </w:r>
      <w:r>
        <w:t xml:space="preserve"> </w:t>
      </w:r>
      <w:r>
        <w:t xml:space="preserve">(Shave</w:t>
      </w:r>
      <w:r>
        <w:t xml:space="preserve"> </w:t>
      </w:r>
      <w:r>
        <w:rPr>
          <w:i/>
          <w:iCs/>
        </w:rPr>
        <w:t xml:space="preserve">et al.</w:t>
      </w:r>
      <w:r>
        <w:t xml:space="preserve">, 1994; Raven</w:t>
      </w:r>
      <w:r>
        <w:t xml:space="preserve"> </w:t>
      </w:r>
      <w:r>
        <w:rPr>
          <w:i/>
          <w:iCs/>
        </w:rPr>
        <w:t xml:space="preserve">et al.</w:t>
      </w:r>
      <w:r>
        <w:t xml:space="preserve">, (b) in review)</w:t>
      </w:r>
      <w:r>
        <w:t xml:space="preserve">. Habitat restoration by increasing shelter availability represents a promising management tool for kōura recovery, and the use of natural materials aligns with ecological and cultural values.</w:t>
      </w:r>
    </w:p>
    <w:p>
      <w:pPr>
        <w:pStyle w:val="BodyText"/>
      </w:pPr>
      <w:r>
        <w:t xml:space="preserve">In this study, four mesocosm experiments were conducted to identify kōura habitat preferences. We assessed how different structures varying in material and configuration influence refuge selection, accounting for individual behaviour, body size, and group interactions.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enhance kōura abundance and support population recovery.</w:t>
      </w:r>
    </w:p>
    <w:bookmarkEnd w:id="16"/>
    <w:bookmarkStart w:id="23" w:name="materials-and-methods"/>
    <w:p>
      <w:pPr>
        <w:pStyle w:val="Heading1"/>
      </w:pPr>
      <w:r>
        <w:t xml:space="preserve">Materials and Methods</w:t>
      </w:r>
    </w:p>
    <w:bookmarkStart w:id="17" w:name="animal-collection-and-tank-setup"/>
    <w:p>
      <w:pPr>
        <w:pStyle w:val="Heading2"/>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each filled to 0.4 m with dechlorinated tap water conditioned for three months, paving sand as substrate, shelters, and were covered with a single layer of shade cloth. Each holding tank housed 10–12 individuals. Kōura were fed every second day with commercial carnivore pellets (Hikari Tropical, Kyorin Food Industries Ltd., Japan; animal protein 47 %). Water temperature and dissolved oxygen remained stable throughout the experimental period (temperature: 12 ± 1.2 °C; dissolved oxygen: 99.9 ± 1.7 %).</w:t>
      </w:r>
    </w:p>
    <w:p>
      <w:pPr>
        <w:pStyle w:val="BodyText"/>
      </w:pPr>
      <w:r>
        <w:t xml:space="preserve">Experiments were conducted in six larger outdoor concrete tanks (1425 L; Ø 1.85 m) with the same substrate and water conditions, covered with a double layer of shade cloth to prevent escape and minimise solar heating. Fresh dechlorinated tap water and an air stone were added between rounds. To limit thermal stress, experiments were conducted during the Australasian spring (September to October). Because kōura are a</w:t>
      </w:r>
      <w:r>
        <w:t xml:space="preserve"> </w:t>
      </w:r>
      <w:r>
        <w:rPr>
          <w:i/>
          <w:iCs/>
        </w:rPr>
        <w:t xml:space="preserve">taonga</w:t>
      </w:r>
      <w:r>
        <w:t xml:space="preserve"> </w:t>
      </w:r>
      <w:r>
        <w:t xml:space="preserve">(treasured) species, permission to conduct the experiments was obtained from Te Arawa Lakes Trust and Te Komiti Whakahaere. All experimental procedures were conducted under University of Waikato animal ethics committee approval (protocol number: 1207; see Ethical Approval section).</w:t>
      </w:r>
    </w:p>
    <w:bookmarkEnd w:id="17"/>
    <w:bookmarkStart w:id="18" w:name="experiment-1-individual-preference"/>
    <w:p>
      <w:pPr>
        <w:pStyle w:val="Heading2"/>
      </w:pPr>
      <w:r>
        <w:t xml:space="preserve">Experiment 1: Individual preference</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individually across the quadrant with sufficient spacing between stones that no crevices formed between them),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If a kōura was not using a structure, TankWall was noted as its location which represents the wall of the tank or when the kōura was in the open. TankWall functioned as an indicator of structure rejection rather than a preference. Six experimental tanks were used, each housing a single medium-sized kōura. Across five experimental replicates, a total of 30 kōura were tested, consisting of 15 females with mean OCL and weight ± SD: 26.9 ± 2 mm, range: 23.2–29.8 mm, 12.5 ± 3.3 g and 15 males: 26.1 ± 2.2 mm, range: 22.6–30 mm, 11.9 ± 3.1 g. Each replicate lasted 22 hours, beginning at noon (12:00) and ending at 10:00 the following morning.</w:t>
      </w:r>
    </w:p>
    <w:p>
      <w:pPr>
        <w:pStyle w:val="BodyText"/>
      </w:pPr>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w:t>
      </w:r>
      <w:r>
        <w:t xml:space="preserve"> </w:t>
      </w:r>
      <w:r>
        <w:t xml:space="preserve">(MacNeil</w:t>
      </w:r>
      <w:r>
        <w:t xml:space="preserve"> </w:t>
      </w:r>
      <w:r>
        <w:rPr>
          <w:i/>
          <w:iCs/>
        </w:rPr>
        <w:t xml:space="preserve">et al.</w:t>
      </w:r>
      <w:r>
        <w:t xml:space="preserve">, 2025)</w:t>
      </w:r>
      <w:r>
        <w:t xml:space="preserve">. The time taken for the kōura to locate its initial refuge location was recorded. On the following day, the final location of the kōura was noted after which it was removed from the tank. Tanks were reset and structure placements re-randomised prior to the next trial. Each individual kōura was used once in a single trial and not reused across temporal replicate blocks. To confirm nocturnal activity, three digital cameras (GoPro Hero 3) were placed in one tank and recorded for five hours at the end of each of the five days.</w:t>
      </w:r>
    </w:p>
    <w:bookmarkEnd w:id="18"/>
    <w:bookmarkStart w:id="19" w:name="experiment-2-group-dynamics"/>
    <w:p>
      <w:pPr>
        <w:pStyle w:val="Heading2"/>
      </w:pPr>
      <w:r>
        <w:t xml:space="preserve">Experiment 2: Group dynamics</w:t>
      </w:r>
    </w:p>
    <w:p>
      <w:pPr>
        <w:pStyle w:val="FirstParagraph"/>
      </w:pPr>
      <w:r>
        <w:t xml:space="preserve">Building on Experiment 1, this experiment examined how group dynamics and body size influenced structure preference when kōura were housed together. The same six experimental tanks were used and configured with the identical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as male-only groups simplified competitive dynamics and size class assignment given limited female availability. Groups were comprised of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 blocks, resulting in 30 group-trials in total (six groups × five blocks). Structure placements and tank assignments were re-randomised between blocks, such that each group was housed in a different tank in each successive round. The same six groups were reused across all five blocks, with individuals staying with their assigned group between replicates. No mortality occurred during the experiment.</w:t>
      </w:r>
    </w:p>
    <w:bookmarkEnd w:id="19"/>
    <w:bookmarkStart w:id="20" w:name="experiment-3-wood-vs-stone"/>
    <w:p>
      <w:pPr>
        <w:pStyle w:val="Heading2"/>
      </w:pPr>
      <w:r>
        <w:t xml:space="preserve">Experiment 3: Wood vs Stone</w:t>
      </w:r>
    </w:p>
    <w:p>
      <w:pPr>
        <w:pStyle w:val="FirstParagraph"/>
      </w:pPr>
      <w:r>
        <w:t xml:space="preserve">Using the same male kōura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across three experimental replicate blocks, resulting in 18 group-trials in total (six groups × three blocks). Structure placements and tank assignments were re-randomised between blocks, such that each group was housed in a different tank in each successive round. One small individual died in the first block and was replaced with a size-matched individual to maintain group composition. One individual could not be located at the end of the final block and was assumed to have escaped the tank.</w:t>
      </w:r>
    </w:p>
    <w:bookmarkEnd w:id="20"/>
    <w:bookmarkStart w:id="21" w:name="experiment-4-material-comparison"/>
    <w:p>
      <w:pPr>
        <w:pStyle w:val="Heading2"/>
      </w:pPr>
      <w:r>
        <w:t xml:space="preserve">Experiment 4: Material comparison</w:t>
      </w:r>
    </w:p>
    <w:p>
      <w:pPr>
        <w:pStyle w:val="FirstParagraph"/>
      </w:pPr>
      <w:r>
        <w:t xml:space="preserve">This experiment tested whether kōura showed a preference between perforated concrete bricks and perforated wooden blocks to further identify the effect of material on structure preference. Two perforated building bricks (ConcreteBrick) of 80 × 80 × 225 mm with five holes (Ø 30 mm) were tested against two wooden blocks (WoodBlock) with drilled holes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WoodBlock. ConcreteBrick did not require additional weight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structure was placed, with similar structure types positioned opposite to one another. Each group of kōura was released at the centre of the tank and the following day, the final location of each kōura was documented. This experiment was repeated across four temporal blocks using the same four groups of ten kōura, resulting in 16 group-trials in total (four groups × four blocks). Structure placements and tank assignments were re-randomised between blocks, such that each group was housed in a different tank in each successive round.</w:t>
      </w:r>
    </w:p>
    <w:bookmarkEnd w:id="21"/>
    <w:bookmarkStart w:id="22" w:name="data-analysis"/>
    <w:p>
      <w:pPr>
        <w:pStyle w:val="Heading2"/>
      </w:pPr>
      <w:r>
        <w:t xml:space="preserve">Data analysis</w:t>
      </w:r>
    </w:p>
    <w:p>
      <w:pPr>
        <w:pStyle w:val="FirstParagraph"/>
      </w:pPr>
      <w:r>
        <w:t xml:space="preserve">Experiment 1: To test the difference between the four structure types selected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Bayesian categorical mixed-effects models were used to test whether body size or sex affected structure preference across all experiments, fitted using the brms package</w:t>
      </w:r>
      <w:r>
        <w:t xml:space="preserve"> </w:t>
      </w:r>
      <w:r>
        <w:t xml:space="preserve">(Bürkner</w:t>
      </w:r>
      <w:r>
        <w:t xml:space="preserve"> </w:t>
      </w:r>
      <w:r>
        <w:rPr>
          <w:i/>
          <w:iCs/>
        </w:rPr>
        <w:t xml:space="preserve">et al.</w:t>
      </w:r>
      <w:r>
        <w:t xml:space="preserve">, 2025)</w:t>
      </w:r>
      <w:r>
        <w:t xml:space="preserve">. For Experiments 1 and 2, where kōura chose among four structure types, a categorical family was used. For Experiments 3 and 4, where only two structure types were directly compared, a Bernoulli family was used.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structure type use differed between sexes, the Bayesian categorical mixed-effects model was fitted with structure type as the outcome, sex as a fixed effect and tank and experimental round as random intercepts. A permutation-based symmetry test was applied to assess whether structure type transitions between initial location and next-day location were directional rather than random.</w:t>
      </w:r>
    </w:p>
    <w:p>
      <w:pPr>
        <w:pStyle w:val="BodyText"/>
      </w:pPr>
      <w:r>
        <w:t xml:space="preserve">Experiment 2: 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To test whether size classes affected structure preference while accounting for repeated measurement of individuals and groups, the Bayesian categorical mixed-effects model was fitted with structure type as the outcome, size class as a fixed effect, and group identity, individual identity nested within group, and tank and experimental round as random intercepts. The Stuart-Maxwell test was used to test for statistical differences between initial and next-day location.</w:t>
      </w:r>
    </w:p>
    <w:p>
      <w:pPr>
        <w:pStyle w:val="BodyText"/>
      </w:pPr>
      <w:r>
        <w:t xml:space="preserve">Experiment 3: 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the Bayesian Bernoulli mixed-effects model was fitted with size class as a fixed effect, following the same random effects structure as described for Experiment 2. The Stuart-Maxwell test was used to test for statistical differences between initial and next-day location.</w:t>
      </w:r>
    </w:p>
    <w:p>
      <w:pPr>
        <w:pStyle w:val="BodyText"/>
      </w:pPr>
      <w:r>
        <w:t xml:space="preserve">Experiment 4: To test whether kōura showed a preference between ConcreteBrick and WoodBlock, the Wilcoxon signed-rank test was applied to group-round proportions for each structure type, testing against a null expectation of 0.5 and p-values were Bonferroni adjusted. A paired Wilcoxon signed-rank test was used to directly compare group-round proportions between ConcreteBrick and WoodBlock. As size class was unbalanced, the effect of sex on structure preference was tested using the Bayesian Bernoulli mixed-effects model with sex as a fixed effect, following the same random effects structure as described for Experiment 2. Finally, as only next-day locations were recorded in this experiment, no directional shift analysis was performed.</w:t>
      </w:r>
    </w:p>
    <w:bookmarkEnd w:id="22"/>
    <w:bookmarkEnd w:id="23"/>
    <w:bookmarkStart w:id="28" w:name="results"/>
    <w:p>
      <w:pPr>
        <w:pStyle w:val="Heading1"/>
      </w:pPr>
      <w:r>
        <w:t xml:space="preserve">Results</w:t>
      </w:r>
    </w:p>
    <w:bookmarkStart w:id="24" w:name="experiment-1-individual-preference-1"/>
    <w:p>
      <w:pPr>
        <w:pStyle w:val="Heading2"/>
      </w:pPr>
      <w:r>
        <w:t xml:space="preserve">Experiment 1: Individual preference</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&lt; 0.001, 0.011, 0.004, respectively; overall multinomial test:</w:t>
      </w:r>
      <w:r>
        <w:t xml:space="preserve"> </w:t>
      </w:r>
      <w:r>
        <w:rPr>
          <w:i/>
          <w:iCs/>
        </w:rPr>
        <w:t xml:space="preserve">p</w:t>
      </w:r>
      <w:r>
        <w:t xml:space="preserve"> </w:t>
      </w:r>
      <w:r>
        <w:t xml:space="preserve">&lt; 0.001;</w:t>
      </w:r>
      <w:r>
        <w:t xml:space="preserve"> </w:t>
      </w:r>
      <w:hyperlink w:anchor="fig-exp1-ms">
        <w:r>
          <w:rPr>
            <w:rStyle w:val="Hyperlink"/>
          </w:rPr>
          <w:t xml:space="preserve">Figure 2</w:t>
        </w:r>
      </w:hyperlink>
      <w:r>
        <w:t xml:space="preserve">). No significant differences were found among the stone structure types. Overall, WoodLog was selected by 67 % of kōura at refuge (males: 80 %; females: 53 %), and no kōura were found at TankWall. Sex had no credible effect on structure preference (β = 3.32, 95% CI: -1.09 to 9.3; posterior probability = 0.92) with credible intervals spanning zero for all structure types. The symmetry test indicated that structure type use shifted between initial and next-day location (</w:t>
      </w:r>
      <w:r>
        <w:rPr>
          <w:i/>
          <w:iCs/>
        </w:rPr>
        <w:t xml:space="preserve">p</w:t>
      </w:r>
      <w:r>
        <w:t xml:space="preserve"> </w:t>
      </w:r>
      <w:r>
        <w:t xml:space="preserve">&lt; 0.001), suggesting kōura actively relocated to preferred structure types overnight rather than remaining at their initial location. The video footage showed kōura emerging, walking and climbing on the structures after sunset.</w:t>
      </w:r>
    </w:p>
    <w:bookmarkEnd w:id="24"/>
    <w:bookmarkStart w:id="25" w:name="experiment-2-group-dynamics-1"/>
    <w:p>
      <w:pPr>
        <w:pStyle w:val="Heading2"/>
      </w:pPr>
      <w:r>
        <w:t xml:space="preserve">Experiment 2: Group dynamics</w:t>
      </w:r>
    </w:p>
    <w:p>
      <w:pPr>
        <w:pStyle w:val="FirstParagraph"/>
      </w:pPr>
      <w:r>
        <w:t xml:space="preserve">When housed in mixed-size groups, kōura showed a significant overall preference for stone-based structures (</w:t>
      </w:r>
      <w:hyperlink w:anchor="fig-exp2-ms">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&lt; 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Medium-sized kōura showed a weaker preference for FlatStone over SingleStone compared to small kōura (β = -1.77, 95% CI: -3.7 to -0.14; posterior probability = 0.99), while no other size class effect was credible. Overall, FlatStone remained the most selected structure type across all size classes, but its strength of preference declined from small (posterior probability of top choice = 82 %) to medium (53 %), and with large kōura showing similar preference between FlatStone and StonePile (42 % vs 38 %). Structure type use shifted directionally between initial and next-day location (Stuart-Maxwell test:</w:t>
      </w:r>
      <w:r>
        <w:t xml:space="preserve"> </w:t>
      </w:r>
      <w:r>
        <w:rPr>
          <w:i/>
          <w:iCs/>
        </w:rPr>
        <w:t xml:space="preserve">p</w:t>
      </w:r>
      <w:r>
        <w:t xml:space="preserve"> </w:t>
      </w:r>
      <w:r>
        <w:t xml:space="preserve">= 0.001), indicating that kōura actively relocated to preferred structure types overnight.</w:t>
      </w:r>
    </w:p>
    <w:bookmarkEnd w:id="25"/>
    <w:bookmarkStart w:id="26" w:name="experiment-3-wood-vs-stone-1"/>
    <w:p>
      <w:pPr>
        <w:pStyle w:val="Heading2"/>
      </w:pPr>
      <w:r>
        <w:t xml:space="preserve">Experiment 3: Wood vs Stone</w:t>
      </w:r>
    </w:p>
    <w:p>
      <w:pPr>
        <w:pStyle w:val="FirstParagraph"/>
      </w:pPr>
      <w:r>
        <w:t xml:space="preserve">Kōura consistently selected FlatStone over WoodSplit, with the preference growing with body size (</w:t>
      </w:r>
      <w:hyperlink w:anchor="fig-exp3-ms">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one kōura was found at TankWall. The Bayesian model indicated that preference for FlatStone strengthened with body size, with the posterior probability of FlatStone being the top-ranked structure increasing from small (66 %) to medium (79 %), to large kōura (99 %). Large kōura showed a particularly strong and credible preference for FlatStone over WoodSplit (β = -2.55, 95% CI: -4.7 to -0.9; posterior probability = &gt; 0.99), while medium kōura did not differ from small kōura. Structure type use shifted directionally between initial and next-day location (Stuart-Maxwell test:</w:t>
      </w:r>
      <w:r>
        <w:t xml:space="preserve"> </w:t>
      </w:r>
      <w:r>
        <w:rPr>
          <w:i/>
          <w:iCs/>
        </w:rPr>
        <w:t xml:space="preserve">p</w:t>
      </w:r>
      <w:r>
        <w:t xml:space="preserve"> </w:t>
      </w:r>
      <w:r>
        <w:t xml:space="preserve">= 0.003), with kōura relocating toward FlatStone overnight.</w:t>
      </w:r>
    </w:p>
    <w:bookmarkEnd w:id="26"/>
    <w:bookmarkStart w:id="27" w:name="experiment-4-material-comparison-1"/>
    <w:p>
      <w:pPr>
        <w:pStyle w:val="Heading2"/>
      </w:pPr>
      <w:r>
        <w:t xml:space="preserve">Experiment 4: Material comparison</w:t>
      </w:r>
    </w:p>
    <w:p>
      <w:pPr>
        <w:pStyle w:val="FirstParagraph"/>
      </w:pPr>
      <w:r>
        <w:t xml:space="preserve">Kōura used both structure types, showing no significant preference between ConcreteBrick and WoodBlock (</w:t>
      </w:r>
      <w:r>
        <w:rPr>
          <w:i/>
          <w:iCs/>
        </w:rPr>
        <w:t xml:space="preserve">p</w:t>
      </w:r>
      <w:r>
        <w:t xml:space="preserve"> </w:t>
      </w:r>
      <w:r>
        <w:t xml:space="preserve">= 0.137;</w:t>
      </w:r>
      <w:r>
        <w:t xml:space="preserve"> </w:t>
      </w:r>
      <w:hyperlink w:anchor="fig-exp4-ms">
        <w:r>
          <w:rPr>
            <w:rStyle w:val="Hyperlink"/>
          </w:rPr>
          <w:t xml:space="preserve">Figure 5</w:t>
        </w:r>
      </w:hyperlink>
      <w:r>
        <w:t xml:space="preserve">), with mean group proportions of 47 % and 53 % respectively. Neither structure type differed significantly from equal distribution (</w:t>
      </w:r>
      <w:r>
        <w:rPr>
          <w:i/>
          <w:iCs/>
        </w:rPr>
        <w:t xml:space="preserve">p</w:t>
      </w:r>
      <w:r>
        <w:t xml:space="preserve"> </w:t>
      </w:r>
      <w:r>
        <w:t xml:space="preserve">= 0.273). 9 % of kōura were found at TankWall, which is higher than in any previous experiment, likely reflecting the smaller total structure size in this experiment rather than active structure avoidance. Sex had no credible effect on preference between structure types (β = -0.18, 95% CI: -1.24 to 0.84; posterior probability = 0.65), indicating that both structures were equally suitable refuge for male and female kōura.</w:t>
      </w:r>
    </w:p>
    <w:bookmarkEnd w:id="27"/>
    <w:bookmarkEnd w:id="28"/>
    <w:bookmarkStart w:id="33" w:name="discussion"/>
    <w:p>
      <w:pPr>
        <w:pStyle w:val="Heading1"/>
      </w:pPr>
      <w:r>
        <w:t xml:space="preserve">Discussion</w:t>
      </w:r>
    </w:p>
    <w:bookmarkStart w:id="29" w:name="structure-matters-more-than-material"/>
    <w:p>
      <w:pPr>
        <w:pStyle w:val="Heading2"/>
      </w:pPr>
      <w:r>
        <w:t xml:space="preserve">Structure matters more than material</w:t>
      </w:r>
    </w:p>
    <w:p>
      <w:pPr>
        <w:pStyle w:val="FirstParagraph"/>
      </w:pPr>
      <w:r>
        <w:t xml:space="preserve">The consistent finding across all experiments that structural stability and cavities complexity determined preference, regardless of whether the comparison involved material type, configuration or group size, suggests that kōura, like many refuge-dependent crustaceans</w:t>
      </w:r>
      <w:r>
        <w:t xml:space="preserve"> </w:t>
      </w:r>
      <w:r>
        <w:t xml:space="preserve">(Zimmer-Faust and Spanier, 1987; Beck, 1995; Streissl and Hödl, 2002; Pirtle</w:t>
      </w:r>
      <w:r>
        <w:t xml:space="preserve"> </w:t>
      </w:r>
      <w:r>
        <w:rPr>
          <w:i/>
          <w:iCs/>
        </w:rPr>
        <w:t xml:space="preserve">et al.</w:t>
      </w:r>
      <w:r>
        <w:t xml:space="preserve">, 2012)</w:t>
      </w:r>
      <w:r>
        <w:t xml:space="preserve">, are primarily selecting for physical shelter quality rather than material familiarity. When hole dimensions were held constant between concrete and wooden perforated structures, no preference for either material was detected, demonstrating that material composition alone may not drive refuge selection when structure is equivalent. Neither structure type was conditioned prior to experiments, meaning biofilm colonisation that occurs in natural lake environments was absent. As stone and wood develop different biofilm communities</w:t>
      </w:r>
      <w:r>
        <w:t xml:space="preserve"> </w:t>
      </w:r>
      <w:r>
        <w:t xml:space="preserve">(Tank and Winterbourn, 1996)</w:t>
      </w:r>
      <w:r>
        <w:t xml:space="preserve">, material preference in field settings could change. The wooden structures required a clay brick placed on top to prevent floating, creating a difference with the concrete structures, though the absence of any preference suggests this did not meaningfully influence the result. This material-independence broke down when material affected structural properties: when flat-laid stones were compared against similarly sized split wood pieces, kōura showed a clear preference for stone. The wood splits, being less dense than stone, sank but created less structurally stable refuge places in the sandy substrate than the stones, as larger kōura were able to move them [O.V. Raven, pers. obs.].</w:t>
      </w:r>
    </w:p>
    <w:p>
      <w:pPr>
        <w:pStyle w:val="BodyText"/>
      </w:pPr>
      <w:r>
        <w:t xml:space="preserve">In group settings, structures providing the most crevice complexity were strongly preferred, with flat-laid stones accommodating the most kōura, followed by stone piles. Individual kōura showed a different preference, consistently choosing the perforated wooden log over all stone options, which is consistent with our first prediction that structurally complex and enclosed refugia would be preferred as enclosed spaces reduce predation risk</w:t>
      </w:r>
      <w:r>
        <w:t xml:space="preserve"> </w:t>
      </w:r>
      <w:r>
        <w:t xml:space="preserve">(Jurcak</w:t>
      </w:r>
      <w:r>
        <w:t xml:space="preserve"> </w:t>
      </w:r>
      <w:r>
        <w:rPr>
          <w:i/>
          <w:iCs/>
        </w:rPr>
        <w:t xml:space="preserve">et al.</w:t>
      </w:r>
      <w:r>
        <w:t xml:space="preserve">, 2016)</w:t>
      </w:r>
      <w:r>
        <w:t xml:space="preserve">. The individual drilled holes in the wooden log offered protection similar to what has been found for perforated brick and PVC tube shelters in response to the threat of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initial locations shortly after release and their location following a night within the tank, confirmed across all experiments that kōura actively relocated overnight, supporting the interpretation that next-day locations reflect genuine refuge preference rather than chance displacement.</w:t>
      </w:r>
    </w:p>
    <w:p>
      <w:pPr>
        <w:pStyle w:val="BodyText"/>
      </w:pPr>
      <w:r>
        <w:t xml:space="preserve">The shift from the perforated wooden log in individual trials to stone structures in group trials was unexpected. The wooden log contained six individual drilled holes, so capacity was not limiting for the group of six kōura. The preference shift may partly reflect size mismatch between fixed hole dimensions, and the range of body sizes present in each group, with only medium-sized individual finding the holes well-suited, while small and large individuals were better served by the range of crevices created by the stone structures</w:t>
      </w:r>
      <w:r>
        <w:t xml:space="preserve"> </w:t>
      </w:r>
      <w:r>
        <w:t xml:space="preserve">(Streissl and Hödl, 2002)</w:t>
      </w:r>
      <w:r>
        <w:t xml:space="preserve">. However, a more fundamental explanation may relate to social behaviour. The wooden log was the most selected structure in round 1 of Experiment 2 (17 out of 36 times), similar to Experiment 1, but this preference did not persist in subsequent rounds. This shift suggests that once kōura had experienced sharing the tank, they adjusted their shelter use toward structures allowing closer conspecific proximity. Gregarious shelter behaviour has been documented in juvenile burrowing crayfish</w:t>
      </w:r>
      <w:r>
        <w:t xml:space="preserve"> </w:t>
      </w:r>
      <w:r>
        <w:t xml:space="preserve">(Hazlett</w:t>
      </w:r>
      <w:r>
        <w:t xml:space="preserve"> </w:t>
      </w:r>
      <w:r>
        <w:rPr>
          <w:i/>
          <w:iCs/>
        </w:rPr>
        <w:t xml:space="preserve">et al.</w:t>
      </w:r>
      <w:r>
        <w:t xml:space="preserve">, 2007; Reynolds</w:t>
      </w:r>
      <w:r>
        <w:t xml:space="preserve"> </w:t>
      </w:r>
      <w:r>
        <w:rPr>
          <w:i/>
          <w:iCs/>
        </w:rPr>
        <w:t xml:space="preserve">et al.</w:t>
      </w:r>
      <w:r>
        <w:t xml:space="preserve">, 2013; Clay</w:t>
      </w:r>
      <w:r>
        <w:t xml:space="preserve"> </w:t>
      </w:r>
      <w:r>
        <w:rPr>
          <w:i/>
          <w:iCs/>
        </w:rPr>
        <w:t xml:space="preserve">et al.</w:t>
      </w:r>
      <w:r>
        <w:t xml:space="preserve">, 2017)</w:t>
      </w:r>
      <w:r>
        <w:t xml:space="preserve"> </w:t>
      </w:r>
      <w:r>
        <w:t xml:space="preserve">and is well established in lobsters including the New Zealand rock lobster (</w:t>
      </w:r>
      <w:r>
        <w:rPr>
          <w:i/>
          <w:iCs/>
        </w:rPr>
        <w:t xml:space="preserve">Jasus edwardsii</w:t>
      </w:r>
      <w:r>
        <w:t xml:space="preserve"> </w:t>
      </w:r>
      <w:r>
        <w:t xml:space="preserve">Hutton, 1875)</w:t>
      </w:r>
      <w:r>
        <w:t xml:space="preserve"> </w:t>
      </w:r>
      <w:r>
        <w:t xml:space="preserve">(Butler</w:t>
      </w:r>
      <w:r>
        <w:t xml:space="preserve"> </w:t>
      </w:r>
      <w:r>
        <w:rPr>
          <w:i/>
          <w:iCs/>
        </w:rPr>
        <w:t xml:space="preserve">et al.</w:t>
      </w:r>
      <w:r>
        <w:t xml:space="preserve">, 1999)</w:t>
      </w:r>
      <w:r>
        <w:t xml:space="preserve">, where conspecific chemical cues attract individuals to share refugia and find refugia significantly faster, reducing predation exposure</w:t>
      </w:r>
      <w:r>
        <w:t xml:space="preserve"> </w:t>
      </w:r>
      <w:r>
        <w:t xml:space="preserve">(Zimmer-Faust and Spanier, 1987; Childress and Herrnkind, 2001)</w:t>
      </w:r>
      <w:r>
        <w:t xml:space="preserve">. Whether kōura exhibit similar gregarious tendencies remains understudied, but the preference shift observed in this study, might suggest that social context alters shelter preferences.</w:t>
      </w:r>
    </w:p>
    <w:bookmarkEnd w:id="29"/>
    <w:bookmarkStart w:id="30" w:name="body-size-and-competitive-dynamics"/>
    <w:p>
      <w:pPr>
        <w:pStyle w:val="Heading2"/>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 stones over wooden splits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consistent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 stones while large kōura distributed more evenly between flat stones and stone piles, suggesting that the large continuous surface area of the flat stones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Experiments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30"/>
    <w:bookmarkStart w:id="31" w:name="restoration-implications"/>
    <w:p>
      <w:pPr>
        <w:pStyle w:val="Heading2"/>
      </w:pPr>
      <w:r>
        <w:t xml:space="preserve">Restoration implications</w:t>
      </w:r>
    </w:p>
    <w:p>
      <w:pPr>
        <w:pStyle w:val="FirstParagraph"/>
      </w:pPr>
      <w:r>
        <w:t xml:space="preserve">With the threat from invasive predatory fish, such as catfish preying on kōura</w:t>
      </w:r>
      <w:r>
        <w:t xml:space="preserve"> </w:t>
      </w:r>
      <w:r>
        <w:t xml:space="preserve">(Kusabs</w:t>
      </w:r>
      <w:r>
        <w:t xml:space="preserve"> </w:t>
      </w:r>
      <w:r>
        <w:rPr>
          <w:i/>
          <w:iCs/>
        </w:rPr>
        <w:t xml:space="preserve">et al.</w:t>
      </w:r>
      <w:r>
        <w:t xml:space="preserve">, 2026)</w:t>
      </w:r>
      <w:r>
        <w:t xml:space="preserve">, enhancing habitat complexity may reduce top-down control on kōura populations. Additional habitat as used here can provide shelter spaces and offers a promising management tool, as refuge availability directly influences predation survival</w:t>
      </w:r>
      <w:r>
        <w:t xml:space="preserve"> </w:t>
      </w:r>
      <w:r>
        <w:t xml:space="preserve">(Adams, 2007; Zhao</w:t>
      </w:r>
      <w:r>
        <w:t xml:space="preserve"> </w:t>
      </w:r>
      <w:r>
        <w:rPr>
          <w:i/>
          <w:iCs/>
        </w:rPr>
        <w:t xml:space="preserve">et al.</w:t>
      </w:r>
      <w:r>
        <w:t xml:space="preserve">, 2024)</w:t>
      </w:r>
      <w:r>
        <w:t xml:space="preserve">. The present study demonstrates that structural configuration and stability drive refuge preference more strongly than material composition, with stone-based configurations preferred by groups and no preference detected between materials when dimensions were equal, suggesting that stone-based habitat enhancement structures warrant field evaluation in lake environments.</w:t>
      </w:r>
    </w:p>
    <w:p>
      <w:pPr>
        <w:pStyle w:val="BodyText"/>
      </w:pPr>
      <w:r>
        <w:t xml:space="preserve">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have all been shown to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Furthermore, existing habitat surveys suggest that kōura are associated with coarser substrates</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For in-lake deployment stone pile structures are likely to be the most practical configuration, due to their elevated structure, stone piles are less likely to be buried into soft substrates than flat individual rocks</w:t>
      </w:r>
      <w:r>
        <w:t xml:space="preserve"> </w:t>
      </w:r>
      <w:r>
        <w:t xml:space="preserve">(Garron</w:t>
      </w:r>
      <w:r>
        <w:t xml:space="preserve"> </w:t>
      </w:r>
      <w:r>
        <w:rPr>
          <w:i/>
          <w:iCs/>
        </w:rPr>
        <w:t xml:space="preserve">et al.</w:t>
      </w:r>
      <w:r>
        <w:t xml:space="preserve">, 2024)</w:t>
      </w:r>
      <w:r>
        <w:t xml:space="preserve">. Field validation in lake environments remains an essential next step, as in-lake conditions including water movement, natural substrate, and predator pressure may modify kōura preferences in ways not captured under controlled conditions.</w:t>
      </w:r>
    </w:p>
    <w:bookmarkEnd w:id="31"/>
    <w:bookmarkStart w:id="32" w:name="conclusion"/>
    <w:p>
      <w:pPr>
        <w:pStyle w:val="Heading2"/>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plays a key role in determining shelter value for kōura. Size-dependent preferences further suggest that structures accommodating multiple body sizes simultaneously benefit whole populations rather than only dominant individuals. Stone-based structures using locally sourced materials are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2"/>
    <w:bookmarkEnd w:id="33"/>
    <w:bookmarkStart w:id="39"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34" w:name="funding-statement"/>
    <w:p>
      <w:pPr>
        <w:pStyle w:val="Heading2"/>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4"/>
    <w:bookmarkStart w:id="35" w:name="authors-contributions"/>
    <w:p>
      <w:pPr>
        <w:pStyle w:val="Heading2"/>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35"/>
    <w:bookmarkStart w:id="36" w:name="ethical-approval"/>
    <w:p>
      <w:pPr>
        <w:pStyle w:val="Heading2"/>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36"/>
    <w:bookmarkStart w:id="37" w:name="declarations"/>
    <w:p>
      <w:pPr>
        <w:pStyle w:val="Heading2"/>
      </w:pPr>
      <w:r>
        <w:t xml:space="preserve">Declarations</w:t>
      </w:r>
    </w:p>
    <w:p>
      <w:pPr>
        <w:pStyle w:val="FirstParagraph"/>
      </w:pPr>
      <w:r>
        <w:t xml:space="preserve">The corresponding author has declared that none of the authors has any competing interests.</w:t>
      </w:r>
    </w:p>
    <w:bookmarkEnd w:id="37"/>
    <w:bookmarkStart w:id="38"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(https://doi.org/10.5281/zenodo.20754344). Peer review documents, including the cover letter and reviewer responses, are available in the manuscript repository in the interest of open and transparent science.</w:t>
      </w:r>
    </w:p>
    <w:bookmarkEnd w:id="38"/>
    <w:bookmarkEnd w:id="39"/>
    <w:bookmarkStart w:id="168"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3" w:name="fig-exp-setup"/>
          <w:p>
            <w:pPr>
              <w:pStyle w:val="Compact"/>
              <w:jc w:val="center"/>
            </w:pPr>
            <w:r>
              <w:drawing>
                <wp:inline>
                  <wp:extent cx="5727700" cy="4293634"/>
                  <wp:effectExtent b="0" l="0" r="0" t="0"/>
                  <wp:docPr descr="" title="" id="41" name="Picture"/>
                  <a:graphic>
                    <a:graphicData uri="http://schemas.openxmlformats.org/drawingml/2006/picture">
                      <pic:pic>
                        <pic:nvPicPr>
                          <pic:cNvPr descr="images/Setup_exp_tanks.png" id="42" name="Picture"/>
                          <pic:cNvPicPr>
                            <a:picLocks noChangeArrowheads="1" noChangeAspect="1"/>
                          </pic:cNvPicPr>
                        </pic:nvPicPr>
                        <pic:blipFill>
                          <a:blip r:embed="rId40"/>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(Individual preference) and Experiment 2 (Group dynamics):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(Material comparison): ConcreteBrick (perforated concrete bricks) and WoodBlock (perforated wooden blocks of identical dimensions) placed in opposing quadrants of the tank.</w:t>
            </w:r>
          </w:p>
          <w:bookmarkEnd w:id="43"/>
        </w:tc>
      </w:tr>
    </w:tbl>
    <w:bookmarkStart w:id="49" w:name="cell-fig-exp1-ms"/>
    <w:tbl>
      <w:tblPr>
        <w:tblStyle w:val="Table"/>
        <w:tblW w:type="pct" w:w="5000"/>
        <w:tblLayout w:type="fixed"/>
        <w:tblLook w:firstRow="0" w:lastRow="0" w:firstColumn="0" w:lastColumn="0" w:noHBand="0" w:noVBand="0" w:val="0000"/>
      </w:tblPr>
      <w:tblGrid>
        <w:gridCol w:w="7920"/>
      </w:tblGrid>
      <w:tr>
        <w:tc>
          <w:tcPr/>
          <w:bookmarkStart w:id="47" w:name="fig-exp1-ms"/>
          <w:p>
            <w:pPr>
              <w:pStyle w:val="Compact"/>
              <w:jc w:val="center"/>
            </w:pPr>
            <w:r>
              <w:drawing>
                <wp:inline>
                  <wp:extent cx="4587290" cy="3669832"/>
                  <wp:effectExtent b="0" l="0" r="0" t="0"/>
                  <wp:docPr descr="" title="" id="45" name="Picture"/>
                  <a:graphic>
                    <a:graphicData uri="http://schemas.openxmlformats.org/drawingml/2006/picture">
                      <pic:pic>
                        <pic:nvPicPr>
                          <pic:cNvPr descr="outputs/fig-exp1.png" id="46" name="Picture"/>
                          <pic:cNvPicPr>
                            <a:picLocks noChangeArrowheads="1" noChangeAspect="1"/>
                          </pic:cNvPicPr>
                        </pic:nvPicPr>
                        <pic:blipFill>
                          <a:blip r:embed="rId44"/>
                          <a:stretch>
                            <a:fillRect/>
                          </a:stretch>
                        </pic:blipFill>
                        <pic:spPr bwMode="auto">
                          <a:xfrm>
                            <a:off x="0" y="0"/>
                            <a:ext cx="4587290"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(see results).</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49"/>
    <w:bookmarkStart w:id="54" w:name="cell-fig-exp2-ms"/>
    <w:tbl>
      <w:tblPr>
        <w:tblStyle w:val="Table"/>
        <w:tblW w:type="pct" w:w="5000"/>
        <w:tblLayout w:type="fixed"/>
        <w:tblLook w:firstRow="0" w:lastRow="0" w:firstColumn="0" w:lastColumn="0" w:noHBand="0" w:noVBand="0" w:val="0000"/>
      </w:tblPr>
      <w:tblGrid>
        <w:gridCol w:w="7920"/>
      </w:tblGrid>
      <w:tr>
        <w:tc>
          <w:tcPr/>
          <w:bookmarkStart w:id="53" w:name="fig-exp2-ms"/>
          <w:p>
            <w:pPr>
              <w:pStyle w:val="Compact"/>
              <w:jc w:val="center"/>
            </w:pPr>
            <w:r>
              <w:drawing>
                <wp:inline>
                  <wp:extent cx="5727700" cy="2863850"/>
                  <wp:effectExtent b="0" l="0" r="0" t="0"/>
                  <wp:docPr descr="" title="" id="51" name="Picture"/>
                  <a:graphic>
                    <a:graphicData uri="http://schemas.openxmlformats.org/drawingml/2006/picture">
                      <pic:pic>
                        <pic:nvPicPr>
                          <pic:cNvPr descr="outputs/fig-exp2.png" id="52" name="Picture"/>
                          <pic:cNvPicPr>
                            <a:picLocks noChangeArrowheads="1" noChangeAspect="1"/>
                          </pic:cNvPicPr>
                        </pic:nvPicPr>
                        <pic:blipFill>
                          <a:blip r:embed="rId5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 credible intervals.</w:t>
            </w:r>
          </w:p>
          <w:bookmarkEnd w:id="53"/>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54"/>
    <w:bookmarkStart w:id="59" w:name="cell-fig-exp3-ms"/>
    <w:tbl>
      <w:tblPr>
        <w:tblStyle w:val="Table"/>
        <w:tblW w:type="pct" w:w="5000"/>
        <w:tblLayout w:type="fixed"/>
        <w:tblLook w:firstRow="0" w:lastRow="0" w:firstColumn="0" w:lastColumn="0" w:noHBand="0" w:noVBand="0" w:val="0000"/>
      </w:tblPr>
      <w:tblGrid>
        <w:gridCol w:w="7920"/>
      </w:tblGrid>
      <w:tr>
        <w:tc>
          <w:tcPr/>
          <w:bookmarkStart w:id="58" w:name="fig-exp3-ms"/>
          <w:p>
            <w:pPr>
              <w:pStyle w:val="Compact"/>
              <w:jc w:val="center"/>
            </w:pPr>
            <w:r>
              <w:drawing>
                <wp:inline>
                  <wp:extent cx="5727700" cy="2863850"/>
                  <wp:effectExtent b="0" l="0" r="0" t="0"/>
                  <wp:docPr descr="" title="" id="56" name="Picture"/>
                  <a:graphic>
                    <a:graphicData uri="http://schemas.openxmlformats.org/drawingml/2006/picture">
                      <pic:pic>
                        <pic:nvPicPr>
                          <pic:cNvPr descr="outputs/fig-exp3.png" id="57" name="Picture"/>
                          <pic:cNvPicPr>
                            <a:picLocks noChangeArrowheads="1" noChangeAspect="1"/>
                          </pic:cNvPicPr>
                        </pic:nvPicPr>
                        <pic:blipFill>
                          <a:blip r:embed="rId55"/>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next-day location across all groups and rounds. The dashed line indicates the null expectation of equal distribution (0.5). Significance symbols as in Figure 3. (B) Posterior predicted probability of structure type use by size class from Bayesian categorical mixed model, with 95 % credible intervals. ↑ used more than expected, ↓ used less than expected. TankWall excluded from model predictions.</w:t>
            </w:r>
          </w:p>
          <w:bookmarkEnd w:id="58"/>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59"/>
    <w:bookmarkStart w:id="64" w:name="cell-fig-exp4-ms"/>
    <w:tbl>
      <w:tblPr>
        <w:tblStyle w:val="Table"/>
        <w:tblW w:type="pct" w:w="5000"/>
        <w:tblLayout w:type="fixed"/>
        <w:tblLook w:firstRow="0" w:lastRow="0" w:firstColumn="0" w:lastColumn="0" w:noHBand="0" w:noVBand="0" w:val="0000"/>
      </w:tblPr>
      <w:tblGrid>
        <w:gridCol w:w="7920"/>
      </w:tblGrid>
      <w:tr>
        <w:tc>
          <w:tcPr/>
          <w:bookmarkStart w:id="63" w:name="fig-exp4-ms"/>
          <w:p>
            <w:pPr>
              <w:pStyle w:val="Compact"/>
              <w:jc w:val="center"/>
            </w:pPr>
            <w:r>
              <w:drawing>
                <wp:inline>
                  <wp:extent cx="5727700" cy="2863850"/>
                  <wp:effectExtent b="0" l="0" r="0" t="0"/>
                  <wp:docPr descr="" title="" id="61" name="Picture"/>
                  <a:graphic>
                    <a:graphicData uri="http://schemas.openxmlformats.org/drawingml/2006/picture">
                      <pic:pic>
                        <pic:nvPicPr>
                          <pic:cNvPr descr="outputs/fig-exp4.png" id="62" name="Picture"/>
                          <pic:cNvPicPr>
                            <a:picLocks noChangeArrowheads="1" noChangeAspect="1"/>
                          </pic:cNvPicPr>
                        </pic:nvPicPr>
                        <pic:blipFill>
                          <a:blip r:embed="rId6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Material preference (Experiment 4). (A) Proportion of kōura found at each structure type at next-day location across all groups and rounds. The dashed line indicates the null expectation of equal distribution (0.5). (B) Posterior predicted probability of structure type use by sex from Bayesian categorical mixed model, with 95 % credible intervals. TankWall excluded from model predictions.</w:t>
            </w:r>
          </w:p>
          <w:bookmarkEnd w:id="63"/>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64"/>
    <w:bookmarkStart w:id="167" w:name="refs"/>
    <w:bookmarkStart w:id="66" w:name="ref-Adams2007"/>
    <w:p>
      <w:pPr>
        <w:pStyle w:val="Bibliography"/>
      </w:pPr>
      <w:r>
        <w:t xml:space="preserve">Adams SB. 2007. Direct and indirect effects of channel catfish (ictalurus punctatus) on native crayfishes (cambaridae) in experimental tanks.</w:t>
      </w:r>
      <w:r>
        <w:t xml:space="preserve"> </w:t>
      </w:r>
      <w:r>
        <w:rPr>
          <w:i/>
          <w:iCs/>
        </w:rPr>
        <w:t xml:space="preserve">The American Midland Naturalist</w:t>
      </w:r>
      <w:r>
        <w:t xml:space="preserve"> </w:t>
      </w:r>
      <w:r>
        <w:rPr>
          <w:b/>
          <w:bCs/>
        </w:rPr>
        <w:t xml:space="preserve">158</w:t>
      </w:r>
      <w:r>
        <w:t xml:space="preserve">: 85--96. https://doi.org/</w:t>
      </w:r>
      <w:hyperlink r:id="rId65">
        <w:r>
          <w:rPr>
            <w:rStyle w:val="Hyperlink"/>
          </w:rPr>
          <w:t xml:space="preserve">10.1674/0003-0031(2007)158[85:daieoc]2.0.co;2</w:t>
        </w:r>
      </w:hyperlink>
    </w:p>
    <w:bookmarkEnd w:id="66"/>
    <w:bookmarkStart w:id="68" w:name="ref-Adams2014"/>
    <w:p>
      <w:pPr>
        <w:pStyle w:val="Bibliography"/>
      </w:pPr>
      <w:r>
        <w:t xml:space="preserve">Adams SB. 2014. Crayfish use of trash versus natural cover in incised, sand-bed streams.</w:t>
      </w:r>
      <w:r>
        <w:t xml:space="preserve"> </w:t>
      </w:r>
      <w:r>
        <w:rPr>
          <w:i/>
          <w:iCs/>
        </w:rPr>
        <w:t xml:space="preserve">Environmental Management</w:t>
      </w:r>
      <w:r>
        <w:t xml:space="preserve"> </w:t>
      </w:r>
      <w:r>
        <w:rPr>
          <w:b/>
          <w:bCs/>
        </w:rPr>
        <w:t xml:space="preserve">53</w:t>
      </w:r>
      <w:r>
        <w:t xml:space="preserve">: 382--392. https://doi.org/</w:t>
      </w:r>
      <w:hyperlink r:id="rId67">
        <w:r>
          <w:rPr>
            <w:rStyle w:val="Hyperlink"/>
          </w:rPr>
          <w:t xml:space="preserve">10.1007/s00267-013-0197-3</w:t>
        </w:r>
      </w:hyperlink>
    </w:p>
    <w:bookmarkEnd w:id="68"/>
    <w:bookmarkStart w:id="70" w:name="ref-Beck1995"/>
    <w:p>
      <w:pPr>
        <w:pStyle w:val="Bibliography"/>
      </w:pPr>
      <w:r>
        <w:t xml:space="preserve">Beck MW. 1995. Size-specific shelter limitation in stone crabs: A test of the demographic bottleneck hypothesis.</w:t>
      </w:r>
      <w:r>
        <w:t xml:space="preserve"> </w:t>
      </w:r>
      <w:r>
        <w:rPr>
          <w:i/>
          <w:iCs/>
        </w:rPr>
        <w:t xml:space="preserve">Ecology</w:t>
      </w:r>
      <w:r>
        <w:t xml:space="preserve"> </w:t>
      </w:r>
      <w:r>
        <w:rPr>
          <w:b/>
          <w:bCs/>
        </w:rPr>
        <w:t xml:space="preserve">76</w:t>
      </w:r>
      <w:r>
        <w:t xml:space="preserve">: 968–980. https://doi.org/</w:t>
      </w:r>
      <w:hyperlink r:id="rId69">
        <w:r>
          <w:rPr>
            <w:rStyle w:val="Hyperlink"/>
          </w:rPr>
          <w:t xml:space="preserve">10.2307/1939360</w:t>
        </w:r>
      </w:hyperlink>
    </w:p>
    <w:bookmarkEnd w:id="70"/>
    <w:bookmarkStart w:id="72" w:name="ref-Burkner2025"/>
    <w:p>
      <w:pPr>
        <w:pStyle w:val="Bibliography"/>
      </w:pPr>
      <w:r>
        <w:t xml:space="preserve">Bürkner P-C, Gabry J, Weber S, Johnson A. 2025.</w:t>
      </w:r>
      <w:r>
        <w:t xml:space="preserve"> </w:t>
      </w:r>
      <w:hyperlink r:id="rId71">
        <w:r>
          <w:rPr>
            <w:rStyle w:val="Hyperlink"/>
          </w:rPr>
          <w:t xml:space="preserve">brms</w:t>
        </w:r>
        <w:r>
          <w:rPr>
            <w:rStyle w:val="Hyperlink"/>
          </w:rPr>
          <w:t xml:space="preserve">:</w:t>
        </w:r>
        <w:r>
          <w:rPr>
            <w:rStyle w:val="Hyperlink"/>
          </w:rPr>
          <w:t xml:space="preserve"> </w:t>
        </w:r>
        <w:r>
          <w:rPr>
            <w:rStyle w:val="Hyperlink"/>
          </w:rPr>
          <w:t xml:space="preserve">Bayesian</w:t>
        </w:r>
        <w:r>
          <w:rPr>
            <w:rStyle w:val="Hyperlink"/>
          </w:rPr>
          <w:t xml:space="preserve"> </w:t>
        </w:r>
        <w:r>
          <w:rPr>
            <w:rStyle w:val="Hyperlink"/>
          </w:rPr>
          <w:t xml:space="preserve">regression models using</w:t>
        </w:r>
        <w:r>
          <w:rPr>
            <w:rStyle w:val="Hyperlink"/>
          </w:rPr>
          <w:t xml:space="preserve"> </w:t>
        </w:r>
        <w:r>
          <w:rPr>
            <w:rStyle w:val="Hyperlink"/>
          </w:rPr>
          <w:t xml:space="preserve">Stan</w:t>
        </w:r>
      </w:hyperlink>
      <w:r>
        <w:t xml:space="preserve">.</w:t>
      </w:r>
    </w:p>
    <w:bookmarkEnd w:id="72"/>
    <w:bookmarkStart w:id="74" w:name="ref-Butler1999"/>
    <w:p>
      <w:pPr>
        <w:pStyle w:val="Bibliography"/>
      </w:pPr>
      <w:r>
        <w:t xml:space="preserve">Butler M, MacDiarmid A, Booth J. 1999. The cause and consequence of ontogenetic changes in social aggregation in new zealand spiny lobsters.</w:t>
      </w:r>
      <w:r>
        <w:t xml:space="preserve"> </w:t>
      </w:r>
      <w:r>
        <w:rPr>
          <w:i/>
          <w:iCs/>
        </w:rPr>
        <w:t xml:space="preserve">Marine Ecology Progress Series</w:t>
      </w:r>
      <w:r>
        <w:t xml:space="preserve"> </w:t>
      </w:r>
      <w:r>
        <w:rPr>
          <w:b/>
          <w:bCs/>
        </w:rPr>
        <w:t xml:space="preserve">188</w:t>
      </w:r>
      <w:r>
        <w:t xml:space="preserve">: 179–191. https://doi.org/</w:t>
      </w:r>
      <w:hyperlink r:id="rId73">
        <w:r>
          <w:rPr>
            <w:rStyle w:val="Hyperlink"/>
          </w:rPr>
          <w:t xml:space="preserve">10.3354/meps188179</w:t>
        </w:r>
      </w:hyperlink>
    </w:p>
    <w:bookmarkEnd w:id="74"/>
    <w:bookmarkStart w:id="76" w:name="ref-Childress2001"/>
    <w:p>
      <w:pPr>
        <w:pStyle w:val="Bibliography"/>
      </w:pPr>
      <w:r>
        <w:t xml:space="preserve">Childress MJ, Herrnkind WF. 2001. The guide effect influence on the gregariousness of juvenile caribbean spiny lobsters.</w:t>
      </w:r>
      <w:r>
        <w:t xml:space="preserve"> </w:t>
      </w:r>
      <w:r>
        <w:rPr>
          <w:i/>
          <w:iCs/>
        </w:rPr>
        <w:t xml:space="preserve">Animal Behaviour</w:t>
      </w:r>
      <w:r>
        <w:t xml:space="preserve"> </w:t>
      </w:r>
      <w:r>
        <w:rPr>
          <w:b/>
          <w:bCs/>
        </w:rPr>
        <w:t xml:space="preserve">62</w:t>
      </w:r>
      <w:r>
        <w:t xml:space="preserve">: 465–472. https://doi.org/</w:t>
      </w:r>
      <w:hyperlink r:id="rId75">
        <w:r>
          <w:rPr>
            <w:rStyle w:val="Hyperlink"/>
          </w:rPr>
          <w:t xml:space="preserve">10.1006/anbe.2001.1760</w:t>
        </w:r>
      </w:hyperlink>
    </w:p>
    <w:bookmarkEnd w:id="76"/>
    <w:bookmarkStart w:id="78" w:name="ref-Clapcott2018"/>
    <w:p>
      <w:pPr>
        <w:pStyle w:val="Bibliography"/>
      </w:pPr>
      <w:r>
        <w:t xml:space="preserve">Clapcott J, Ataria J, Hepburn C, Hikuroa D, Jackson A, Kirikiri R, Williams E. 2018. Mātauranga māori: Shaping marine and freshwater futures.</w:t>
      </w:r>
      <w:r>
        <w:t xml:space="preserve"> </w:t>
      </w:r>
      <w:r>
        <w:rPr>
          <w:i/>
          <w:iCs/>
        </w:rPr>
        <w:t xml:space="preserve">New Zealand Journal of Marine and Freshwater Research</w:t>
      </w:r>
      <w:r>
        <w:t xml:space="preserve"> </w:t>
      </w:r>
      <w:r>
        <w:rPr>
          <w:b/>
          <w:bCs/>
        </w:rPr>
        <w:t xml:space="preserve">52</w:t>
      </w:r>
      <w:r>
        <w:t xml:space="preserve">: 457–466. https://doi.org/</w:t>
      </w:r>
      <w:hyperlink r:id="rId77">
        <w:r>
          <w:rPr>
            <w:rStyle w:val="Hyperlink"/>
          </w:rPr>
          <w:t xml:space="preserve">10.1080/00288330.2018.1539404</w:t>
        </w:r>
      </w:hyperlink>
    </w:p>
    <w:bookmarkEnd w:id="78"/>
    <w:bookmarkStart w:id="80" w:name="ref-Clay2017"/>
    <w:p>
      <w:pPr>
        <w:pStyle w:val="Bibliography"/>
      </w:pPr>
      <w:r>
        <w:t xml:space="preserve">Clay M, Stoeckel J, Helms B. 2017. The role of abiotic and biotic cues in burrow habitat selection by juvenile crayfish.</w:t>
      </w:r>
      <w:r>
        <w:t xml:space="preserve"> </w:t>
      </w:r>
      <w:r>
        <w:rPr>
          <w:i/>
          <w:iCs/>
        </w:rPr>
        <w:t xml:space="preserve">Behaviour</w:t>
      </w:r>
      <w:r>
        <w:t xml:space="preserve"> </w:t>
      </w:r>
      <w:r>
        <w:rPr>
          <w:b/>
          <w:bCs/>
        </w:rPr>
        <w:t xml:space="preserve">154</w:t>
      </w:r>
      <w:r>
        <w:t xml:space="preserve">: 1177–1196. https://doi.org/</w:t>
      </w:r>
      <w:hyperlink r:id="rId79">
        <w:r>
          <w:rPr>
            <w:rStyle w:val="Hyperlink"/>
          </w:rPr>
          <w:t xml:space="preserve">10.1163/1568539x-00003463</w:t>
        </w:r>
      </w:hyperlink>
    </w:p>
    <w:bookmarkEnd w:id="80"/>
    <w:bookmarkStart w:id="81"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81"/>
    <w:bookmarkStart w:id="83" w:name="ref-Cooke2023"/>
    <w:p>
      <w:pPr>
        <w:pStyle w:val="Bibliography"/>
      </w:pPr>
      <w:r>
        <w:t xml:space="preserve">Cooke SJ, Piczak ML, Vermaire JC, Kirkwood AE. 2023. On the troubling use of plastic</w:t>
      </w:r>
      <w:r>
        <w:t xml:space="preserve"> </w:t>
      </w:r>
      <w:r>
        <w:t xml:space="preserve">‘habitat’</w:t>
      </w:r>
      <w:r>
        <w:t xml:space="preserve"> </w:t>
      </w:r>
      <w:r>
        <w:t xml:space="preserve">structures for fish in freshwater ecosystems – or – when restoration is just littering (D Lesbarrères, Ed).</w:t>
      </w:r>
      <w:r>
        <w:t xml:space="preserve"> </w:t>
      </w:r>
      <w:r>
        <w:rPr>
          <w:i/>
          <w:iCs/>
        </w:rPr>
        <w:t xml:space="preserve">FACETS</w:t>
      </w:r>
      <w:r>
        <w:t xml:space="preserve"> </w:t>
      </w:r>
      <w:r>
        <w:rPr>
          <w:b/>
          <w:bCs/>
        </w:rPr>
        <w:t xml:space="preserve">8</w:t>
      </w:r>
      <w:r>
        <w:t xml:space="preserve">: 1--19. https://doi.org/</w:t>
      </w:r>
      <w:hyperlink r:id="rId82">
        <w:r>
          <w:rPr>
            <w:rStyle w:val="Hyperlink"/>
          </w:rPr>
          <w:t xml:space="preserve">10.1139/facets-2022-0210</w:t>
        </w:r>
      </w:hyperlink>
    </w:p>
    <w:bookmarkEnd w:id="83"/>
    <w:bookmarkStart w:id="85" w:name="ref-Dickson2023"/>
    <w:p>
      <w:pPr>
        <w:pStyle w:val="Bibliography"/>
      </w:pPr>
      <w:r>
        <w:t xml:space="preserve">Dickson J, Franken O, Watson MS, Monnich B, Holthuijsen S, Eriksson BK, Govers LL, Heide T van der, Bouma TJ.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 </w:t>
      </w:r>
      <w:r>
        <w:rPr>
          <w:b/>
          <w:bCs/>
        </w:rPr>
        <w:t xml:space="preserve">10</w:t>
      </w:r>
      <w:r>
        <w:t xml:space="preserve">: 1213790. https://doi.org/</w:t>
      </w:r>
      <w:hyperlink r:id="rId84">
        <w:r>
          <w:rPr>
            <w:rStyle w:val="Hyperlink"/>
          </w:rPr>
          <w:t xml:space="preserve">10.3389/fmars.2023.1213790</w:t>
        </w:r>
      </w:hyperlink>
    </w:p>
    <w:bookmarkEnd w:id="85"/>
    <w:bookmarkStart w:id="87" w:name="ref-Dudgeon2006"/>
    <w:p>
      <w:pPr>
        <w:pStyle w:val="Bibliography"/>
      </w:pPr>
      <w:r>
        <w:t xml:space="preserve">Dudgeon D, Arthington AH, Gessner MO, Kawabata Z, Knowler DJ, Lévêque C, Naiman RJ, Prieur‐Richard A, Soto D, Stiassny MLJ, et al. 2006. Freshwater biodiversity: Importance, threats, status and conservation challenges.</w:t>
      </w:r>
      <w:r>
        <w:t xml:space="preserve"> </w:t>
      </w:r>
      <w:r>
        <w:rPr>
          <w:i/>
          <w:iCs/>
        </w:rPr>
        <w:t xml:space="preserve">Biological Reviews</w:t>
      </w:r>
      <w:r>
        <w:t xml:space="preserve"> </w:t>
      </w:r>
      <w:r>
        <w:rPr>
          <w:b/>
          <w:bCs/>
        </w:rPr>
        <w:t xml:space="preserve">81</w:t>
      </w:r>
      <w:r>
        <w:t xml:space="preserve">: 163–182. https://doi.org/</w:t>
      </w:r>
      <w:hyperlink r:id="rId86">
        <w:r>
          <w:rPr>
            <w:rStyle w:val="Hyperlink"/>
          </w:rPr>
          <w:t xml:space="preserve">10.1017/s1464793105006950</w:t>
        </w:r>
      </w:hyperlink>
    </w:p>
    <w:bookmarkEnd w:id="87"/>
    <w:bookmarkStart w:id="89" w:name="ref-Engels2014"/>
    <w:p>
      <w:pPr>
        <w:pStyle w:val="Bibliography"/>
      </w:pPr>
      <w:r>
        <w:t xml:space="preserve">Engels B. 2014. XNomial: Exact goodness-of-fit test for multinomial data with fixed probabilities.</w:t>
      </w:r>
      <w:r>
        <w:t xml:space="preserve"> </w:t>
      </w:r>
      <w:r>
        <w:rPr>
          <w:i/>
          <w:iCs/>
        </w:rPr>
        <w:t xml:space="preserve">CRAN: Contributed Packages</w:t>
      </w:r>
      <w:r>
        <w:t xml:space="preserve">. https://doi.org/</w:t>
      </w:r>
      <w:hyperlink r:id="rId88">
        <w:r>
          <w:rPr>
            <w:rStyle w:val="Hyperlink"/>
          </w:rPr>
          <w:t xml:space="preserve">10.32614/cran.package.xnomial</w:t>
        </w:r>
      </w:hyperlink>
    </w:p>
    <w:bookmarkEnd w:id="89"/>
    <w:bookmarkStart w:id="91"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 </w:t>
      </w:r>
      <w:r>
        <w:rPr>
          <w:b/>
          <w:bCs/>
        </w:rPr>
        <w:t xml:space="preserve">38</w:t>
      </w:r>
      <w:r>
        <w:t xml:space="preserve">: 237--248. https://doi.org/</w:t>
      </w:r>
      <w:hyperlink r:id="rId90">
        <w:r>
          <w:rPr>
            <w:rStyle w:val="Hyperlink"/>
          </w:rPr>
          <w:t xml:space="preserve">10.1080/10236240500376477</w:t>
        </w:r>
      </w:hyperlink>
    </w:p>
    <w:bookmarkEnd w:id="91"/>
    <w:bookmarkStart w:id="93" w:name="ref-Figler1999"/>
    <w:p>
      <w:pPr>
        <w:pStyle w:val="Bibliography"/>
      </w:pPr>
      <w:r>
        <w:t xml:space="preserve">Figler MH, Cheverton HM, Blank GS. 1999. Shelter competition in juvenile red swamp crayfish (procambarus clarkii): The influences of sex differences, relative size, and prior residence.</w:t>
      </w:r>
      <w:r>
        <w:t xml:space="preserve"> </w:t>
      </w:r>
      <w:r>
        <w:rPr>
          <w:i/>
          <w:iCs/>
        </w:rPr>
        <w:t xml:space="preserve">Aquaculture</w:t>
      </w:r>
      <w:r>
        <w:t xml:space="preserve"> </w:t>
      </w:r>
      <w:r>
        <w:rPr>
          <w:b/>
          <w:bCs/>
        </w:rPr>
        <w:t xml:space="preserve">178</w:t>
      </w:r>
      <w:r>
        <w:t xml:space="preserve">: 63--75. https://doi.org/</w:t>
      </w:r>
      <w:hyperlink r:id="rId92">
        <w:r>
          <w:rPr>
            <w:rStyle w:val="Hyperlink"/>
          </w:rPr>
          <w:t xml:space="preserve">10.1016/s0044-8486(99)00114-3</w:t>
        </w:r>
      </w:hyperlink>
    </w:p>
    <w:bookmarkEnd w:id="93"/>
    <w:bookmarkStart w:id="95" w:name="ref-Garron2024"/>
    <w:p>
      <w:pPr>
        <w:pStyle w:val="Bibliography"/>
      </w:pPr>
      <w:r>
        <w:t xml:space="preserve">Garron C, Pangaud A, Taubaty M, Rolan‐Meynard M, Argillier C, Raymond J, Dublon J,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 </w:t>
      </w:r>
      <w:r>
        <w:rPr>
          <w:b/>
          <w:bCs/>
        </w:rPr>
        <w:t xml:space="preserve">34</w:t>
      </w:r>
      <w:r>
        <w:t xml:space="preserve">. https://doi.org/</w:t>
      </w:r>
      <w:hyperlink r:id="rId94">
        <w:r>
          <w:rPr>
            <w:rStyle w:val="Hyperlink"/>
          </w:rPr>
          <w:t xml:space="preserve">10.1002/aqc.4152</w:t>
        </w:r>
      </w:hyperlink>
    </w:p>
    <w:bookmarkEnd w:id="95"/>
    <w:bookmarkStart w:id="97" w:name="ref-Gelman1992"/>
    <w:p>
      <w:pPr>
        <w:pStyle w:val="Bibliography"/>
      </w:pPr>
      <w:r>
        <w:t xml:space="preserve">Gelman A, Rubin DB. 1992. Inference from iterative simulation using multiple sequences.</w:t>
      </w:r>
      <w:r>
        <w:t xml:space="preserve"> </w:t>
      </w:r>
      <w:r>
        <w:rPr>
          <w:i/>
          <w:iCs/>
        </w:rPr>
        <w:t xml:space="preserve">Statistical Science</w:t>
      </w:r>
      <w:r>
        <w:t xml:space="preserve"> </w:t>
      </w:r>
      <w:r>
        <w:rPr>
          <w:b/>
          <w:bCs/>
        </w:rPr>
        <w:t xml:space="preserve">7</w:t>
      </w:r>
      <w:r>
        <w:t xml:space="preserve">: 457–472. https://doi.org/</w:t>
      </w:r>
      <w:hyperlink r:id="rId96">
        <w:r>
          <w:rPr>
            <w:rStyle w:val="Hyperlink"/>
          </w:rPr>
          <w:t xml:space="preserve">10.1214/ss/1177011136</w:t>
        </w:r>
      </w:hyperlink>
    </w:p>
    <w:bookmarkEnd w:id="97"/>
    <w:bookmarkStart w:id="99" w:name="ref-Hammond2006"/>
    <w:p>
      <w:pPr>
        <w:pStyle w:val="Bibliography"/>
      </w:pPr>
      <w:r>
        <w:t xml:space="preserve">Hammond KS, Hollows JW, Townsend CR, Lokman PM. 2006. Effects of temperature and water calcium concentration on growth, survival and moulting of freshwater crayfish, paranephrops zealandicus.</w:t>
      </w:r>
      <w:r>
        <w:t xml:space="preserve"> </w:t>
      </w:r>
      <w:r>
        <w:rPr>
          <w:i/>
          <w:iCs/>
        </w:rPr>
        <w:t xml:space="preserve">Aquaculture</w:t>
      </w:r>
      <w:r>
        <w:t xml:space="preserve"> </w:t>
      </w:r>
      <w:r>
        <w:rPr>
          <w:b/>
          <w:bCs/>
        </w:rPr>
        <w:t xml:space="preserve">251</w:t>
      </w:r>
      <w:r>
        <w:t xml:space="preserve">: 271--279. https://doi.org/</w:t>
      </w:r>
      <w:hyperlink r:id="rId98">
        <w:r>
          <w:rPr>
            <w:rStyle w:val="Hyperlink"/>
          </w:rPr>
          <w:t xml:space="preserve">10.1016/j.aquaculture.2005.05.032</w:t>
        </w:r>
      </w:hyperlink>
    </w:p>
    <w:bookmarkEnd w:id="99"/>
    <w:bookmarkStart w:id="101" w:name="ref-Hazlett2007"/>
    <w:p>
      <w:pPr>
        <w:pStyle w:val="Bibliography"/>
      </w:pPr>
      <w:r>
        <w:t xml:space="preserve">Hazlett BA, Lawler S, Edney G. 2007. Agonistic behavior of the crayfish&lt;i&gt;euastacus armatus&lt;/i&gt;and&lt;i&gt;cherax destructor&lt;/i&gt;.</w:t>
      </w:r>
      <w:r>
        <w:t xml:space="preserve"> </w:t>
      </w:r>
      <w:r>
        <w:rPr>
          <w:i/>
          <w:iCs/>
        </w:rPr>
        <w:t xml:space="preserve">Marine and Freshwater Behaviour and Physiology</w:t>
      </w:r>
      <w:r>
        <w:t xml:space="preserve"> </w:t>
      </w:r>
      <w:r>
        <w:rPr>
          <w:b/>
          <w:bCs/>
        </w:rPr>
        <w:t xml:space="preserve">40</w:t>
      </w:r>
      <w:r>
        <w:t xml:space="preserve">: 257–266. https://doi.org/</w:t>
      </w:r>
      <w:hyperlink r:id="rId100">
        <w:r>
          <w:rPr>
            <w:rStyle w:val="Hyperlink"/>
          </w:rPr>
          <w:t xml:space="preserve">10.1080/10236240701562412</w:t>
        </w:r>
      </w:hyperlink>
    </w:p>
    <w:bookmarkEnd w:id="101"/>
    <w:bookmarkStart w:id="103" w:name="ref-Huolila1997"/>
    <w:p>
      <w:pPr>
        <w:pStyle w:val="Bibliography"/>
      </w:pPr>
      <w:r>
        <w:t xml:space="preserve">Huolila M, Marjomäki TJ,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 https://doi.org/</w:t>
      </w:r>
      <w:hyperlink r:id="rId102">
        <w:r>
          <w:rPr>
            <w:rStyle w:val="Hyperlink"/>
          </w:rPr>
          <w:t xml:space="preserve">10.1016/s0165-7836(97)00046-5</w:t>
        </w:r>
      </w:hyperlink>
    </w:p>
    <w:bookmarkEnd w:id="103"/>
    <w:bookmarkStart w:id="105" w:name="ref-Hylkema2020"/>
    <w:p>
      <w:pPr>
        <w:pStyle w:val="Bibliography"/>
      </w:pPr>
      <w:r>
        <w:t xml:space="preserve">Hylkema A, Debrot AO, Osinga R, Bron PS, Heesink DB, Izioka AK, Reid CB, Rippen JC, Treibitz T, Yuval M, et al. 2020. Fish assemblages of three common artificial reef designs during early colonization.</w:t>
      </w:r>
      <w:r>
        <w:t xml:space="preserve"> </w:t>
      </w:r>
      <w:r>
        <w:rPr>
          <w:i/>
          <w:iCs/>
        </w:rPr>
        <w:t xml:space="preserve">Ecological Engineering</w:t>
      </w:r>
      <w:r>
        <w:t xml:space="preserve"> </w:t>
      </w:r>
      <w:r>
        <w:rPr>
          <w:b/>
          <w:bCs/>
        </w:rPr>
        <w:t xml:space="preserve">157</w:t>
      </w:r>
      <w:r>
        <w:t xml:space="preserve">: 105994. https://doi.org/</w:t>
      </w:r>
      <w:hyperlink r:id="rId104">
        <w:r>
          <w:rPr>
            <w:rStyle w:val="Hyperlink"/>
          </w:rPr>
          <w:t xml:space="preserve">10.1016/j.ecoleng.2020.105994</w:t>
        </w:r>
      </w:hyperlink>
    </w:p>
    <w:bookmarkEnd w:id="105"/>
    <w:bookmarkStart w:id="106"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106"/>
    <w:bookmarkStart w:id="108" w:name="ref-Jowett2008"/>
    <w:p>
      <w:pPr>
        <w:pStyle w:val="Bibliography"/>
      </w:pPr>
      <w:r>
        <w:t xml:space="preserve">Jowett IG, Parkyn SM, Richardson J. 2008. Habitat characteristics of crayfish (paranephrops planifrons) in new zealand streams using generalised additive models (GAMs).</w:t>
      </w:r>
      <w:r>
        <w:t xml:space="preserve"> </w:t>
      </w:r>
      <w:r>
        <w:rPr>
          <w:i/>
          <w:iCs/>
        </w:rPr>
        <w:t xml:space="preserve">Hydrobiologia</w:t>
      </w:r>
      <w:r>
        <w:t xml:space="preserve"> </w:t>
      </w:r>
      <w:r>
        <w:rPr>
          <w:b/>
          <w:bCs/>
        </w:rPr>
        <w:t xml:space="preserve">596</w:t>
      </w:r>
      <w:r>
        <w:t xml:space="preserve">: 353–365. https://doi.org/</w:t>
      </w:r>
      <w:hyperlink r:id="rId107">
        <w:r>
          <w:rPr>
            <w:rStyle w:val="Hyperlink"/>
          </w:rPr>
          <w:t xml:space="preserve">10.1007/s10750-007-9108-z</w:t>
        </w:r>
      </w:hyperlink>
    </w:p>
    <w:bookmarkEnd w:id="108"/>
    <w:bookmarkStart w:id="109"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109"/>
    <w:bookmarkStart w:id="111" w:name="ref-Kusabs2015a"/>
    <w:p>
      <w:pPr>
        <w:pStyle w:val="Bibliography"/>
      </w:pPr>
      <w:r>
        <w:t xml:space="preserve">Kusabs IA, Hicks BJ, Quinn JM, Hamilton DP.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Fisheries Research</w:t>
      </w:r>
      <w:r>
        <w:t xml:space="preserve"> </w:t>
      </w:r>
      <w:r>
        <w:rPr>
          <w:b/>
          <w:bCs/>
        </w:rPr>
        <w:t xml:space="preserve">168</w:t>
      </w:r>
      <w:r>
        <w:t xml:space="preserve">: 35–46. https://doi.org/</w:t>
      </w:r>
      <w:hyperlink r:id="rId110">
        <w:r>
          <w:rPr>
            <w:rStyle w:val="Hyperlink"/>
          </w:rPr>
          <w:t xml:space="preserve">10.1016/j.fishres.2015.03.015</w:t>
        </w:r>
      </w:hyperlink>
    </w:p>
    <w:bookmarkEnd w:id="111"/>
    <w:bookmarkStart w:id="113" w:name="ref-Kusabs2026"/>
    <w:p>
      <w:pPr>
        <w:pStyle w:val="Bibliography"/>
      </w:pPr>
      <w:r>
        <w:t xml:space="preserve">Kusabs IAK, Duggan IC, Bruere AC, Scholes P, Te Kurapa TW, Grant TM, Burdon FJ. 2026. Invasive catfish linked to the decline of freshwater crayfish in two aotearoa new zealand lakes.</w:t>
      </w:r>
      <w:r>
        <w:t xml:space="preserve"> </w:t>
      </w:r>
      <w:r>
        <w:rPr>
          <w:i/>
          <w:iCs/>
        </w:rPr>
        <w:t xml:space="preserve">Biological Invasions</w:t>
      </w:r>
      <w:r>
        <w:t xml:space="preserve"> </w:t>
      </w:r>
      <w:r>
        <w:rPr>
          <w:b/>
          <w:bCs/>
        </w:rPr>
        <w:t xml:space="preserve">28</w:t>
      </w:r>
      <w:r>
        <w:t xml:space="preserve">. https://doi.org/</w:t>
      </w:r>
      <w:hyperlink r:id="rId112">
        <w:r>
          <w:rPr>
            <w:rStyle w:val="Hyperlink"/>
          </w:rPr>
          <w:t xml:space="preserve">10.1007/s10530-026-03852-0</w:t>
        </w:r>
      </w:hyperlink>
    </w:p>
    <w:bookmarkEnd w:id="113"/>
    <w:bookmarkStart w:id="115" w:name="ref-Kusabs2009"/>
    <w:p>
      <w:pPr>
        <w:pStyle w:val="Bibliography"/>
      </w:pPr>
      <w:r>
        <w:t xml:space="preserve">Kusabs IA, Quinn JM. 2009. Use of a traditional maori harvesting method, the tau kōura, for monitoring kōura (freshwater crayfish, paranephrops planifrons) in lake rotoiti, north island, new zealand.</w:t>
      </w:r>
      <w:r>
        <w:t xml:space="preserve"> </w:t>
      </w:r>
      <w:r>
        <w:rPr>
          <w:i/>
          <w:iCs/>
        </w:rPr>
        <w:t xml:space="preserve">New Zealand Journal of Marine and Freshwater Research</w:t>
      </w:r>
      <w:r>
        <w:t xml:space="preserve"> </w:t>
      </w:r>
      <w:r>
        <w:rPr>
          <w:b/>
          <w:bCs/>
        </w:rPr>
        <w:t xml:space="preserve">43</w:t>
      </w:r>
      <w:r>
        <w:t xml:space="preserve">: 713–722. https://doi.org/</w:t>
      </w:r>
      <w:hyperlink r:id="rId114">
        <w:r>
          <w:rPr>
            <w:rStyle w:val="Hyperlink"/>
          </w:rPr>
          <w:t xml:space="preserve">10.1080/00288330909510036</w:t>
        </w:r>
      </w:hyperlink>
    </w:p>
    <w:bookmarkEnd w:id="115"/>
    <w:bookmarkStart w:id="117" w:name="ref-Kusabs2015b"/>
    <w:p>
      <w:pPr>
        <w:pStyle w:val="Bibliography"/>
      </w:pPr>
      <w:r>
        <w:t xml:space="preserve">Kusabs IA, Quinn JM, Hamilton DP.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Marine and Freshwater Research</w:t>
      </w:r>
      <w:r>
        <w:t xml:space="preserve"> </w:t>
      </w:r>
      <w:r>
        <w:rPr>
          <w:b/>
          <w:bCs/>
        </w:rPr>
        <w:t xml:space="preserve">66</w:t>
      </w:r>
      <w:r>
        <w:t xml:space="preserve">: 631–643. https://doi.org/</w:t>
      </w:r>
      <w:hyperlink r:id="rId116">
        <w:r>
          <w:rPr>
            <w:rStyle w:val="Hyperlink"/>
          </w:rPr>
          <w:t xml:space="preserve">10.1071/MF14148</w:t>
        </w:r>
      </w:hyperlink>
    </w:p>
    <w:bookmarkEnd w:id="117"/>
    <w:bookmarkStart w:id="119" w:name="ref-Lee2025"/>
    <w:p>
      <w:pPr>
        <w:pStyle w:val="Bibliography"/>
      </w:pPr>
      <w:r>
        <w:t xml:space="preserve">Lee F, Kusabs IAK, Perry GLW,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 https://doi.org/</w:t>
      </w:r>
      <w:hyperlink r:id="rId118">
        <w:r>
          <w:rPr>
            <w:rStyle w:val="Hyperlink"/>
          </w:rPr>
          <w:t xml:space="preserve">10.5194/we-25-221-2025</w:t>
        </w:r>
      </w:hyperlink>
    </w:p>
    <w:bookmarkEnd w:id="119"/>
    <w:bookmarkStart w:id="121" w:name="ref-MacNeil2025"/>
    <w:p>
      <w:pPr>
        <w:pStyle w:val="Bibliography"/>
      </w:pPr>
      <w:r>
        <w:t xml:space="preserve">MacNeil C, Lee F, Kusabs I, Holmes R. 2025. The biter bit; scavenging behaviour of native freshwater crayfish on the carrion of native and introduced fish predators in aotearoa-new zealand.</w:t>
      </w:r>
      <w:r>
        <w:t xml:space="preserve"> </w:t>
      </w:r>
      <w:r>
        <w:rPr>
          <w:i/>
          <w:iCs/>
        </w:rPr>
        <w:t xml:space="preserve">Knowledge &amp;amp; Management of Aquatic Ecosystems</w:t>
      </w:r>
      <w:r>
        <w:t xml:space="preserve">: 29. https://doi.org/</w:t>
      </w:r>
      <w:hyperlink r:id="rId120">
        <w:r>
          <w:rPr>
            <w:rStyle w:val="Hyperlink"/>
          </w:rPr>
          <w:t xml:space="preserve">10.1051/kmae/2025022</w:t>
        </w:r>
      </w:hyperlink>
    </w:p>
    <w:bookmarkEnd w:id="121"/>
    <w:bookmarkStart w:id="122" w:name="ref-Magnelia2008"/>
    <w:p>
      <w:pPr>
        <w:pStyle w:val="Bibliography"/>
      </w:pPr>
      <w:r>
        <w:t xml:space="preserve">Magnelia SJ, Jesus MJD, Schlechte JW, Cummings GC, Duty JL. 2008. Comparison of plastic pipe and juniper tree fish attractors in a central texas reservoir.</w:t>
      </w:r>
    </w:p>
    <w:bookmarkEnd w:id="122"/>
    <w:bookmarkStart w:id="124" w:name="ref-Mazlum2017"/>
    <w:p>
      <w:pPr>
        <w:pStyle w:val="Bibliography"/>
      </w:pPr>
      <w:r>
        <w:t xml:space="preserve">Mazlum Y, Guner Gurlek O, Sirin S. 2017. Effect of different substrates on survival and growth of juveniles of the freshwater narrow-clawed crayfish astacus leptodactylus eschscholtz, 1823 (decapoda, astacidae).</w:t>
      </w:r>
      <w:r>
        <w:t xml:space="preserve"> </w:t>
      </w:r>
      <w:r>
        <w:rPr>
          <w:i/>
          <w:iCs/>
        </w:rPr>
        <w:t xml:space="preserve">Crustaceana</w:t>
      </w:r>
      <w:r>
        <w:t xml:space="preserve"> </w:t>
      </w:r>
      <w:r>
        <w:rPr>
          <w:b/>
          <w:bCs/>
        </w:rPr>
        <w:t xml:space="preserve">90</w:t>
      </w:r>
      <w:r>
        <w:t xml:space="preserve">: 1289--1302. https://doi.org/</w:t>
      </w:r>
      <w:hyperlink r:id="rId123">
        <w:r>
          <w:rPr>
            <w:rStyle w:val="Hyperlink"/>
          </w:rPr>
          <w:t xml:space="preserve">10.1163/15685403-00003724</w:t>
        </w:r>
      </w:hyperlink>
    </w:p>
    <w:bookmarkEnd w:id="124"/>
    <w:bookmarkStart w:id="126"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 https://doi.org/</w:t>
      </w:r>
      <w:hyperlink r:id="rId125">
        <w:r>
          <w:rPr>
            <w:rStyle w:val="Hyperlink"/>
          </w:rPr>
          <w:t xml:space="preserve">10.1080/10641269509388566</w:t>
        </w:r>
      </w:hyperlink>
    </w:p>
    <w:bookmarkEnd w:id="126"/>
    <w:bookmarkStart w:id="128" w:name="ref-Olsson2009"/>
    <w:p>
      <w:pPr>
        <w:pStyle w:val="Bibliography"/>
      </w:pPr>
      <w:r>
        <w:t xml:space="preserve">Olsson K,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 </w:t>
      </w:r>
      <w:r>
        <w:rPr>
          <w:b/>
          <w:bCs/>
        </w:rPr>
        <w:t xml:space="preserve">54</w:t>
      </w:r>
      <w:r>
        <w:t xml:space="preserve">: 35–46. https://doi.org/</w:t>
      </w:r>
      <w:hyperlink r:id="rId127">
        <w:r>
          <w:rPr>
            <w:rStyle w:val="Hyperlink"/>
          </w:rPr>
          <w:t xml:space="preserve">10.1111/j.1365-2427.2008.02089.x</w:t>
        </w:r>
      </w:hyperlink>
    </w:p>
    <w:bookmarkEnd w:id="128"/>
    <w:bookmarkStart w:id="130" w:name="ref-Olsson2006"/>
    <w:p>
      <w:pPr>
        <w:pStyle w:val="Bibliography"/>
      </w:pPr>
      <w:r>
        <w:t xml:space="preserve">Olsson K, Stenroth P, Nyström P, Holmqvist N, McIntosh AR, Winterbourn MJ. 2006. Does natural acidity mediate interactions between introduced brown trout, native fish, crayfish and other invertebrates in west coast new zealand streams?</w:t>
      </w:r>
      <w:r>
        <w:t xml:space="preserve"> </w:t>
      </w:r>
      <w:r>
        <w:rPr>
          <w:i/>
          <w:iCs/>
        </w:rPr>
        <w:t xml:space="preserve">Biological Conservation</w:t>
      </w:r>
      <w:r>
        <w:t xml:space="preserve"> </w:t>
      </w:r>
      <w:r>
        <w:rPr>
          <w:b/>
          <w:bCs/>
        </w:rPr>
        <w:t xml:space="preserve">130</w:t>
      </w:r>
      <w:r>
        <w:t xml:space="preserve">: 255–267. https://doi.org/</w:t>
      </w:r>
      <w:hyperlink r:id="rId129">
        <w:r>
          <w:rPr>
            <w:rStyle w:val="Hyperlink"/>
          </w:rPr>
          <w:t xml:space="preserve">10.1016/j.biocon.2005.12.019</w:t>
        </w:r>
      </w:hyperlink>
    </w:p>
    <w:bookmarkEnd w:id="130"/>
    <w:bookmarkStart w:id="132" w:name="ref-Parkyn2001"/>
    <w:p>
      <w:pPr>
        <w:pStyle w:val="Bibliography"/>
      </w:pPr>
      <w:r>
        <w:t xml:space="preserve">Parkyn SM, Collier KJ, Hicks BJ. 2001. New zealand stream crayfish: Functional omnivores but trophic predators?</w:t>
      </w:r>
      <w:r>
        <w:t xml:space="preserve"> </w:t>
      </w:r>
      <w:r>
        <w:rPr>
          <w:i/>
          <w:iCs/>
        </w:rPr>
        <w:t xml:space="preserve">Freshwater Biology</w:t>
      </w:r>
      <w:r>
        <w:t xml:space="preserve"> </w:t>
      </w:r>
      <w:r>
        <w:rPr>
          <w:b/>
          <w:bCs/>
        </w:rPr>
        <w:t xml:space="preserve">46</w:t>
      </w:r>
      <w:r>
        <w:t xml:space="preserve">: 641–652. https://doi.org/</w:t>
      </w:r>
      <w:hyperlink r:id="rId131">
        <w:r>
          <w:rPr>
            <w:rStyle w:val="Hyperlink"/>
          </w:rPr>
          <w:t xml:space="preserve">10.1046/j.1365-2427.2001.00702.x</w:t>
        </w:r>
      </w:hyperlink>
    </w:p>
    <w:bookmarkEnd w:id="132"/>
    <w:bookmarkStart w:id="134" w:name="ref-Parkyn2009"/>
    <w:p>
      <w:pPr>
        <w:pStyle w:val="Bibliography"/>
      </w:pPr>
      <w:r>
        <w:t xml:space="preserve">Parkyn SM, Meleason MA,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 https://doi.org/</w:t>
      </w:r>
      <w:hyperlink r:id="rId133">
        <w:r>
          <w:rPr>
            <w:rStyle w:val="Hyperlink"/>
          </w:rPr>
          <w:t xml:space="preserve">10.1080/00288330909510034</w:t>
        </w:r>
      </w:hyperlink>
    </w:p>
    <w:bookmarkEnd w:id="134"/>
    <w:bookmarkStart w:id="136" w:name="ref-Percival2010"/>
    <w:p>
      <w:pPr>
        <w:pStyle w:val="Bibliography"/>
      </w:pPr>
      <w:r>
        <w:t xml:space="preserve">Percival D, Moore P. 2010. Shelter size influences self-assessment of size in crayfish, orconectes rusticus: Consequences for agonistic fights.</w:t>
      </w:r>
      <w:r>
        <w:t xml:space="preserve"> </w:t>
      </w:r>
      <w:r>
        <w:rPr>
          <w:i/>
          <w:iCs/>
        </w:rPr>
        <w:t xml:space="preserve">Behaviour</w:t>
      </w:r>
      <w:r>
        <w:t xml:space="preserve"> </w:t>
      </w:r>
      <w:r>
        <w:rPr>
          <w:b/>
          <w:bCs/>
        </w:rPr>
        <w:t xml:space="preserve">147</w:t>
      </w:r>
      <w:r>
        <w:t xml:space="preserve">: 103–119. https://doi.org/</w:t>
      </w:r>
      <w:hyperlink r:id="rId135">
        <w:r>
          <w:rPr>
            <w:rStyle w:val="Hyperlink"/>
          </w:rPr>
          <w:t xml:space="preserve">10.1163/000579509x12512685881053</w:t>
        </w:r>
      </w:hyperlink>
    </w:p>
    <w:bookmarkEnd w:id="136"/>
    <w:bookmarkStart w:id="138" w:name="ref-Pirtle2012"/>
    <w:p>
      <w:pPr>
        <w:pStyle w:val="Bibliography"/>
      </w:pPr>
      <w:r>
        <w:t xml:space="preserve">Pirtle JL, Eckert GL, Stoner AW. 2012. Habitat structure influences the survival and predator-prey interactions of early juvenile red king crab</w:t>
      </w:r>
      <w:r>
        <w:t xml:space="preserve"> </w:t>
      </w:r>
      <w:r>
        <w:rPr>
          <w:i/>
          <w:iCs/>
        </w:rPr>
        <w:t xml:space="preserve">paralithodes camtschaticus</w:t>
      </w:r>
      <w:r>
        <w:t xml:space="preserve">.</w:t>
      </w:r>
      <w:r>
        <w:t xml:space="preserve"> </w:t>
      </w:r>
      <w:r>
        <w:rPr>
          <w:i/>
          <w:iCs/>
        </w:rPr>
        <w:t xml:space="preserve">Marine Ecology Progress Series</w:t>
      </w:r>
      <w:r>
        <w:t xml:space="preserve"> </w:t>
      </w:r>
      <w:r>
        <w:rPr>
          <w:b/>
          <w:bCs/>
        </w:rPr>
        <w:t xml:space="preserve">465</w:t>
      </w:r>
      <w:r>
        <w:t xml:space="preserve">: 169–184. https://doi.org/</w:t>
      </w:r>
      <w:hyperlink r:id="rId137">
        <w:r>
          <w:rPr>
            <w:rStyle w:val="Hyperlink"/>
          </w:rPr>
          <w:t xml:space="preserve">10.3354/meps09883</w:t>
        </w:r>
      </w:hyperlink>
    </w:p>
    <w:bookmarkEnd w:id="138"/>
    <w:bookmarkStart w:id="139"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39"/>
    <w:bookmarkStart w:id="140" w:name="ref-Ranta1993"/>
    <w:p>
      <w:pPr>
        <w:pStyle w:val="Bibliography"/>
      </w:pPr>
      <w:r>
        <w:t xml:space="preserve">Ranta E, Lindström K. 1993. Body size and shelter possession in mature signal crayfish,</w:t>
      </w:r>
      <w:r>
        <w:t xml:space="preserve"> </w:t>
      </w:r>
      <w: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40"/>
    <w:bookmarkStart w:id="142" w:name="ref-Raveninreviewa"/>
    <w:p>
      <w:pPr>
        <w:pStyle w:val="Bibliography"/>
      </w:pPr>
      <w:r>
        <w:t xml:space="preserve">Raven OV, Burdon FJ, Kusabs IAK, Holmes R, Özkundakci D. (a) in review.</w:t>
      </w:r>
      <w:r>
        <w:t xml:space="preserve"> </w:t>
      </w:r>
      <w:hyperlink r:id="rId141">
        <w:r>
          <w:rPr>
            <w:rStyle w:val="Hyperlink"/>
          </w:rPr>
          <w:t xml:space="preserve">Littoral habitat structure influences freshwater crayfish populations in five volcanic lakes of aotearoa new zealand</w:t>
        </w:r>
      </w:hyperlink>
      <w:r>
        <w:t xml:space="preserve">.</w:t>
      </w:r>
    </w:p>
    <w:bookmarkEnd w:id="142"/>
    <w:bookmarkStart w:id="144" w:name="ref-Raveninreviewb"/>
    <w:p>
      <w:pPr>
        <w:pStyle w:val="Bibliography"/>
      </w:pPr>
      <w:r>
        <w:t xml:space="preserve">Raven OV, MacNeil C, Lee F, Holmes R, Kusabs IAK, Burdon FJ, Özkundakci D. (b) in review.</w:t>
      </w:r>
      <w:r>
        <w:t xml:space="preserve"> </w:t>
      </w:r>
      <w:hyperlink r:id="rId143">
        <w:r>
          <w:rPr>
            <w:rStyle w:val="Hyperlink"/>
          </w:rPr>
          <w:t xml:space="preserve">Fear of the new: A predatory invader may provoke stronger non-consumptive effects on a keystone native prey than a native predator</w:t>
        </w:r>
      </w:hyperlink>
      <w:r>
        <w:t xml:space="preserve">.</w:t>
      </w:r>
    </w:p>
    <w:bookmarkEnd w:id="144"/>
    <w:bookmarkStart w:id="146" w:name="ref-Reynolds2013"/>
    <w:p>
      <w:pPr>
        <w:pStyle w:val="Bibliography"/>
      </w:pPr>
      <w:r>
        <w:t xml:space="preserve">Reynolds J, Souty-Grosset C, Alastair A. 2013. Ecological roles of crayfish in freshwater and terrestrial habitats.</w:t>
      </w:r>
      <w:r>
        <w:t xml:space="preserve"> </w:t>
      </w:r>
      <w:r>
        <w:rPr>
          <w:i/>
          <w:iCs/>
        </w:rPr>
        <w:t xml:space="preserve">Freshwater Crayfish</w:t>
      </w:r>
      <w:r>
        <w:t xml:space="preserve"> </w:t>
      </w:r>
      <w:r>
        <w:rPr>
          <w:b/>
          <w:bCs/>
        </w:rPr>
        <w:t xml:space="preserve">19</w:t>
      </w:r>
      <w:r>
        <w:t xml:space="preserve">: 197–218. https://doi.org/</w:t>
      </w:r>
      <w:hyperlink r:id="rId145">
        <w:r>
          <w:rPr>
            <w:rStyle w:val="Hyperlink"/>
          </w:rPr>
          <w:t xml:space="preserve">2010.5869/fc.2013.v19-2.197</w:t>
        </w:r>
      </w:hyperlink>
    </w:p>
    <w:bookmarkEnd w:id="146"/>
    <w:bookmarkStart w:id="148" w:name="ref-Richman2015"/>
    <w:p>
      <w:pPr>
        <w:pStyle w:val="Bibliography"/>
      </w:pPr>
      <w:r>
        <w:t xml:space="preserve">Richman NI, Böhm M, Adams SB, Alvarez F, Bergey EA, Bunn JJS, Burnham Q, Cordeiro J, Coughran J, Crandall KA, et al. 2015. Multiple drivers of decline in the global status of freshwater crayfish (decapoda: astacidea).</w:t>
      </w:r>
      <w:r>
        <w:t xml:space="preserve"> </w:t>
      </w:r>
      <w:r>
        <w:rPr>
          <w:i/>
          <w:iCs/>
        </w:rPr>
        <w:t xml:space="preserve">Philosophical Transactions of the Royal Society B: Biological Sciences</w:t>
      </w:r>
      <w:r>
        <w:t xml:space="preserve"> </w:t>
      </w:r>
      <w:r>
        <w:rPr>
          <w:b/>
          <w:bCs/>
        </w:rPr>
        <w:t xml:space="preserve">370</w:t>
      </w:r>
      <w:r>
        <w:t xml:space="preserve">: 20140060. https://doi.org/</w:t>
      </w:r>
      <w:hyperlink r:id="rId147">
        <w:r>
          <w:rPr>
            <w:rStyle w:val="Hyperlink"/>
          </w:rPr>
          <w:t xml:space="preserve">10.1098/rstb.2014.0060</w:t>
        </w:r>
      </w:hyperlink>
    </w:p>
    <w:bookmarkEnd w:id="148"/>
    <w:bookmarkStart w:id="149"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49"/>
    <w:bookmarkStart w:id="150"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50"/>
    <w:bookmarkStart w:id="152" w:name="ref-Stewart2011"/>
    <w:p>
      <w:pPr>
        <w:pStyle w:val="Bibliography"/>
      </w:pPr>
      <w:r>
        <w:t xml:space="preserve">Stewart C, Tabak J. 2011. Size‐based dominance hierarchies in the new zealand freshwater crayfish (koura)</w:t>
      </w:r>
      <w:r>
        <w:t xml:space="preserve"> </w:t>
      </w:r>
      <w:r>
        <w:t xml:space="preserve">Paranephrops zealandicus</w:t>
      </w:r>
      <w:r>
        <w:t xml:space="preserve">.</w:t>
      </w:r>
      <w:r>
        <w:t xml:space="preserve"> </w:t>
      </w:r>
      <w:r>
        <w:rPr>
          <w:i/>
          <w:iCs/>
        </w:rPr>
        <w:t xml:space="preserve">New Zealand Journal of Marine and Freshwater Research</w:t>
      </w:r>
      <w:r>
        <w:t xml:space="preserve"> </w:t>
      </w:r>
      <w:r>
        <w:rPr>
          <w:b/>
          <w:bCs/>
        </w:rPr>
        <w:t xml:space="preserve">45</w:t>
      </w:r>
      <w:r>
        <w:t xml:space="preserve">: 281–285. https://doi.org/</w:t>
      </w:r>
      <w:hyperlink r:id="rId151">
        <w:r>
          <w:rPr>
            <w:rStyle w:val="Hyperlink"/>
          </w:rPr>
          <w:t xml:space="preserve">10.1080/00288330.2011.559661</w:t>
        </w:r>
      </w:hyperlink>
    </w:p>
    <w:bookmarkEnd w:id="152"/>
    <w:bookmarkStart w:id="154" w:name="ref-Streissl2002"/>
    <w:p>
      <w:pPr>
        <w:pStyle w:val="Bibliography"/>
      </w:pPr>
      <w:r>
        <w:t xml:space="preserve">Streissl F, Hödl W. 2002. Habitat and shelter requirements of the stone crayfish,</w:t>
      </w:r>
      <w:r>
        <w:t xml:space="preserve"> </w:t>
      </w:r>
      <w: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 https://doi.org/</w:t>
      </w:r>
      <w:hyperlink r:id="rId153">
        <w:r>
          <w:rPr>
            <w:rStyle w:val="Hyperlink"/>
          </w:rPr>
          <w:t xml:space="preserve">10.1023/A:1021094309738</w:t>
        </w:r>
      </w:hyperlink>
    </w:p>
    <w:bookmarkEnd w:id="154"/>
    <w:bookmarkStart w:id="156" w:name="ref-Takahashi2019"/>
    <w:p>
      <w:pPr>
        <w:pStyle w:val="Bibliography"/>
      </w:pPr>
      <w:r>
        <w:t xml:space="preserve">Takahashi K, Yamaguchi E, Fujiyama N, Nagayama T. 2019. The effects of quality of shelters and prior residence on marmorkrebs (marbled crayfish).</w:t>
      </w:r>
      <w:r>
        <w:t xml:space="preserve"> </w:t>
      </w:r>
      <w:r>
        <w:rPr>
          <w:i/>
          <w:iCs/>
        </w:rPr>
        <w:t xml:space="preserve">Journal of Experimental Biology</w:t>
      </w:r>
      <w:r>
        <w:t xml:space="preserve">. https://doi.org/</w:t>
      </w:r>
      <w:hyperlink r:id="rId155">
        <w:r>
          <w:rPr>
            <w:rStyle w:val="Hyperlink"/>
          </w:rPr>
          <w:t xml:space="preserve">10.1242/jeb.197301</w:t>
        </w:r>
      </w:hyperlink>
    </w:p>
    <w:bookmarkEnd w:id="156"/>
    <w:bookmarkStart w:id="158" w:name="ref-Tank1996"/>
    <w:p>
      <w:pPr>
        <w:pStyle w:val="Bibliography"/>
      </w:pPr>
      <w:r>
        <w:t xml:space="preserve">Tank JL, Winterbourn MJ. 1996. Microbial activity and invertebrate colonisation of wood in a new zealand forest stream.</w:t>
      </w:r>
      <w:r>
        <w:t xml:space="preserve"> </w:t>
      </w:r>
      <w:r>
        <w:rPr>
          <w:i/>
          <w:iCs/>
        </w:rPr>
        <w:t xml:space="preserve">New Zealand Journal of Marine and Freshwater Research</w:t>
      </w:r>
      <w:r>
        <w:t xml:space="preserve"> </w:t>
      </w:r>
      <w:r>
        <w:rPr>
          <w:b/>
          <w:bCs/>
        </w:rPr>
        <w:t xml:space="preserve">30</w:t>
      </w:r>
      <w:r>
        <w:t xml:space="preserve">: 271–280. https://doi.org/</w:t>
      </w:r>
      <w:hyperlink r:id="rId157">
        <w:r>
          <w:rPr>
            <w:rStyle w:val="Hyperlink"/>
          </w:rPr>
          <w:t xml:space="preserve">10.1080/00288330.1996.9516714</w:t>
        </w:r>
      </w:hyperlink>
    </w:p>
    <w:bookmarkEnd w:id="158"/>
    <w:bookmarkStart w:id="160" w:name="ref-Usio2000"/>
    <w:p>
      <w:pPr>
        <w:pStyle w:val="Bibliography"/>
      </w:pPr>
      <w:r>
        <w:t xml:space="preserve">Usio N, Townsend CR. 2000. Distribution of the new zealand crayfish</w:t>
      </w:r>
      <w:r>
        <w:t xml:space="preserve"> </w:t>
      </w:r>
      <w: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 https://doi.org/</w:t>
      </w:r>
      <w:hyperlink r:id="rId159">
        <w:r>
          <w:rPr>
            <w:rStyle w:val="Hyperlink"/>
          </w:rPr>
          <w:t xml:space="preserve">10.1080/00288330.2000.9516957</w:t>
        </w:r>
      </w:hyperlink>
    </w:p>
    <w:bookmarkEnd w:id="160"/>
    <w:bookmarkStart w:id="162" w:name="ref-Wehi2017"/>
    <w:p>
      <w:pPr>
        <w:pStyle w:val="Bibliography"/>
      </w:pPr>
      <w:r>
        <w:t xml:space="preserve">Wehi PM, Lord JM. 2017. Importance of including cultural practices in ecological restoration.</w:t>
      </w:r>
      <w:r>
        <w:t xml:space="preserve"> </w:t>
      </w:r>
      <w:r>
        <w:rPr>
          <w:i/>
          <w:iCs/>
        </w:rPr>
        <w:t xml:space="preserve">Conservation Biology</w:t>
      </w:r>
      <w:r>
        <w:t xml:space="preserve"> </w:t>
      </w:r>
      <w:r>
        <w:rPr>
          <w:b/>
          <w:bCs/>
        </w:rPr>
        <w:t xml:space="preserve">31</w:t>
      </w:r>
      <w:r>
        <w:t xml:space="preserve">: 1109–1118. https://doi.org/</w:t>
      </w:r>
      <w:hyperlink r:id="rId161">
        <w:r>
          <w:rPr>
            <w:rStyle w:val="Hyperlink"/>
          </w:rPr>
          <w:t xml:space="preserve">10.1111/cobi.12915</w:t>
        </w:r>
      </w:hyperlink>
    </w:p>
    <w:bookmarkEnd w:id="162"/>
    <w:bookmarkStart w:id="164" w:name="ref-Zhao2024"/>
    <w:p>
      <w:pPr>
        <w:pStyle w:val="Bibliography"/>
      </w:pPr>
      <w:r>
        <w:t xml:space="preserve">Zhao M, Feng G, Wang H, Shen C, Fu Y, Zhang Y, Zhang H, Yao Y, Chen J, Xu W. 2024. The influence of shelter type and coverage on crayfish (procambarus clarkii) predation by catfish (silurus asotus): A controlled environment study.</w:t>
      </w:r>
      <w:r>
        <w:t xml:space="preserve"> </w:t>
      </w:r>
      <w:r>
        <w:rPr>
          <w:i/>
          <w:iCs/>
        </w:rPr>
        <w:t xml:space="preserve">Animals</w:t>
      </w:r>
      <w:r>
        <w:t xml:space="preserve"> </w:t>
      </w:r>
      <w:r>
        <w:rPr>
          <w:b/>
          <w:bCs/>
        </w:rPr>
        <w:t xml:space="preserve">14</w:t>
      </w:r>
      <w:r>
        <w:t xml:space="preserve">: 1147. https://doi.org/</w:t>
      </w:r>
      <w:hyperlink r:id="rId163">
        <w:r>
          <w:rPr>
            <w:rStyle w:val="Hyperlink"/>
          </w:rPr>
          <w:t xml:space="preserve">10.3390/ani14081147</w:t>
        </w:r>
      </w:hyperlink>
    </w:p>
    <w:bookmarkEnd w:id="164"/>
    <w:bookmarkStart w:id="166" w:name="ref-ZimmerFaust1987"/>
    <w:p>
      <w:pPr>
        <w:pStyle w:val="Bibliography"/>
      </w:pPr>
      <w:r>
        <w:t xml:space="preserve">Zimmer-Faust RK, Spanier E. 1987. Gregariousness and sociality in spiny lobsters: Implications for den habitation.</w:t>
      </w:r>
      <w:r>
        <w:t xml:space="preserve"> </w:t>
      </w:r>
      <w:r>
        <w:rPr>
          <w:i/>
          <w:iCs/>
        </w:rPr>
        <w:t xml:space="preserve">Journal of Experimental Marine Biology and Ecology</w:t>
      </w:r>
      <w:r>
        <w:t xml:space="preserve"> </w:t>
      </w:r>
      <w:r>
        <w:rPr>
          <w:b/>
          <w:bCs/>
        </w:rPr>
        <w:t xml:space="preserve">105</w:t>
      </w:r>
      <w:r>
        <w:t xml:space="preserve">: 57–71. https://doi.org/</w:t>
      </w:r>
      <w:hyperlink r:id="rId165">
        <w:r>
          <w:rPr>
            <w:rStyle w:val="Hyperlink"/>
          </w:rPr>
          <w:t xml:space="preserve">10.1016/s0022-0981(87)80029-1</w:t>
        </w:r>
      </w:hyperlink>
    </w:p>
    <w:bookmarkEnd w:id="166"/>
    <w:bookmarkEnd w:id="167"/>
    <w:bookmarkEnd w:id="168"/>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C250F0"/>
    <w:rsid w:val="00E2075A"/>
    <w:rsid w:val="00E73879"/>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FB5FD4"/>
    <w:pPr>
      <w:keepNext/>
      <w:keepLines/>
      <w:spacing w:after="120" w:before="12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FB5FD4"/>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hyperlink" Id="rId48" Target="https://OlivierRaven.github.io/4.Mesocosm_study/index.qmd.html" TargetMode="External" /><Relationship Type="http://schemas.openxmlformats.org/officeDocument/2006/relationships/hyperlink" Id="rId71" Target="https://cran.r-project.org/web/packages/brms/index.html" TargetMode="External" /><Relationship Type="http://schemas.openxmlformats.org/officeDocument/2006/relationships/hyperlink" Id="rId94" Target="https://doi.org/10.1002/aqc.4152" TargetMode="External" /><Relationship Type="http://schemas.openxmlformats.org/officeDocument/2006/relationships/hyperlink" Id="rId75" Target="https://doi.org/10.1006/anbe.2001.1760" TargetMode="External" /><Relationship Type="http://schemas.openxmlformats.org/officeDocument/2006/relationships/hyperlink" Id="rId67" Target="https://doi.org/10.1007/s00267-013-0197-3" TargetMode="External" /><Relationship Type="http://schemas.openxmlformats.org/officeDocument/2006/relationships/hyperlink" Id="rId112" Target="https://doi.org/10.1007/s10530-026-03852-0" TargetMode="External" /><Relationship Type="http://schemas.openxmlformats.org/officeDocument/2006/relationships/hyperlink" Id="rId107" Target="https://doi.org/10.1007/s10750-007-9108-z" TargetMode="External" /><Relationship Type="http://schemas.openxmlformats.org/officeDocument/2006/relationships/hyperlink" Id="rId98" Target="https://doi.org/10.1016/j.aquaculture.2005.05.032" TargetMode="External" /><Relationship Type="http://schemas.openxmlformats.org/officeDocument/2006/relationships/hyperlink" Id="rId129" Target="https://doi.org/10.1016/j.biocon.2005.12.019" TargetMode="External" /><Relationship Type="http://schemas.openxmlformats.org/officeDocument/2006/relationships/hyperlink" Id="rId104" Target="https://doi.org/10.1016/j.ecoleng.2020.105994" TargetMode="External" /><Relationship Type="http://schemas.openxmlformats.org/officeDocument/2006/relationships/hyperlink" Id="rId110" Target="https://doi.org/10.1016/j.fishres.2015.03.015" TargetMode="External" /><Relationship Type="http://schemas.openxmlformats.org/officeDocument/2006/relationships/hyperlink" Id="rId165" Target="https://doi.org/10.1016/s0022-0981(87)80029-1" TargetMode="External" /><Relationship Type="http://schemas.openxmlformats.org/officeDocument/2006/relationships/hyperlink" Id="rId92" Target="https://doi.org/10.1016/s0044-8486(99)00114-3" TargetMode="External" /><Relationship Type="http://schemas.openxmlformats.org/officeDocument/2006/relationships/hyperlink" Id="rId102" Target="https://doi.org/10.1016/s0165-7836(97)00046-5" TargetMode="External" /><Relationship Type="http://schemas.openxmlformats.org/officeDocument/2006/relationships/hyperlink" Id="rId86" Target="https://doi.org/10.1017/s1464793105006950" TargetMode="External" /><Relationship Type="http://schemas.openxmlformats.org/officeDocument/2006/relationships/hyperlink" Id="rId153" Target="https://doi.org/10.1023/A:1021094309738" TargetMode="External" /><Relationship Type="http://schemas.openxmlformats.org/officeDocument/2006/relationships/hyperlink" Id="rId131" Target="https://doi.org/10.1046/j.1365-2427.2001.00702.x" TargetMode="External" /><Relationship Type="http://schemas.openxmlformats.org/officeDocument/2006/relationships/hyperlink" Id="rId120" Target="https://doi.org/10.1051/kmae/2025022" TargetMode="External" /><Relationship Type="http://schemas.openxmlformats.org/officeDocument/2006/relationships/hyperlink" Id="rId116" Target="https://doi.org/10.1071/MF14148" TargetMode="External" /><Relationship Type="http://schemas.openxmlformats.org/officeDocument/2006/relationships/hyperlink" Id="rId157" Target="https://doi.org/10.1080/00288330.1996.9516714" TargetMode="External" /><Relationship Type="http://schemas.openxmlformats.org/officeDocument/2006/relationships/hyperlink" Id="rId159" Target="https://doi.org/10.1080/00288330.2000.9516957" TargetMode="External" /><Relationship Type="http://schemas.openxmlformats.org/officeDocument/2006/relationships/hyperlink" Id="rId151" Target="https://doi.org/10.1080/00288330.2011.559661" TargetMode="External" /><Relationship Type="http://schemas.openxmlformats.org/officeDocument/2006/relationships/hyperlink" Id="rId77" Target="https://doi.org/10.1080/00288330.2018.1539404" TargetMode="External" /><Relationship Type="http://schemas.openxmlformats.org/officeDocument/2006/relationships/hyperlink" Id="rId133" Target="https://doi.org/10.1080/00288330909510034" TargetMode="External" /><Relationship Type="http://schemas.openxmlformats.org/officeDocument/2006/relationships/hyperlink" Id="rId114" Target="https://doi.org/10.1080/00288330909510036" TargetMode="External" /><Relationship Type="http://schemas.openxmlformats.org/officeDocument/2006/relationships/hyperlink" Id="rId90" Target="https://doi.org/10.1080/10236240500376477" TargetMode="External" /><Relationship Type="http://schemas.openxmlformats.org/officeDocument/2006/relationships/hyperlink" Id="rId100" Target="https://doi.org/10.1080/10236240701562412" TargetMode="External" /><Relationship Type="http://schemas.openxmlformats.org/officeDocument/2006/relationships/hyperlink" Id="rId125" Target="https://doi.org/10.1080/10641269509388566" TargetMode="External" /><Relationship Type="http://schemas.openxmlformats.org/officeDocument/2006/relationships/hyperlink" Id="rId147" Target="https://doi.org/10.1098/rstb.2014.0060" TargetMode="External" /><Relationship Type="http://schemas.openxmlformats.org/officeDocument/2006/relationships/hyperlink" Id="rId161" Target="https://doi.org/10.1111/cobi.12915" TargetMode="External" /><Relationship Type="http://schemas.openxmlformats.org/officeDocument/2006/relationships/hyperlink" Id="rId127" Target="https://doi.org/10.1111/j.1365-2427.2008.02089.x" TargetMode="External" /><Relationship Type="http://schemas.openxmlformats.org/officeDocument/2006/relationships/hyperlink" Id="rId82" Target="https://doi.org/10.1139/facets-2022-0210" TargetMode="External" /><Relationship Type="http://schemas.openxmlformats.org/officeDocument/2006/relationships/hyperlink" Id="rId135" Target="https://doi.org/10.1163/000579509x12512685881053" TargetMode="External" /><Relationship Type="http://schemas.openxmlformats.org/officeDocument/2006/relationships/hyperlink" Id="rId79" Target="https://doi.org/10.1163/1568539x-00003463" TargetMode="External" /><Relationship Type="http://schemas.openxmlformats.org/officeDocument/2006/relationships/hyperlink" Id="rId123" Target="https://doi.org/10.1163/15685403-00003724" TargetMode="External" /><Relationship Type="http://schemas.openxmlformats.org/officeDocument/2006/relationships/hyperlink" Id="rId96" Target="https://doi.org/10.1214/ss/1177011136" TargetMode="External" /><Relationship Type="http://schemas.openxmlformats.org/officeDocument/2006/relationships/hyperlink" Id="rId155" Target="https://doi.org/10.1242/jeb.197301" TargetMode="External" /><Relationship Type="http://schemas.openxmlformats.org/officeDocument/2006/relationships/hyperlink" Id="rId65" Target="https://doi.org/10.1674/0003-0031(2007)158[85:daieoc]2.0.co;2" TargetMode="External" /><Relationship Type="http://schemas.openxmlformats.org/officeDocument/2006/relationships/hyperlink" Id="rId69" Target="https://doi.org/10.2307/1939360" TargetMode="External" /><Relationship Type="http://schemas.openxmlformats.org/officeDocument/2006/relationships/hyperlink" Id="rId88" Target="https://doi.org/10.32614/cran.package.xnomial" TargetMode="External" /><Relationship Type="http://schemas.openxmlformats.org/officeDocument/2006/relationships/hyperlink" Id="rId137" Target="https://doi.org/10.3354/meps09883" TargetMode="External" /><Relationship Type="http://schemas.openxmlformats.org/officeDocument/2006/relationships/hyperlink" Id="rId73" Target="https://doi.org/10.3354/meps188179" TargetMode="External" /><Relationship Type="http://schemas.openxmlformats.org/officeDocument/2006/relationships/hyperlink" Id="rId84" Target="https://doi.org/10.3389/fmars.2023.1213790" TargetMode="External" /><Relationship Type="http://schemas.openxmlformats.org/officeDocument/2006/relationships/hyperlink" Id="rId163" Target="https://doi.org/10.3390/ani14081147" TargetMode="External" /><Relationship Type="http://schemas.openxmlformats.org/officeDocument/2006/relationships/hyperlink" Id="rId118" Target="https://doi.org/10.5194/we-25-221-2025" TargetMode="External" /><Relationship Type="http://schemas.openxmlformats.org/officeDocument/2006/relationships/hyperlink" Id="rId145" Target="https://doi.org/2010.5869/fc.2013.v19-2.197" TargetMode="External" /><Relationship Type="http://schemas.openxmlformats.org/officeDocument/2006/relationships/hyperlink" Id="rId141" Target="https://olivierraven.github.io/Koura_shoreline_habitats/" TargetMode="External" /><Relationship Type="http://schemas.openxmlformats.org/officeDocument/2006/relationships/hyperlink" Id="rId143" Target="https://olivierraven.github.io/NCE_Koura_catfish/" TargetMode="External" /></Relationships>
</file>

<file path=word/_rels/footnotes.xml.rels><?xml version="1.0" encoding="UTF-8"?><Relationships xmlns="http://schemas.openxmlformats.org/package/2006/relationships"><Relationship Type="http://schemas.openxmlformats.org/officeDocument/2006/relationships/hyperlink" Id="rId48" Target="https://OlivierRaven.github.io/4.Mesocosm_study/index.qmd.html" TargetMode="External" /><Relationship Type="http://schemas.openxmlformats.org/officeDocument/2006/relationships/hyperlink" Id="rId71" Target="https://cran.r-project.org/web/packages/brms/index.html" TargetMode="External" /><Relationship Type="http://schemas.openxmlformats.org/officeDocument/2006/relationships/hyperlink" Id="rId94" Target="https://doi.org/10.1002/aqc.4152" TargetMode="External" /><Relationship Type="http://schemas.openxmlformats.org/officeDocument/2006/relationships/hyperlink" Id="rId75" Target="https://doi.org/10.1006/anbe.2001.1760" TargetMode="External" /><Relationship Type="http://schemas.openxmlformats.org/officeDocument/2006/relationships/hyperlink" Id="rId67" Target="https://doi.org/10.1007/s00267-013-0197-3" TargetMode="External" /><Relationship Type="http://schemas.openxmlformats.org/officeDocument/2006/relationships/hyperlink" Id="rId112" Target="https://doi.org/10.1007/s10530-026-03852-0" TargetMode="External" /><Relationship Type="http://schemas.openxmlformats.org/officeDocument/2006/relationships/hyperlink" Id="rId107" Target="https://doi.org/10.1007/s10750-007-9108-z" TargetMode="External" /><Relationship Type="http://schemas.openxmlformats.org/officeDocument/2006/relationships/hyperlink" Id="rId98" Target="https://doi.org/10.1016/j.aquaculture.2005.05.032" TargetMode="External" /><Relationship Type="http://schemas.openxmlformats.org/officeDocument/2006/relationships/hyperlink" Id="rId129" Target="https://doi.org/10.1016/j.biocon.2005.12.019" TargetMode="External" /><Relationship Type="http://schemas.openxmlformats.org/officeDocument/2006/relationships/hyperlink" Id="rId104" Target="https://doi.org/10.1016/j.ecoleng.2020.105994" TargetMode="External" /><Relationship Type="http://schemas.openxmlformats.org/officeDocument/2006/relationships/hyperlink" Id="rId110" Target="https://doi.org/10.1016/j.fishres.2015.03.015" TargetMode="External" /><Relationship Type="http://schemas.openxmlformats.org/officeDocument/2006/relationships/hyperlink" Id="rId165" Target="https://doi.org/10.1016/s0022-0981(87)80029-1" TargetMode="External" /><Relationship Type="http://schemas.openxmlformats.org/officeDocument/2006/relationships/hyperlink" Id="rId92" Target="https://doi.org/10.1016/s0044-8486(99)00114-3" TargetMode="External" /><Relationship Type="http://schemas.openxmlformats.org/officeDocument/2006/relationships/hyperlink" Id="rId102" Target="https://doi.org/10.1016/s0165-7836(97)00046-5" TargetMode="External" /><Relationship Type="http://schemas.openxmlformats.org/officeDocument/2006/relationships/hyperlink" Id="rId86" Target="https://doi.org/10.1017/s1464793105006950" TargetMode="External" /><Relationship Type="http://schemas.openxmlformats.org/officeDocument/2006/relationships/hyperlink" Id="rId153" Target="https://doi.org/10.1023/A:1021094309738" TargetMode="External" /><Relationship Type="http://schemas.openxmlformats.org/officeDocument/2006/relationships/hyperlink" Id="rId131" Target="https://doi.org/10.1046/j.1365-2427.2001.00702.x" TargetMode="External" /><Relationship Type="http://schemas.openxmlformats.org/officeDocument/2006/relationships/hyperlink" Id="rId120" Target="https://doi.org/10.1051/kmae/2025022" TargetMode="External" /><Relationship Type="http://schemas.openxmlformats.org/officeDocument/2006/relationships/hyperlink" Id="rId116" Target="https://doi.org/10.1071/MF14148" TargetMode="External" /><Relationship Type="http://schemas.openxmlformats.org/officeDocument/2006/relationships/hyperlink" Id="rId157" Target="https://doi.org/10.1080/00288330.1996.9516714" TargetMode="External" /><Relationship Type="http://schemas.openxmlformats.org/officeDocument/2006/relationships/hyperlink" Id="rId159" Target="https://doi.org/10.1080/00288330.2000.9516957" TargetMode="External" /><Relationship Type="http://schemas.openxmlformats.org/officeDocument/2006/relationships/hyperlink" Id="rId151" Target="https://doi.org/10.1080/00288330.2011.559661" TargetMode="External" /><Relationship Type="http://schemas.openxmlformats.org/officeDocument/2006/relationships/hyperlink" Id="rId77" Target="https://doi.org/10.1080/00288330.2018.1539404" TargetMode="External" /><Relationship Type="http://schemas.openxmlformats.org/officeDocument/2006/relationships/hyperlink" Id="rId133" Target="https://doi.org/10.1080/00288330909510034" TargetMode="External" /><Relationship Type="http://schemas.openxmlformats.org/officeDocument/2006/relationships/hyperlink" Id="rId114" Target="https://doi.org/10.1080/00288330909510036" TargetMode="External" /><Relationship Type="http://schemas.openxmlformats.org/officeDocument/2006/relationships/hyperlink" Id="rId90" Target="https://doi.org/10.1080/10236240500376477" TargetMode="External" /><Relationship Type="http://schemas.openxmlformats.org/officeDocument/2006/relationships/hyperlink" Id="rId100" Target="https://doi.org/10.1080/10236240701562412" TargetMode="External" /><Relationship Type="http://schemas.openxmlformats.org/officeDocument/2006/relationships/hyperlink" Id="rId125" Target="https://doi.org/10.1080/10641269509388566" TargetMode="External" /><Relationship Type="http://schemas.openxmlformats.org/officeDocument/2006/relationships/hyperlink" Id="rId147" Target="https://doi.org/10.1098/rstb.2014.0060" TargetMode="External" /><Relationship Type="http://schemas.openxmlformats.org/officeDocument/2006/relationships/hyperlink" Id="rId161" Target="https://doi.org/10.1111/cobi.12915" TargetMode="External" /><Relationship Type="http://schemas.openxmlformats.org/officeDocument/2006/relationships/hyperlink" Id="rId127" Target="https://doi.org/10.1111/j.1365-2427.2008.02089.x" TargetMode="External" /><Relationship Type="http://schemas.openxmlformats.org/officeDocument/2006/relationships/hyperlink" Id="rId82" Target="https://doi.org/10.1139/facets-2022-0210" TargetMode="External" /><Relationship Type="http://schemas.openxmlformats.org/officeDocument/2006/relationships/hyperlink" Id="rId135" Target="https://doi.org/10.1163/000579509x12512685881053" TargetMode="External" /><Relationship Type="http://schemas.openxmlformats.org/officeDocument/2006/relationships/hyperlink" Id="rId79" Target="https://doi.org/10.1163/1568539x-00003463" TargetMode="External" /><Relationship Type="http://schemas.openxmlformats.org/officeDocument/2006/relationships/hyperlink" Id="rId123" Target="https://doi.org/10.1163/15685403-00003724" TargetMode="External" /><Relationship Type="http://schemas.openxmlformats.org/officeDocument/2006/relationships/hyperlink" Id="rId96" Target="https://doi.org/10.1214/ss/1177011136" TargetMode="External" /><Relationship Type="http://schemas.openxmlformats.org/officeDocument/2006/relationships/hyperlink" Id="rId155" Target="https://doi.org/10.1242/jeb.197301" TargetMode="External" /><Relationship Type="http://schemas.openxmlformats.org/officeDocument/2006/relationships/hyperlink" Id="rId65" Target="https://doi.org/10.1674/0003-0031(2007)158[85:daieoc]2.0.co;2" TargetMode="External" /><Relationship Type="http://schemas.openxmlformats.org/officeDocument/2006/relationships/hyperlink" Id="rId69" Target="https://doi.org/10.2307/1939360" TargetMode="External" /><Relationship Type="http://schemas.openxmlformats.org/officeDocument/2006/relationships/hyperlink" Id="rId88" Target="https://doi.org/10.32614/cran.package.xnomial" TargetMode="External" /><Relationship Type="http://schemas.openxmlformats.org/officeDocument/2006/relationships/hyperlink" Id="rId137" Target="https://doi.org/10.3354/meps09883" TargetMode="External" /><Relationship Type="http://schemas.openxmlformats.org/officeDocument/2006/relationships/hyperlink" Id="rId73" Target="https://doi.org/10.3354/meps188179" TargetMode="External" /><Relationship Type="http://schemas.openxmlformats.org/officeDocument/2006/relationships/hyperlink" Id="rId84" Target="https://doi.org/10.3389/fmars.2023.1213790" TargetMode="External" /><Relationship Type="http://schemas.openxmlformats.org/officeDocument/2006/relationships/hyperlink" Id="rId163" Target="https://doi.org/10.3390/ani14081147" TargetMode="External" /><Relationship Type="http://schemas.openxmlformats.org/officeDocument/2006/relationships/hyperlink" Id="rId118" Target="https://doi.org/10.5194/we-25-221-2025" TargetMode="External" /><Relationship Type="http://schemas.openxmlformats.org/officeDocument/2006/relationships/hyperlink" Id="rId145" Target="https://doi.org/2010.5869/fc.2013.v19-2.197" TargetMode="External" /><Relationship Type="http://schemas.openxmlformats.org/officeDocument/2006/relationships/hyperlink" Id="rId141" Target="https://olivierraven.github.io/Koura_shoreline_habitats/" TargetMode="External" /><Relationship Type="http://schemas.openxmlformats.org/officeDocument/2006/relationships/hyperlink" Id="rId143" Target="https://olivierraven.github.io/NCE_Koura_cat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importance of structure: mesocosm evidence for shelter design in freshwater crayfish restoration</dc:title>
  <dc:creator/>
  <cp:keywords>Paranephrops planifrons, Artificial reef, Behaviour, Habitat preference, Aotearoa New Zealand</cp:keywords>
  <dcterms:created xsi:type="dcterms:W3CDTF">2026-06-19T03:59:01Z</dcterms:created>
  <dcterms:modified xsi:type="dcterms:W3CDTF">2026-06-19T03:59:01Z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