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AE0DD" w14:textId="1B63EDA2" w:rsidR="006E6F88" w:rsidRDefault="00EB6D1E">
      <w:pPr>
        <w:pStyle w:val="Title"/>
      </w:pPr>
      <w:commentRangeStart w:id="0"/>
      <w:commentRangeStart w:id="1"/>
      <w:commentRangeStart w:id="2"/>
      <w:commentRangeStart w:id="3"/>
      <w:r>
        <w:t xml:space="preserve">Structure </w:t>
      </w:r>
      <w:r w:rsidR="003D6DD1" w:rsidRPr="003D6DD1">
        <w:t>over material</w:t>
      </w:r>
      <w:r>
        <w:t xml:space="preserve">: mesocosm </w:t>
      </w:r>
      <w:r w:rsidR="001B285C">
        <w:t xml:space="preserve">evidence for </w:t>
      </w:r>
      <w:r>
        <w:t xml:space="preserve">shelter design </w:t>
      </w:r>
      <w:r w:rsidR="0084334E">
        <w:t>in</w:t>
      </w:r>
      <w:r>
        <w:t xml:space="preserve"> freshwater crayfish restoration</w:t>
      </w:r>
      <w:commentRangeEnd w:id="0"/>
      <w:r>
        <w:rPr>
          <w:rStyle w:val="CommentReference"/>
          <w:sz w:val="48"/>
          <w:szCs w:val="56"/>
        </w:rPr>
        <w:commentReference w:id="0"/>
      </w:r>
      <w:commentRangeEnd w:id="1"/>
      <w:r>
        <w:rPr>
          <w:rStyle w:val="CommentReference"/>
          <w:sz w:val="48"/>
          <w:szCs w:val="56"/>
        </w:rPr>
        <w:commentReference w:id="1"/>
      </w:r>
      <w:commentRangeEnd w:id="2"/>
      <w:r w:rsidR="007130EB">
        <w:rPr>
          <w:rStyle w:val="CommentReference"/>
          <w:sz w:val="48"/>
          <w:szCs w:val="56"/>
        </w:rPr>
        <w:commentReference w:id="2"/>
      </w:r>
      <w:commentRangeEnd w:id="3"/>
      <w:r w:rsidR="00E60F46">
        <w:rPr>
          <w:rStyle w:val="CommentReference"/>
          <w:sz w:val="48"/>
          <w:szCs w:val="56"/>
        </w:rPr>
        <w:commentReference w:id="3"/>
      </w:r>
    </w:p>
    <w:p w14:paraId="07C12D1E" w14:textId="77777777" w:rsidR="006E6F88" w:rsidRDefault="00EB6D1E">
      <w:r>
        <w:t>Olivier V. Raven</w:t>
      </w:r>
    </w:p>
    <w:p w14:paraId="18EC9F89" w14:textId="77777777" w:rsidR="006E6F88" w:rsidRDefault="00EB6D1E">
      <w:r>
        <w:t>Robin Holmes</w:t>
      </w:r>
    </w:p>
    <w:p w14:paraId="48B107C0" w14:textId="77777777" w:rsidR="006E6F88" w:rsidRDefault="00EB6D1E">
      <w:r>
        <w:t>Ian A. K. Kusabs</w:t>
      </w:r>
    </w:p>
    <w:p w14:paraId="4A833C29" w14:textId="77777777" w:rsidR="006E6F88" w:rsidRDefault="00EB6D1E">
      <w:r>
        <w:t>Francis J. Burdon</w:t>
      </w:r>
    </w:p>
    <w:p w14:paraId="27A7C62A" w14:textId="77777777" w:rsidR="006E6F88" w:rsidRDefault="00EB6D1E">
      <w:r>
        <w:t>Deniz Özkundakci</w:t>
      </w:r>
    </w:p>
    <w:p w14:paraId="6A6A07DB" w14:textId="111AF437" w:rsidR="006E6F88" w:rsidRDefault="00EB6D1E">
      <w:r>
        <w:t>2026-05-29</w:t>
      </w:r>
      <w:r w:rsidR="003A3A19">
        <w:t xml:space="preserve"> target journal: </w:t>
      </w:r>
      <w:commentRangeStart w:id="4"/>
      <w:commentRangeStart w:id="5"/>
      <w:r w:rsidR="003A3A19" w:rsidRPr="003A3A19">
        <w:rPr>
          <w:i/>
          <w:iCs/>
        </w:rPr>
        <w:t>Freshwater Biology</w:t>
      </w:r>
      <w:commentRangeEnd w:id="4"/>
      <w:r w:rsidR="0046787E">
        <w:rPr>
          <w:rStyle w:val="CommentReference"/>
          <w:sz w:val="22"/>
          <w:szCs w:val="22"/>
        </w:rPr>
        <w:commentReference w:id="4"/>
      </w:r>
      <w:commentRangeEnd w:id="5"/>
      <w:r w:rsidR="004911B5">
        <w:rPr>
          <w:rStyle w:val="CommentReference"/>
          <w:sz w:val="22"/>
          <w:szCs w:val="22"/>
        </w:rPr>
        <w:commentReference w:id="5"/>
      </w:r>
    </w:p>
    <w:p w14:paraId="00BC4B28" w14:textId="04E6DDDE" w:rsidR="006E6F88" w:rsidRPr="003C5FA1" w:rsidRDefault="00EB6D1E">
      <w:pPr>
        <w:rPr>
          <w:b/>
          <w:bCs/>
        </w:rPr>
      </w:pPr>
      <w:r w:rsidRPr="003C5FA1">
        <w:rPr>
          <w:b/>
          <w:bCs/>
        </w:rPr>
        <w:t>Abstract</w:t>
      </w:r>
    </w:p>
    <w:p w14:paraId="44848B60" w14:textId="277DC76A" w:rsidR="00563465" w:rsidRDefault="174255C5">
      <w:r>
        <w:t>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sidRPr="174255C5">
        <w:rPr>
          <w:i/>
          <w:iCs/>
        </w:rPr>
        <w:t>Paranephrops planifrons</w:t>
      </w:r>
      <w:r>
        <w:t>)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w:t>
      </w:r>
      <w:r w:rsidR="00953411">
        <w:t xml:space="preserve"> split</w:t>
      </w:r>
      <w:r>
        <w:t xml:space="preserve"> wood </w:t>
      </w:r>
      <w:r w:rsidR="00EA74A6">
        <w:t>pieces</w:t>
      </w:r>
      <w:r w:rsidR="000578CE">
        <w:t xml:space="preserve"> of similar </w:t>
      </w:r>
      <w:r w:rsidR="00241B96">
        <w:t>dimensions,</w:t>
      </w:r>
      <w:r w:rsidR="000578CE">
        <w:t xml:space="preserve"> </w:t>
      </w:r>
      <w:r>
        <w:t xml:space="preserve">and this was strongest for large individuals. When structural dimensions were held constant, no significant preference was detected between concrete and wooden brick structures, indicating that material composition alone does not drive refuge selection. These mesocosm findings suggest that </w:t>
      </w:r>
      <w:r w:rsidR="00255386">
        <w:t>stone pile</w:t>
      </w:r>
      <w:r>
        <w:t xml:space="preserve"> configurations warrant field evaluation as habitat enhancement structures for kōura restoration, given their potential to create structural complexity to provide for </w:t>
      </w:r>
      <w:r w:rsidR="00936F5D">
        <w:t>different</w:t>
      </w:r>
      <w:r>
        <w:t xml:space="preserve"> size classes.</w:t>
      </w:r>
    </w:p>
    <w:p w14:paraId="440F24AD" w14:textId="77777777" w:rsidR="006E6F88" w:rsidRDefault="00EB6D1E">
      <w:pPr>
        <w:pStyle w:val="Heading1"/>
      </w:pPr>
      <w:bookmarkStart w:id="6" w:name="introduction"/>
      <w:r>
        <w:t>Introduction</w:t>
      </w:r>
    </w:p>
    <w:p w14:paraId="13FECF3A" w14:textId="706F0B70" w:rsidR="006E6F88" w:rsidRDefault="00EB6D1E">
      <w:r>
        <w:t xml:space="preserve">Crayfish are among the most threatened freshwater invertebrates globally, with 32% of species assessed as threatened with extinction due to habitat loss, water quality decline, and invasive species (Richman et al., 2015). As keystone species and ecosystem engineers, crayfish play crucial roles in freshwater food webs through shredding of leaf litter, bioturbation of sediments, and </w:t>
      </w:r>
      <w:r>
        <w:lastRenderedPageBreak/>
        <w:t>nutrient cycling, and their loss can have profound cascading effects on freshwater ecosystems (Collier et al., 1997; Momot, 1995; Parkyn et al., 2001). The increasing degradation of freshwater habitats therefore not only threatens crayfish populations but also risks disrupting the ecosystem processes crayfish sustain.</w:t>
      </w:r>
    </w:p>
    <w:p w14:paraId="31609766" w14:textId="1D37EB8A" w:rsidR="006E6F88" w:rsidRPr="002D2CA5" w:rsidRDefault="0B7DB107" w:rsidP="174255C5">
      <w:pPr>
        <w:rPr>
          <w:rFonts w:cstheme="minorHAnsi"/>
        </w:rPr>
      </w:pPr>
      <w:r>
        <w:t xml:space="preserve">Habitat complexity is a key driver of crayfish population persistence, as structurally diverse habitats provide physical refugia from predators, foraging opportunities, and shelter during moulting when individuals are particularly vulnerable (Hammond et al., 2006). Shelter availability directly increases crayfish survival and growth under predation pressure (Adams, 2007),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 (Adams, 2014; Parkyn et al., 2009), </w:t>
      </w:r>
      <w:commentRangeStart w:id="7"/>
      <w:r>
        <w:t>demonstrating considerable flexibility in habitat use</w:t>
      </w:r>
      <w:commentRangeEnd w:id="7"/>
      <w:r w:rsidR="00563465">
        <w:rPr>
          <w:rStyle w:val="CommentReference"/>
          <w:sz w:val="22"/>
          <w:szCs w:val="22"/>
        </w:rPr>
        <w:commentReference w:id="7"/>
      </w:r>
      <w:r>
        <w:t>.</w:t>
      </w:r>
      <w:r w:rsidR="00AA3756">
        <w:t xml:space="preserve"> While </w:t>
      </w:r>
      <w:r w:rsidR="00AB46B4">
        <w:t xml:space="preserve">this diversity of potential </w:t>
      </w:r>
      <w:r w:rsidR="007E7F61" w:rsidRPr="007E7F61">
        <w:t xml:space="preserve">refugia </w:t>
      </w:r>
      <w:r w:rsidR="00AB46B4">
        <w:t>is well documented, preference</w:t>
      </w:r>
      <w:r w:rsidR="008803C6">
        <w:t>s</w:t>
      </w:r>
      <w:r w:rsidR="00AB46B4">
        <w:t xml:space="preserve"> among different structure ty</w:t>
      </w:r>
      <w:r w:rsidR="00A53275">
        <w:t>pes remains poorly understood</w:t>
      </w:r>
      <w:r w:rsidR="008803C6">
        <w:t>,</w:t>
      </w:r>
      <w:r>
        <w:t xml:space="preserve"> </w:t>
      </w:r>
      <w:r w:rsidR="00EE50BE">
        <w:t xml:space="preserve">even though </w:t>
      </w:r>
      <w:r w:rsidR="007D4CF7">
        <w:t>knowledge of habitat preference</w:t>
      </w:r>
      <w:r w:rsidR="008228B6">
        <w:t>s</w:t>
      </w:r>
      <w:r w:rsidR="007D4CF7">
        <w:t xml:space="preserve"> is </w:t>
      </w:r>
      <w:r w:rsidR="003F6F70" w:rsidRPr="003F6F70">
        <w:t>fundamental to designing effective enhancement structures for restoration</w:t>
      </w:r>
      <w:r w:rsidR="003F6F70">
        <w:t xml:space="preserve">. </w:t>
      </w:r>
      <w:r>
        <w:t xml:space="preserve">In the context of freshwater restoration, increasing structural complexity through providing shelters has improved crayfish abundance and restocking success in degraded streams and lakes (Huolila et al., 1997; Johnsen &amp; Taugbøl, 2008), and the availability of coarser </w:t>
      </w:r>
      <w:r w:rsidRPr="002D2CA5">
        <w:rPr>
          <w:rFonts w:cstheme="minorHAnsi"/>
        </w:rPr>
        <w:t>substrate has also been shown to improve juvenile survival rates (Mazlum et al., 2017). These findings indicate that enhancing habitat complexity can be a useful management tool for threatened crayfish populations</w:t>
      </w:r>
      <w:r w:rsidR="004323DD">
        <w:rPr>
          <w:rFonts w:cstheme="minorHAnsi"/>
        </w:rPr>
        <w:t xml:space="preserve">, yet </w:t>
      </w:r>
      <w:r w:rsidRPr="002D2CA5">
        <w:rPr>
          <w:rFonts w:cstheme="minorHAnsi"/>
        </w:rPr>
        <w:t>systematic comparisons of shelter configurations for freshwater crayfish restoration remain largely absent from the literature.</w:t>
      </w:r>
    </w:p>
    <w:p w14:paraId="619CE7CA" w14:textId="27E50C26" w:rsidR="006E6F88" w:rsidRDefault="0B7DB107">
      <w:r>
        <w:t>Shelter selection in crayfish is strongly influenced by body size, as individuals actively select refugia proportional to their dimensions. Crayfish individuals tend to select</w:t>
      </w:r>
      <w:r w:rsidR="009D7451">
        <w:t xml:space="preserve"> </w:t>
      </w:r>
      <w:r>
        <w:t xml:space="preserve">stones more than 3 times longer and 1.25 times wider than their carapace length, with larger males consistently selecting larger stones (Streissl &amp; Hödl, 2002).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 (Figler et al., 2005). </w:t>
      </w:r>
      <w:commentRangeStart w:id="8"/>
      <w:commentRangeStart w:id="9"/>
      <w:r w:rsidR="008B1646">
        <w:t xml:space="preserve">Body size and shelter dimensions have direct competitive consequences as crayfish in undersized shelters initiated and won more fights than those in appropriately sized shelters, suggesting that shelter fit influences an individual’s assessment of its own fighting ability </w:t>
      </w:r>
      <w:commentRangeEnd w:id="8"/>
      <w:r w:rsidR="00563465">
        <w:rPr>
          <w:rStyle w:val="CommentReference"/>
          <w:sz w:val="22"/>
          <w:szCs w:val="22"/>
        </w:rPr>
        <w:commentReference w:id="8"/>
      </w:r>
      <w:commentRangeEnd w:id="9"/>
      <w:r w:rsidR="006A6476">
        <w:rPr>
          <w:rStyle w:val="CommentReference"/>
          <w:sz w:val="22"/>
          <w:szCs w:val="22"/>
        </w:rPr>
        <w:commentReference w:id="9"/>
      </w:r>
      <w:r w:rsidR="008B1646">
        <w:t xml:space="preserve">(Percival &amp; Moore, 2010). </w:t>
      </w:r>
      <w:r>
        <w:t xml:space="preserve">Body weight ratio between contestants is a strong predictor of shelter takeover success, although prior ownership can offset size disadvantages (Ranta &amp; Lindström, 1993), particularly when both </w:t>
      </w:r>
      <w:r>
        <w:lastRenderedPageBreak/>
        <w:t>individuals hold high-quality shelters (Takahashi et al., 2019). At the population level, habitat complexity buffers these competitive effects, with juveniles in structurally complex habitats showing higher survival, faster growth, and greater moulting rates as more shelter availability reduces agonistic interactions (Olsson &amp; Nyström, 2009).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14:paraId="5B751203" w14:textId="77777777" w:rsidR="006E6F88" w:rsidRDefault="00EB6D1E">
      <w:r>
        <w:t>The material and structural properties of shelters influence their value as refugia. Studies comparing shelter configurations show that the availability and size of enclosed spaces matters more than total structure volume on reef fish assemblages (Hylkema et al., 2020). Additionally, enclosed structures such as PVC pipes provide greater protection against predatory fish than stone or vegetation structures, likely due to their consistent hole dimensions (Zhao et al., 2024). The use of synthetic materials like PVC pipes in restoration ecology brings ecological concerns, particularly in contexts where introducing non-native materials may conflict with conservation values or indigenous cultural frameworks (Cooke et al., 2023; Wehi &amp; Lord, 2017). Natural materials such as stones and wood offer ecologically compatible alternatives, yet the importance of structural configuration versus material composition for crayfish shelter preference remains largely unknown.</w:t>
      </w:r>
    </w:p>
    <w:p w14:paraId="3540F0EE" w14:textId="33FF9CE7" w:rsidR="006E6F88" w:rsidRDefault="0B7DB107">
      <w:r>
        <w:t>In Aotearoa-New Zealand (hereafter Aotearoa), the endemic freshwater crayfish kōura (</w:t>
      </w:r>
      <w:r w:rsidRPr="0B7DB107">
        <w:rPr>
          <w:i/>
          <w:iCs/>
        </w:rPr>
        <w:t>Paranephrops planifrons</w:t>
      </w:r>
      <w:r>
        <w:t>) faces conservation pressure from habitat loss, water quality degradation, and predation by invasive species (Lee et al., 2025</w:t>
      </w:r>
      <w:r w:rsidR="00E36A62">
        <w:t>;</w:t>
      </w:r>
      <w:r w:rsidR="00E36A62" w:rsidRPr="00E36A62">
        <w:t xml:space="preserve"> </w:t>
      </w:r>
      <w:r w:rsidR="00E36A62">
        <w:t>Kusabs et al., 2026</w:t>
      </w:r>
      <w:r>
        <w:t>). Kōura are taonga (culturally treasured) species for Māori, the indigenous people of Aotearoa, and hold significant ecological and cultural value in freshwater ecosystems (Kusabs &amp; Quinn, 2009</w:t>
      </w:r>
      <w:r w:rsidR="069261A7">
        <w:t xml:space="preserve">; Kusabs </w:t>
      </w:r>
      <w:r w:rsidR="4136D952">
        <w:t xml:space="preserve">et al. </w:t>
      </w:r>
      <w:r w:rsidR="7D17E3F6">
        <w:t>2015a</w:t>
      </w:r>
      <w:commentRangeStart w:id="10"/>
      <w:r w:rsidR="069261A7">
        <w:t>).</w:t>
      </w:r>
      <w:commentRangeEnd w:id="10"/>
      <w:r w:rsidR="00563465">
        <w:rPr>
          <w:rStyle w:val="CommentReference"/>
          <w:sz w:val="22"/>
          <w:szCs w:val="22"/>
        </w:rPr>
        <w:commentReference w:id="10"/>
      </w:r>
      <w:r>
        <w:t xml:space="preserve"> In their natural habitat, kōura are positively associated with overhanging banks, coarse substrates, and woody debris (</w:t>
      </w:r>
      <w:r w:rsidR="00F3709D">
        <w:t xml:space="preserve">Usio &amp; Townsend, 2000; </w:t>
      </w:r>
      <w:r>
        <w:t>Jowett et al., 2008; Parkyn et al., 2009; Raven et al., in review</w:t>
      </w:r>
      <w:r w:rsidR="00FB1F43">
        <w:t xml:space="preserve"> a</w:t>
      </w:r>
      <w:r>
        <w:t>). Kōura have been shown to significantly increase refuge use in the presence of predators (Raven et al., in</w:t>
      </w:r>
      <w:r w:rsidR="00F3709D" w:rsidRPr="00F3709D">
        <w:t xml:space="preserve"> </w:t>
      </w:r>
      <w:r w:rsidR="00F3709D">
        <w:t>review</w:t>
      </w:r>
      <w:r w:rsidR="00FB1F43">
        <w:t xml:space="preserve"> b</w:t>
      </w:r>
      <w:r>
        <w:t>; Shave et al., 1994). Habitat restoration by increasing shelter availability represents a promising management tool for kōura recovery, and the use of natural materials aligns with ecological and cultural values.</w:t>
      </w:r>
    </w:p>
    <w:p w14:paraId="1767AD42" w14:textId="77777777" w:rsidR="006E6F88" w:rsidRDefault="00EB6D1E">
      <w:r>
        <w:t>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w:t>
      </w:r>
      <w:r>
        <w:lastRenderedPageBreak/>
        <w:t>dependent, with larger kōura selecting structures with larger refuge spaces (Percival &amp; Moore, 2010; Streissl &amp; Hödl, 2002).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p w14:paraId="7F6E8BCC" w14:textId="77777777" w:rsidR="006E6F88" w:rsidRDefault="00EB6D1E">
      <w:pPr>
        <w:pStyle w:val="Heading1"/>
      </w:pPr>
      <w:bookmarkStart w:id="11" w:name="materials-and-methods"/>
      <w:bookmarkEnd w:id="6"/>
      <w:r>
        <w:t>Materials and Methods</w:t>
      </w:r>
    </w:p>
    <w:p w14:paraId="4EF6149C" w14:textId="77777777" w:rsidR="006E6F88" w:rsidRDefault="00EB6D1E">
      <w:pPr>
        <w:pStyle w:val="Heading2"/>
      </w:pPr>
      <w:bookmarkStart w:id="12" w:name="animal-collection-and-tank-setup"/>
      <w:r>
        <w:t>Animal collection and tank setup</w:t>
      </w:r>
    </w:p>
    <w:p w14:paraId="5181761E" w14:textId="77777777" w:rsidR="006E6F88" w:rsidRDefault="00EB6D1E">
      <w:r>
        <w:t>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 (Ramalho et al., 2010).</w:t>
      </w:r>
    </w:p>
    <w:p w14:paraId="6E9D47BE" w14:textId="342FCAD2" w:rsidR="006E6F88" w:rsidRDefault="00EB6D1E">
      <w:r>
        <w:t>Kōura were acclimatised for 12 days in outdoor concrete holding tanks (Ø 1.4 m), each filled to 0.4 m with dechlorinated tap water conditioned for three months</w:t>
      </w:r>
      <w:r w:rsidR="00DB116A">
        <w:t>,</w:t>
      </w:r>
      <w:r>
        <w:t xml:space="preserve"> </w:t>
      </w:r>
      <w:r w:rsidR="00DB116A">
        <w:t>p</w:t>
      </w:r>
      <w:r>
        <w:t xml:space="preserve">aving sand as substrate, and shelters </w:t>
      </w:r>
      <w:r w:rsidR="00DB116A">
        <w:t>of</w:t>
      </w:r>
      <w:r>
        <w:t xml:space="preserve"> PVC pipes, </w:t>
      </w:r>
      <w:r w:rsidR="00DB116A">
        <w:t xml:space="preserve">halved </w:t>
      </w:r>
      <w:r>
        <w:t>terracotta pots, and perforated building bricks</w:t>
      </w:r>
      <w:r w:rsidR="00503203">
        <w:t>,</w:t>
      </w:r>
      <w:r w:rsidR="00503203" w:rsidRPr="00503203">
        <w:t xml:space="preserve"> and covered with a single layer of shade cloth</w:t>
      </w:r>
      <w:r>
        <w:t>. Each holding tank housed 10–12 kōura. Kōura were fed every second day with commercial carnivore pellets (Hikari Tropical, Kyorin Food Industries Ltd., Japan; animal protein 47%).</w:t>
      </w:r>
    </w:p>
    <w:p w14:paraId="22D644FA" w14:textId="3701C50B" w:rsidR="006E6F88" w:rsidRDefault="0B7DB107" w:rsidP="0B7DB107">
      <w:r>
        <w:t>Experiments were c</w:t>
      </w:r>
      <w:commentRangeStart w:id="13"/>
      <w:commentRangeStart w:id="14"/>
      <w:r>
        <w:t xml:space="preserve">onducted in </w:t>
      </w:r>
      <w:r w:rsidR="00EB6D1E">
        <w:t xml:space="preserve">six </w:t>
      </w:r>
      <w:r w:rsidR="00B44FEA">
        <w:t>larger</w:t>
      </w:r>
      <w:r w:rsidR="00B07DB0">
        <w:t xml:space="preserve"> outdoor</w:t>
      </w:r>
      <w:r w:rsidR="00B44FEA">
        <w:t xml:space="preserve"> </w:t>
      </w:r>
      <w:r>
        <w:t>concrete tanks</w:t>
      </w:r>
      <w:commentRangeEnd w:id="13"/>
      <w:r w:rsidR="00563465">
        <w:rPr>
          <w:rStyle w:val="CommentReference"/>
          <w:sz w:val="22"/>
          <w:szCs w:val="22"/>
        </w:rPr>
        <w:commentReference w:id="13"/>
      </w:r>
      <w:commentRangeEnd w:id="14"/>
      <w:r w:rsidR="00D60A06">
        <w:rPr>
          <w:rStyle w:val="CommentReference"/>
          <w:sz w:val="22"/>
          <w:szCs w:val="22"/>
        </w:rPr>
        <w:commentReference w:id="14"/>
      </w:r>
      <w:r>
        <w:t xml:space="preserve"> </w:t>
      </w:r>
      <w:r w:rsidR="00EB6D1E">
        <w:t>(1425 L; Ø 1.85 m)</w:t>
      </w:r>
      <w:r w:rsidR="00B07DB0">
        <w:t xml:space="preserve"> with </w:t>
      </w:r>
      <w:r w:rsidR="00470D8D">
        <w:t xml:space="preserve">the same substrate and water conditions, </w:t>
      </w:r>
      <w:r w:rsidR="008946D0" w:rsidRPr="008946D0">
        <w:t>covered with a double layer of shade cloth to prevent escape and minimise solar heating. Fresh water and an air stone were added between rounds</w:t>
      </w:r>
      <w:r>
        <w:t>. To limit thermal stress, experiments were conducted in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p w14:paraId="1120F587" w14:textId="77777777" w:rsidR="006E6F88" w:rsidRDefault="00EB6D1E">
      <w:pPr>
        <w:pStyle w:val="Heading2"/>
      </w:pPr>
      <w:bookmarkStart w:id="15" w:name="exp-1-single-kōura"/>
      <w:bookmarkEnd w:id="12"/>
      <w:r>
        <w:t>Exp 1: Single kōura</w:t>
      </w:r>
    </w:p>
    <w:p w14:paraId="3877F331" w14:textId="29F46D59" w:rsidR="006E6F88" w:rsidRDefault="0B7DB107">
      <w:r>
        <w:t>This experiment assessed individual kōura structure preference by offering single animals a choice among four structures (</w:t>
      </w:r>
      <w:hyperlink w:anchor="fig-exp-setup" w:history="1">
        <w:r>
          <w:t>Figure 1</w:t>
        </w:r>
      </w:hyperlink>
      <w:r>
        <w:t xml:space="preserve">). The structure-types were: SingleStone (ten quarried stones (150–250 mm) </w:t>
      </w:r>
      <w:r w:rsidR="0055596F" w:rsidRPr="0055596F">
        <w:t>placed individually across the quadrant with sufficient spacing between stones that no crevices formed between them</w:t>
      </w:r>
      <w:commentRangeStart w:id="16"/>
      <w:r>
        <w:t>)</w:t>
      </w:r>
      <w:commentRangeEnd w:id="16"/>
      <w:r w:rsidR="00563465">
        <w:rPr>
          <w:rStyle w:val="CommentReference"/>
          <w:sz w:val="22"/>
          <w:szCs w:val="22"/>
        </w:rPr>
        <w:commentReference w:id="16"/>
      </w:r>
      <w:r>
        <w:t>, FlatStone (ten quarried stones arranged tightly without stacking), StonePile (ten quarried stones stacked to form a pile), and WoodLog (a tānekaha (</w:t>
      </w:r>
      <w:r w:rsidRPr="0B7DB107">
        <w:rPr>
          <w:i/>
          <w:iCs/>
        </w:rPr>
        <w:t>Phyllocladus trichomanoides</w:t>
      </w:r>
      <w:r>
        <w:t xml:space="preserve">) log (500 mm long, 150 mm diameter) containing six drilled holes (70 mm deep, 32 </w:t>
      </w:r>
      <w:r>
        <w:lastRenderedPageBreak/>
        <w:t>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14:paraId="6CB96CA6" w14:textId="549EC1B0" w:rsidR="006E6F88" w:rsidRDefault="0B7DB107">
      <w:r>
        <w:t xml:space="preserve">Each experimental tank was divided into four quadrants, with one structure type placed at random (randomizer.org) in each quadrant. If a kōura was not using a structure, </w:t>
      </w:r>
      <w:commentRangeStart w:id="17"/>
      <w:r>
        <w:t>TankWall was noted as its location which represents the wall of the tank</w:t>
      </w:r>
      <w:r w:rsidR="00F34A7D">
        <w:t xml:space="preserve"> or </w:t>
      </w:r>
      <w:r w:rsidR="008D581E">
        <w:t>when the kōura was in the open</w:t>
      </w:r>
      <w:r>
        <w:t>.</w:t>
      </w:r>
      <w:commentRangeEnd w:id="17"/>
      <w:r w:rsidR="00563465">
        <w:rPr>
          <w:rStyle w:val="CommentReference"/>
          <w:sz w:val="22"/>
          <w:szCs w:val="22"/>
        </w:rPr>
        <w:commentReference w:id="17"/>
      </w:r>
      <w:r>
        <w:t xml:space="preserve">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w:t>
      </w:r>
      <w:r w:rsidR="006C27A5">
        <w:t>initial refuge</w:t>
      </w:r>
      <w:r>
        <w:t xml:space="preserve"> </w:t>
      </w:r>
      <w:r w:rsidR="00373D9E">
        <w:t xml:space="preserve">location </w:t>
      </w:r>
      <w:r>
        <w:t>was recorded. On the following day, the final location of the kōura was noted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commentRangeStart w:id="18"/>
      <w:commentRangeStart w:id="19"/>
      <w:r>
        <w:t>.</w:t>
      </w:r>
      <w:commentRangeEnd w:id="18"/>
      <w:r w:rsidR="00563465">
        <w:rPr>
          <w:rStyle w:val="CommentReference"/>
          <w:sz w:val="22"/>
          <w:szCs w:val="22"/>
        </w:rPr>
        <w:commentReference w:id="18"/>
      </w:r>
      <w:commentRangeEnd w:id="19"/>
      <w:r w:rsidR="00A36BE4">
        <w:rPr>
          <w:rStyle w:val="CommentReference"/>
          <w:sz w:val="22"/>
          <w:szCs w:val="22"/>
        </w:rPr>
        <w:commentReference w:id="19"/>
      </w:r>
    </w:p>
    <w:p w14:paraId="208A11F2" w14:textId="77777777" w:rsidR="006E6F88" w:rsidRDefault="00EB6D1E">
      <w:pPr>
        <w:pStyle w:val="Heading2"/>
      </w:pPr>
      <w:bookmarkStart w:id="20" w:name="exp-2-group-kōura"/>
      <w:bookmarkEnd w:id="15"/>
      <w:r>
        <w:t>Exp 2: Group kōura</w:t>
      </w:r>
    </w:p>
    <w:p w14:paraId="6BDF2B48" w14:textId="77777777" w:rsidR="006E6F88" w:rsidRDefault="00EB6D1E">
      <w:r>
        <w:t>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t>Figure 1</w:t>
        </w:r>
      </w:hyperlink>
      <w:r>
        <w:t>).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p w14:paraId="6B8C561A" w14:textId="77777777" w:rsidR="006E6F88" w:rsidRDefault="00EB6D1E">
      <w:pPr>
        <w:pStyle w:val="Heading2"/>
      </w:pPr>
      <w:bookmarkStart w:id="21" w:name="exp-3-wood-vs-stone"/>
      <w:bookmarkEnd w:id="20"/>
      <w:r>
        <w:t>Exp 3: Wood vs Stone</w:t>
      </w:r>
    </w:p>
    <w:p w14:paraId="01D0017C" w14:textId="77777777" w:rsidR="006E6F88" w:rsidRDefault="00EB6D1E">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r>
        <w:lastRenderedPageBreak/>
        <w:t>(</w:t>
      </w:r>
      <w:hyperlink w:anchor="fig-exp-setup">
        <w:r>
          <w:t>Figure 1</w:t>
        </w:r>
      </w:hyperlink>
      <w:r>
        <w:t>). Each group was released at the centre of the tank, and the initial structure selected by each kōura was recorded. The following day, the final location of each kōura was documented. This procedure was repeated three times, reusing the same six groups of animals.</w:t>
      </w:r>
    </w:p>
    <w:p w14:paraId="23D5A407" w14:textId="77777777" w:rsidR="006E6F88" w:rsidRDefault="00EB6D1E">
      <w:pPr>
        <w:pStyle w:val="Heading2"/>
      </w:pPr>
      <w:bookmarkStart w:id="22" w:name="exp-4-bricks"/>
      <w:bookmarkEnd w:id="21"/>
      <w:r>
        <w:t>Exp 4: Bricks</w:t>
      </w:r>
    </w:p>
    <w:p w14:paraId="560259F0" w14:textId="7799524B" w:rsidR="006E6F88" w:rsidRDefault="0B7DB107">
      <w:r>
        <w:t>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with drilled holes made from Western red cedar (</w:t>
      </w:r>
      <w:r w:rsidRPr="0B7DB107">
        <w:rPr>
          <w:i/>
          <w:iCs/>
        </w:rPr>
        <w:t>Thuja plicata</w:t>
      </w:r>
      <w:r>
        <w:t>), constructed to match the building bricks in external dimensions and hole size. To prevent floating, a solid clay brick of identical dimensions was placed on top of each wooden brick (</w:t>
      </w:r>
      <w:hyperlink w:anchor="fig-exp-setup" w:history="1">
        <w:r>
          <w:t>Figure 1</w:t>
        </w:r>
      </w:hyperlink>
      <w:r>
        <w:t>).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p w14:paraId="33414247" w14:textId="77777777" w:rsidR="006E6F88" w:rsidRDefault="0B7DB107">
      <w:pPr>
        <w:pStyle w:val="Heading2"/>
      </w:pPr>
      <w:bookmarkStart w:id="23" w:name="data-analysis"/>
      <w:bookmarkEnd w:id="22"/>
      <w:r>
        <w:t>Data analysis</w:t>
      </w:r>
      <w:commentRangeStart w:id="24"/>
      <w:commentRangeEnd w:id="24"/>
      <w:r w:rsidR="00563465">
        <w:rPr>
          <w:rStyle w:val="CommentReference"/>
          <w:sz w:val="24"/>
          <w:szCs w:val="32"/>
        </w:rPr>
        <w:commentReference w:id="24"/>
      </w:r>
    </w:p>
    <w:p w14:paraId="69985B75" w14:textId="42ACC103" w:rsidR="006E6F88" w:rsidRDefault="00126E1B">
      <w:r w:rsidRPr="00126E1B">
        <w:t>(Experiment 1)</w:t>
      </w:r>
      <w:r>
        <w:t xml:space="preserve"> </w:t>
      </w:r>
      <w:r w:rsidR="00EB6D1E">
        <w:t xml:space="preserve">To test the difference between the four structure types selected by the single kōura, a multinomial goodness-of-fit test was performed using the XNomial package (Engels, 2014).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w:t>
      </w:r>
      <w:r w:rsidR="00373D9E">
        <w:t>small, expected</w:t>
      </w:r>
      <w:r w:rsidR="00EB6D1E">
        <w:t xml:space="preserve"> counts. A permutation-based symmetry test was applied to assess whether structure type transitions between </w:t>
      </w:r>
      <w:r w:rsidR="00373D9E">
        <w:t>initial location</w:t>
      </w:r>
      <w:r w:rsidR="00EB6D1E">
        <w:t xml:space="preserve"> and </w:t>
      </w:r>
      <w:r w:rsidR="00373D9E">
        <w:t>next</w:t>
      </w:r>
      <w:r w:rsidR="005C3ACF">
        <w:t>-</w:t>
      </w:r>
      <w:r w:rsidR="00373D9E">
        <w:t>day location</w:t>
      </w:r>
      <w:r w:rsidR="00EB6D1E">
        <w:t xml:space="preserve"> were directional rather than random.</w:t>
      </w:r>
    </w:p>
    <w:p w14:paraId="14F98427" w14:textId="1BD41DCC" w:rsidR="006E6F88" w:rsidRDefault="00126E1B">
      <w:r w:rsidRPr="00126E1B">
        <w:t xml:space="preserve">(Experiment </w:t>
      </w:r>
      <w:r>
        <w:t>2</w:t>
      </w:r>
      <w:r w:rsidRPr="00126E1B">
        <w:t>)</w:t>
      </w:r>
      <w:r>
        <w:t xml:space="preserve"> </w:t>
      </w:r>
      <w:r w:rsidR="00EB6D1E">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w:t>
      </w:r>
      <w:r w:rsidR="00EB6D1E">
        <w:lastRenderedPageBreak/>
        <w:t xml:space="preserve">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Model convergence was assessed using the Gelman-Rubin diagnostic (all </w:t>
      </w:r>
      <m:oMath>
        <m:acc>
          <m:accPr>
            <m:ctrlPr>
              <w:rPr>
                <w:rFonts w:ascii="Cambria Math" w:hAnsi="Cambria Math"/>
              </w:rPr>
            </m:ctrlPr>
          </m:accPr>
          <m:e>
            <m:r>
              <w:rPr>
                <w:rFonts w:ascii="Cambria Math" w:hAnsi="Cambria Math"/>
              </w:rPr>
              <m:t>R</m:t>
            </m:r>
          </m:e>
        </m:acc>
      </m:oMath>
      <w:r w:rsidR="00EB6D1E">
        <w:t xml:space="preserve"> = 1.00) and divergent transition counts (all experiments: 0 divergences), confirming reliable posterior sampling (Gelman &amp; Rubin, 1992). To test whether size classes affected structure preference while accounting for repeated measurement of individuals and groups, a Bayesian categorical mixed-effects model was fitted using the brms package (Bürkner et al., 2025), with structure type as the outcome, size class as a fixed effect, and group identity, individual identity nested within group, and experimental round as random intercepts. The Stuart-Maxwell test was used to test for statistical differences between </w:t>
      </w:r>
      <w:r w:rsidR="00341D4C">
        <w:t>initial and next</w:t>
      </w:r>
      <w:r w:rsidR="005C3ACF">
        <w:t>-</w:t>
      </w:r>
      <w:r w:rsidR="00341D4C">
        <w:t>day location</w:t>
      </w:r>
      <w:commentRangeStart w:id="25"/>
      <w:r w:rsidR="00EB6D1E">
        <w:t>.</w:t>
      </w:r>
      <w:commentRangeEnd w:id="25"/>
      <w:r w:rsidR="00563465">
        <w:rPr>
          <w:rStyle w:val="CommentReference"/>
          <w:sz w:val="22"/>
          <w:szCs w:val="22"/>
        </w:rPr>
        <w:commentReference w:id="25"/>
      </w:r>
    </w:p>
    <w:p w14:paraId="434F8E2E" w14:textId="66EC059E" w:rsidR="006E6F88" w:rsidRDefault="00126E1B">
      <w:r w:rsidRPr="00126E1B">
        <w:t xml:space="preserve">(Experiment </w:t>
      </w:r>
      <w:r>
        <w:t>3</w:t>
      </w:r>
      <w:r w:rsidRPr="00126E1B">
        <w:t>)</w:t>
      </w:r>
      <w:r>
        <w:t xml:space="preserve"> </w:t>
      </w:r>
      <w:r w:rsidR="00EB6D1E">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w:t>
      </w:r>
      <w:r w:rsidR="005C3ACF">
        <w:t>initial and next-day location</w:t>
      </w:r>
      <w:r w:rsidR="00EB6D1E">
        <w:t>.</w:t>
      </w:r>
    </w:p>
    <w:p w14:paraId="5E0E5586" w14:textId="0B38965D" w:rsidR="006E6F88" w:rsidRDefault="00126E1B">
      <w:r w:rsidRPr="00126E1B">
        <w:t xml:space="preserve">(Experiment </w:t>
      </w:r>
      <w:r>
        <w:t>4</w:t>
      </w:r>
      <w:r w:rsidRPr="00126E1B">
        <w:t>)</w:t>
      </w:r>
      <w:r>
        <w:t xml:space="preserve"> </w:t>
      </w:r>
      <w:r w:rsidR="00EB6D1E">
        <w:t>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were recorded in this experiment, no directional shift analysis was performed.</w:t>
      </w:r>
    </w:p>
    <w:p w14:paraId="66F3D536" w14:textId="77777777" w:rsidR="006E6F88" w:rsidRDefault="00EB6D1E">
      <w:pPr>
        <w:pStyle w:val="Heading1"/>
      </w:pPr>
      <w:bookmarkStart w:id="26" w:name="results"/>
      <w:bookmarkEnd w:id="11"/>
      <w:bookmarkEnd w:id="23"/>
      <w:r>
        <w:t>Results</w:t>
      </w:r>
    </w:p>
    <w:p w14:paraId="33476929" w14:textId="77777777" w:rsidR="006E6F88" w:rsidRDefault="00EB6D1E">
      <w:pPr>
        <w:pStyle w:val="Heading2"/>
      </w:pPr>
      <w:bookmarkStart w:id="27" w:name="exp-1-single-kōura-1"/>
      <w:r>
        <w:t>Exp 1: Single kōura</w:t>
      </w:r>
    </w:p>
    <w:p w14:paraId="559A1CFD" w14:textId="320FAEF2" w:rsidR="006E6F88" w:rsidRDefault="0B7DB107" w:rsidP="0B7DB107">
      <w:r>
        <w:t xml:space="preserve">Individual kōura showed a strong preference for WoodLog, selecting it significantly more often than SingleStone, FlatStone, and StonePile (pairwise G-test, Bonferroni adjusted: </w:t>
      </w:r>
      <w:r w:rsidRPr="0B7DB107">
        <w:rPr>
          <w:i/>
          <w:iCs/>
        </w:rPr>
        <w:t>p</w:t>
      </w:r>
      <w:r>
        <w:t xml:space="preserve"> = &lt;0.001, 0.011, 0.004, respectively; overall multinomial test: </w:t>
      </w:r>
      <w:r w:rsidRPr="0B7DB107">
        <w:rPr>
          <w:i/>
          <w:iCs/>
        </w:rPr>
        <w:t>p</w:t>
      </w:r>
      <w:r>
        <w:t xml:space="preserve"> = &lt;0.001; </w:t>
      </w:r>
      <w:hyperlink w:anchor="fig-exp1-ms" w:history="1">
        <w:r>
          <w:t>Figure 2</w:t>
        </w:r>
      </w:hyperlink>
      <w:r>
        <w:t xml:space="preserve">). No significant differences were found among the stone structure types. Overall, WoodLog was selected by 67% of kōura at L1 (males: 80%; </w:t>
      </w:r>
      <w:r>
        <w:lastRenderedPageBreak/>
        <w:t xml:space="preserve">females: 53%), and no kōura were found at TankWall. Structure preference did not differ significantly between sexes (Fisher’s exact test: </w:t>
      </w:r>
      <w:r w:rsidRPr="0B7DB107">
        <w:rPr>
          <w:i/>
          <w:iCs/>
        </w:rPr>
        <w:t>p</w:t>
      </w:r>
      <w:r>
        <w:t xml:space="preserve"> = 0.458). The symmetry test indicated that structure type use shifted between </w:t>
      </w:r>
      <w:r w:rsidR="001D6761">
        <w:t xml:space="preserve">initial </w:t>
      </w:r>
      <w:r>
        <w:t xml:space="preserve">and </w:t>
      </w:r>
      <w:r w:rsidR="001D6761">
        <w:t>next-day</w:t>
      </w:r>
      <w:r>
        <w:t xml:space="preserve"> </w:t>
      </w:r>
      <w:r w:rsidR="00E21D40">
        <w:t xml:space="preserve">location </w:t>
      </w:r>
      <w:r>
        <w:t>(</w:t>
      </w:r>
      <w:r w:rsidRPr="0B7DB107">
        <w:rPr>
          <w:i/>
          <w:iCs/>
        </w:rPr>
        <w:t>p</w:t>
      </w:r>
      <w:r>
        <w:t xml:space="preserve"> = &lt;0.001), suggesting kōura actively relocated to preferred structure types overnight rather than remaining at their initial location. The GoPro footage showed kōura emerging, walking and climbing on the structures after sunset.</w:t>
      </w:r>
    </w:p>
    <w:p w14:paraId="1457009C" w14:textId="77777777" w:rsidR="006E6F88" w:rsidRDefault="00EB6D1E">
      <w:pPr>
        <w:pStyle w:val="Heading2"/>
      </w:pPr>
      <w:bookmarkStart w:id="28" w:name="exp-2-group-kōura-1"/>
      <w:bookmarkEnd w:id="27"/>
      <w:r>
        <w:t>Exp 2: Group kōura</w:t>
      </w:r>
    </w:p>
    <w:p w14:paraId="68BF2D52" w14:textId="77629AC2" w:rsidR="006E6F88" w:rsidRDefault="00EB6D1E">
      <w:r>
        <w:t>When housed in mixed-size groups, kōura showed a significant overall preference for stone-based structures (</w:t>
      </w:r>
      <w:hyperlink w:anchor="fig-exp2-ms">
        <w:r>
          <w:t>Figure 3</w:t>
        </w:r>
      </w:hyperlink>
      <w:r>
        <w:t>). FlatStone was used significantly more (</w:t>
      </w:r>
      <w:r>
        <w:rPr>
          <w:i/>
          <w:iCs/>
        </w:rPr>
        <w:t>p</w:t>
      </w:r>
      <w:r>
        <w:t xml:space="preserve"> = 0.004), while SingleStone (</w:t>
      </w:r>
      <w:r>
        <w:rPr>
          <w:i/>
          <w:iCs/>
        </w:rPr>
        <w:t>p</w:t>
      </w:r>
      <w:r>
        <w:t xml:space="preserve"> = &lt;0.001) and WoodLog (</w:t>
      </w:r>
      <w:r>
        <w:rPr>
          <w:i/>
          <w:iCs/>
        </w:rPr>
        <w:t>p</w:t>
      </w:r>
      <w:r>
        <w:t xml:space="preserve"> = 0.039) were significantly avoided. StonePile did not differ from random expectation (</w:t>
      </w:r>
      <w:r>
        <w:rPr>
          <w:i/>
          <w:iCs/>
        </w:rPr>
        <w:t>p</w:t>
      </w:r>
      <w:r>
        <w:t xml:space="preserve"> = 1.000</w:t>
      </w:r>
      <w:r w:rsidR="00FB75E7">
        <w:t>) and</w:t>
      </w:r>
      <w:r>
        <w:t xml:space="preserve"> did not differ significantly from FlatStone (</w:t>
      </w:r>
      <w:r>
        <w:rPr>
          <w:i/>
          <w:iCs/>
        </w:rPr>
        <w:t>p</w:t>
      </w:r>
      <w:r>
        <w:t xml:space="preserve"> = 0.117). No kōura were found at TankWall,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w:t>
      </w:r>
      <w:r w:rsidR="008C30D6">
        <w:t>initial</w:t>
      </w:r>
      <w:r>
        <w:t xml:space="preserve"> and </w:t>
      </w:r>
      <w:r w:rsidR="008C30D6">
        <w:t>next-day location</w:t>
      </w:r>
      <w:r>
        <w:t xml:space="preserve"> (Stuart-Maxwell test: </w:t>
      </w:r>
      <w:r>
        <w:rPr>
          <w:i/>
          <w:iCs/>
        </w:rPr>
        <w:t>p</w:t>
      </w:r>
      <w:r>
        <w:t xml:space="preserve"> = 0.001), indicating that kōura actively relocated to preferred structure types overnight.</w:t>
      </w:r>
    </w:p>
    <w:p w14:paraId="093A9C07" w14:textId="77777777" w:rsidR="006E6F88" w:rsidRDefault="00EB6D1E">
      <w:pPr>
        <w:pStyle w:val="Heading2"/>
      </w:pPr>
      <w:bookmarkStart w:id="29" w:name="exp-3-wood-vs-stone-1"/>
      <w:bookmarkEnd w:id="28"/>
      <w:r>
        <w:t>Exp 3: Wood vs Stone</w:t>
      </w:r>
    </w:p>
    <w:p w14:paraId="288067F9" w14:textId="1FA1BB49" w:rsidR="006E6F88" w:rsidRDefault="0B7DB107">
      <w:r>
        <w:t>Kōura consistently selected FlatStone over WoodSplit, with the preference growing with body size (</w:t>
      </w:r>
      <w:hyperlink w:anchor="fig-exp3-ms" w:history="1">
        <w:r>
          <w:t>Figure 4</w:t>
        </w:r>
      </w:hyperlink>
      <w:r>
        <w:t>). At the group level, FlatStone was used significantly more than expected (</w:t>
      </w:r>
      <w:r w:rsidRPr="0B7DB107">
        <w:rPr>
          <w:i/>
          <w:iCs/>
        </w:rPr>
        <w:t>p</w:t>
      </w:r>
      <w:r>
        <w:t xml:space="preserve"> = 0.001), while WoodSplit was significantly avoided (</w:t>
      </w:r>
      <w:r w:rsidRPr="0B7DB107">
        <w:rPr>
          <w:i/>
          <w:iCs/>
        </w:rPr>
        <w:t>p</w:t>
      </w:r>
      <w:r>
        <w:t xml:space="preserve"> = 0.004). Only </w:t>
      </w:r>
      <w:r w:rsidR="00244CDE">
        <w:t xml:space="preserve">one </w:t>
      </w:r>
      <w:r>
        <w:t xml:space="preserve">kōura </w:t>
      </w:r>
      <w:r w:rsidR="00244CDE">
        <w:t>was</w:t>
      </w:r>
      <w:r>
        <w:t xml:space="preserve"> found at TankWall.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(β = -2.4, 95% CI: -4.39 to -0.8; posterior probability = &gt; 0.99), while medium kōura did not differ from small kōura. Structure type use shifted directionally between </w:t>
      </w:r>
      <w:r w:rsidR="008C30D6">
        <w:t>initial</w:t>
      </w:r>
      <w:r>
        <w:t xml:space="preserve"> and </w:t>
      </w:r>
      <w:r w:rsidR="008C30D6">
        <w:t>next-day location</w:t>
      </w:r>
      <w:r>
        <w:t xml:space="preserve"> (Stuart-Maxwell test: </w:t>
      </w:r>
      <w:r w:rsidRPr="0B7DB107">
        <w:rPr>
          <w:i/>
          <w:iCs/>
        </w:rPr>
        <w:t>p</w:t>
      </w:r>
      <w:r>
        <w:t xml:space="preserve"> = 0.003), with kōura relocating toward FlatStone overnight.</w:t>
      </w:r>
    </w:p>
    <w:p w14:paraId="61219478" w14:textId="77777777" w:rsidR="006E6F88" w:rsidRDefault="00EB6D1E">
      <w:pPr>
        <w:pStyle w:val="Heading2"/>
      </w:pPr>
      <w:bookmarkStart w:id="30" w:name="exp-4-bricks-1"/>
      <w:bookmarkEnd w:id="29"/>
      <w:r>
        <w:t>Exp 4: Bricks</w:t>
      </w:r>
    </w:p>
    <w:p w14:paraId="6049B7B4" w14:textId="77777777" w:rsidR="006E6F88" w:rsidRDefault="00EB6D1E">
      <w:r>
        <w:t>Kōura used both brick types, showing no significant preference between BrickConcrete and BrickWood (</w:t>
      </w:r>
      <w:r>
        <w:rPr>
          <w:i/>
          <w:iCs/>
        </w:rPr>
        <w:t>p</w:t>
      </w:r>
      <w:r>
        <w:t xml:space="preserve"> = 0.137; </w:t>
      </w:r>
      <w:hyperlink w:anchor="fig-exp4-ms">
        <w:r>
          <w:t>Figure 5</w:t>
        </w:r>
      </w:hyperlink>
      <w:r>
        <w:t xml:space="preserve">), with mean group proportions of 47% and 53% respectively. Neither </w:t>
      </w:r>
      <w:r>
        <w:lastRenderedPageBreak/>
        <w:t>brick type differed significantly from equal distribution (</w:t>
      </w:r>
      <w:r>
        <w:rPr>
          <w:i/>
          <w:iCs/>
        </w:rPr>
        <w:t>p</w:t>
      </w:r>
      <w:r>
        <w:t xml:space="preserve"> = 0.273). 9% of kōura were found at TankWall, which is higher than in any previous experiment. Sex had no credible effect on preference between brick types (β = -0.18, 95% CI: -1.29 to 0.85; posterior probability = 0.64), indicating that concrete and wooden perforated brick structures of identical dimensions were both suitable refuge for male and female kōura.</w:t>
      </w:r>
    </w:p>
    <w:p w14:paraId="071954C1" w14:textId="77777777" w:rsidR="006E6F88" w:rsidRDefault="00EB6D1E">
      <w:pPr>
        <w:pStyle w:val="Heading1"/>
      </w:pPr>
      <w:bookmarkStart w:id="31" w:name="discussion"/>
      <w:bookmarkEnd w:id="26"/>
      <w:bookmarkEnd w:id="30"/>
      <w:commentRangeStart w:id="32"/>
      <w:r>
        <w:t>Discussion</w:t>
      </w:r>
      <w:commentRangeEnd w:id="32"/>
      <w:r w:rsidR="00563465">
        <w:rPr>
          <w:rStyle w:val="CommentReference"/>
          <w:sz w:val="32"/>
          <w:szCs w:val="40"/>
        </w:rPr>
        <w:commentReference w:id="32"/>
      </w:r>
    </w:p>
    <w:p w14:paraId="71D513DA" w14:textId="77777777" w:rsidR="006E6F88" w:rsidRDefault="00EB6D1E">
      <w:pPr>
        <w:pStyle w:val="Heading2"/>
      </w:pPr>
      <w:bookmarkStart w:id="33" w:name="structure-matters-more-than-material"/>
      <w:r>
        <w:t>Structure matters more than material</w:t>
      </w:r>
    </w:p>
    <w:p w14:paraId="3F72B46B" w14:textId="1C2E3BED" w:rsidR="00AC536F" w:rsidRDefault="003D6DAD" w:rsidP="0B7DB107">
      <w:r>
        <w:t xml:space="preserve">The </w:t>
      </w:r>
      <w:r w:rsidR="00FC3ADE">
        <w:t xml:space="preserve">consistent finding across all experiments that structural stability and crevice complexity determined preference, </w:t>
      </w:r>
      <w:r w:rsidR="00752A4B">
        <w:t>regardless of whe</w:t>
      </w:r>
      <w:r w:rsidR="00865872">
        <w:t>ther</w:t>
      </w:r>
      <w:r w:rsidR="00FF4DE0">
        <w:t xml:space="preserve"> </w:t>
      </w:r>
      <w:r w:rsidR="00704EE7">
        <w:t>the comparison involved material ty</w:t>
      </w:r>
      <w:r w:rsidR="00FF4BD5">
        <w:t>p</w:t>
      </w:r>
      <w:r w:rsidR="00704EE7">
        <w:t>e, configuration or group</w:t>
      </w:r>
      <w:r w:rsidR="00CF294D">
        <w:t xml:space="preserve"> size</w:t>
      </w:r>
      <w:r w:rsidR="00FF4BD5">
        <w:t xml:space="preserve">, </w:t>
      </w:r>
      <w:r w:rsidR="0061619F">
        <w:t>suggests that kōura</w:t>
      </w:r>
      <w:r w:rsidR="00850E56">
        <w:t>,</w:t>
      </w:r>
      <w:r w:rsidR="0061619F">
        <w:t xml:space="preserve"> </w:t>
      </w:r>
      <w:r w:rsidR="00A028E8">
        <w:t xml:space="preserve">like </w:t>
      </w:r>
      <w:r w:rsidR="00603177">
        <w:t>many refuge</w:t>
      </w:r>
      <w:r w:rsidR="00850E56">
        <w:t>-</w:t>
      </w:r>
      <w:r w:rsidR="00603177">
        <w:t xml:space="preserve">dependent </w:t>
      </w:r>
      <w:r w:rsidR="00B31B45">
        <w:t>crustaceans</w:t>
      </w:r>
      <w:r w:rsidR="00603177">
        <w:t xml:space="preserve">, are </w:t>
      </w:r>
      <w:r w:rsidR="00B31B45">
        <w:t>primarily</w:t>
      </w:r>
      <w:r w:rsidR="00603177">
        <w:t xml:space="preserve"> </w:t>
      </w:r>
      <w:r w:rsidR="00A00C95">
        <w:t xml:space="preserve">selecting for physical </w:t>
      </w:r>
      <w:r w:rsidR="00FC391E">
        <w:t xml:space="preserve">shelter quality rather than material familiarity. </w:t>
      </w:r>
      <w:r w:rsidR="007A71EF">
        <w:t xml:space="preserve">When hole dimensions were </w:t>
      </w:r>
      <w:r w:rsidR="003B2DF6">
        <w:t>held constant between concrete and wooden perforated bri</w:t>
      </w:r>
      <w:r w:rsidR="00A51253">
        <w:t>c</w:t>
      </w:r>
      <w:r w:rsidR="003B2DF6">
        <w:t>k structures,</w:t>
      </w:r>
      <w:commentRangeStart w:id="34"/>
      <w:r w:rsidR="216B6D1F">
        <w:t xml:space="preserve"> </w:t>
      </w:r>
      <w:commentRangeEnd w:id="34"/>
      <w:r w:rsidR="00563465">
        <w:rPr>
          <w:rStyle w:val="CommentReference"/>
          <w:sz w:val="22"/>
          <w:szCs w:val="22"/>
        </w:rPr>
        <w:commentReference w:id="34"/>
      </w:r>
      <w:r w:rsidR="216B6D1F">
        <w:t xml:space="preserve">no preference for </w:t>
      </w:r>
      <w:r w:rsidR="00A51253">
        <w:t xml:space="preserve">either </w:t>
      </w:r>
      <w:r w:rsidR="216B6D1F">
        <w:t>material was detected</w:t>
      </w:r>
      <w:r w:rsidR="00394CBA">
        <w:t>, demonstrating that material</w:t>
      </w:r>
      <w:r w:rsidR="008C0970">
        <w:t xml:space="preserve"> composition alone does not dr</w:t>
      </w:r>
      <w:r w:rsidR="00DE08D2">
        <w:t>i</w:t>
      </w:r>
      <w:r w:rsidR="008C0970">
        <w:t xml:space="preserve">ve refuge selection when structure is equivalent. </w:t>
      </w:r>
      <w:r w:rsidR="00DE08D2">
        <w:t xml:space="preserve">This changes when </w:t>
      </w:r>
      <w:r w:rsidR="0035046F">
        <w:t xml:space="preserve">material itself affected </w:t>
      </w:r>
      <w:r w:rsidR="008D4725">
        <w:t xml:space="preserve">structural properties, like when flat-laid stones were compared </w:t>
      </w:r>
      <w:r w:rsidR="00D01C3D">
        <w:t>directly against</w:t>
      </w:r>
      <w:r w:rsidR="008266C4">
        <w:t xml:space="preserve"> similar</w:t>
      </w:r>
      <w:r w:rsidR="00591812">
        <w:t xml:space="preserve"> sized split</w:t>
      </w:r>
      <w:r w:rsidR="008266C4">
        <w:t xml:space="preserve"> wood pieces, kōura </w:t>
      </w:r>
      <w:r w:rsidR="216B6D1F">
        <w:t>showed a preference for stone</w:t>
      </w:r>
      <w:r w:rsidR="006C5803">
        <w:t xml:space="preserve">. </w:t>
      </w:r>
      <w:r w:rsidR="216B6D1F">
        <w:t xml:space="preserve">The </w:t>
      </w:r>
      <w:r w:rsidR="006C5803">
        <w:t xml:space="preserve">wood </w:t>
      </w:r>
      <w:r w:rsidR="216B6D1F">
        <w:t>splits</w:t>
      </w:r>
      <w:r w:rsidR="00F246D9">
        <w:t>, being less dense than stone</w:t>
      </w:r>
      <w:r w:rsidR="00515638">
        <w:t>,</w:t>
      </w:r>
      <w:r w:rsidR="216B6D1F">
        <w:t xml:space="preserve"> sank but created less structurally stable refuge places in the sandy substrate than the </w:t>
      </w:r>
      <w:r w:rsidR="002E6168">
        <w:t>s</w:t>
      </w:r>
      <w:r w:rsidR="216B6D1F">
        <w:t>tone</w:t>
      </w:r>
      <w:commentRangeStart w:id="35"/>
      <w:r w:rsidR="216B6D1F">
        <w:t>s</w:t>
      </w:r>
      <w:commentRangeEnd w:id="35"/>
      <w:r w:rsidR="00563465">
        <w:rPr>
          <w:rStyle w:val="CommentReference"/>
          <w:sz w:val="22"/>
          <w:szCs w:val="22"/>
        </w:rPr>
        <w:commentReference w:id="35"/>
      </w:r>
      <w:r w:rsidR="00515638">
        <w:t xml:space="preserve">, </w:t>
      </w:r>
      <w:r w:rsidR="00A04839">
        <w:t>as</w:t>
      </w:r>
      <w:r w:rsidR="00515638">
        <w:t xml:space="preserve"> </w:t>
      </w:r>
      <w:r w:rsidR="00A04839">
        <w:t xml:space="preserve">larger kōura </w:t>
      </w:r>
      <w:r w:rsidR="005647BB">
        <w:t xml:space="preserve">were able to </w:t>
      </w:r>
      <w:r w:rsidR="00367BB9">
        <w:t>move them</w:t>
      </w:r>
      <w:r w:rsidR="005647BB">
        <w:t xml:space="preserve"> </w:t>
      </w:r>
      <w:r w:rsidR="216B6D1F">
        <w:t xml:space="preserve">[O.V. Raven, pers. obs.]. </w:t>
      </w:r>
      <w:r w:rsidR="00367BB9">
        <w:t>In group settings</w:t>
      </w:r>
      <w:r w:rsidR="00C75040">
        <w:t xml:space="preserve">, structures </w:t>
      </w:r>
      <w:r w:rsidR="216B6D1F">
        <w:t>provid</w:t>
      </w:r>
      <w:r w:rsidR="00C75040">
        <w:t>ing</w:t>
      </w:r>
      <w:r w:rsidR="216B6D1F">
        <w:t xml:space="preserve"> the most crevice complexity were strongly </w:t>
      </w:r>
      <w:r w:rsidR="000A7F1E">
        <w:t>preferred</w:t>
      </w:r>
      <w:r w:rsidR="00F12042">
        <w:t>, with</w:t>
      </w:r>
      <w:r w:rsidR="216B6D1F">
        <w:t xml:space="preserve"> </w:t>
      </w:r>
      <w:commentRangeStart w:id="36"/>
      <w:r w:rsidR="002E6168">
        <w:t>flat</w:t>
      </w:r>
      <w:r w:rsidR="00F12042">
        <w:t xml:space="preserve">-laid </w:t>
      </w:r>
      <w:r w:rsidR="009138A7">
        <w:t>stones</w:t>
      </w:r>
      <w:r w:rsidR="00903C9F">
        <w:t xml:space="preserve"> </w:t>
      </w:r>
      <w:r w:rsidR="216B6D1F">
        <w:t>followed by</w:t>
      </w:r>
      <w:commentRangeEnd w:id="36"/>
      <w:del w:id="37" w:author="Raven, Olivier (Student)" w:date="2026-06-10T10:55:00Z" w16du:dateUtc="2026-06-09T22:55:00Z">
        <w:r w:rsidR="00563465" w:rsidDel="0043248A">
          <w:rPr>
            <w:rStyle w:val="CommentReference"/>
            <w:sz w:val="22"/>
            <w:szCs w:val="22"/>
          </w:rPr>
          <w:commentReference w:id="36"/>
        </w:r>
      </w:del>
      <w:r w:rsidR="00D0364F">
        <w:t xml:space="preserve"> </w:t>
      </w:r>
      <w:r w:rsidR="009138A7">
        <w:t>the stone pile</w:t>
      </w:r>
      <w:r w:rsidR="002E6168">
        <w:t>s</w:t>
      </w:r>
      <w:r w:rsidR="0043248A">
        <w:t xml:space="preserve"> </w:t>
      </w:r>
      <w:r w:rsidR="216B6D1F">
        <w:t xml:space="preserve">for </w:t>
      </w:r>
      <w:r w:rsidR="00D0364F">
        <w:t>accommodating</w:t>
      </w:r>
      <w:r w:rsidR="216B6D1F">
        <w:t xml:space="preserve"> the most kōura.</w:t>
      </w:r>
      <w:r w:rsidR="00062E7E">
        <w:t xml:space="preserve"> Individual kōura showed a different preference, consistently choosing the per</w:t>
      </w:r>
      <w:r w:rsidR="007F271E">
        <w:t xml:space="preserve">forated wooden log over all stone options, which is consistent with </w:t>
      </w:r>
      <w:r w:rsidR="001425C9">
        <w:t xml:space="preserve">our first </w:t>
      </w:r>
      <w:commentRangeStart w:id="38"/>
      <w:r w:rsidR="008425F6">
        <w:t>prediction</w:t>
      </w:r>
      <w:commentRangeEnd w:id="38"/>
      <w:r w:rsidR="00563465">
        <w:rPr>
          <w:rStyle w:val="CommentReference"/>
          <w:sz w:val="22"/>
          <w:szCs w:val="22"/>
        </w:rPr>
        <w:commentReference w:id="38"/>
      </w:r>
      <w:r w:rsidR="001425C9">
        <w:t xml:space="preserve"> that structurally complex and enclosed refugia would be preferred as enclosed spaces reduce predation risk</w:t>
      </w:r>
      <w:r w:rsidR="000C793B">
        <w:t xml:space="preserve"> (Jurcak et al., 2016)</w:t>
      </w:r>
      <w:r w:rsidR="001425C9">
        <w:t xml:space="preserve">. </w:t>
      </w:r>
      <w:r w:rsidR="006D582D">
        <w:t>T</w:t>
      </w:r>
      <w:r w:rsidR="216B6D1F">
        <w:t xml:space="preserve">he </w:t>
      </w:r>
      <w:r w:rsidR="008425F6">
        <w:t xml:space="preserve">individual </w:t>
      </w:r>
      <w:r w:rsidR="216B6D1F">
        <w:t xml:space="preserve">drilled holes in the </w:t>
      </w:r>
      <w:r w:rsidR="00547C61">
        <w:t xml:space="preserve">wooden log </w:t>
      </w:r>
      <w:r w:rsidR="216B6D1F">
        <w:t xml:space="preserve">offered protection similar to what has been found for perforated brick and PVC tube shelters under catfish predation (Adams, 2007; Zhao et al., 2024). The directional shift in structure type use, between </w:t>
      </w:r>
      <w:r w:rsidR="0057501B">
        <w:t>initial</w:t>
      </w:r>
      <w:r w:rsidR="216B6D1F">
        <w:t xml:space="preserve"> </w:t>
      </w:r>
      <w:r w:rsidR="0057501B">
        <w:t>locations</w:t>
      </w:r>
      <w:r w:rsidR="216B6D1F">
        <w:t xml:space="preserve"> shortly after release and </w:t>
      </w:r>
      <w:r w:rsidR="0057501B">
        <w:t>their</w:t>
      </w:r>
      <w:r w:rsidR="216B6D1F">
        <w:t xml:space="preserve"> </w:t>
      </w:r>
      <w:r w:rsidR="0057501B">
        <w:t>location</w:t>
      </w:r>
      <w:r w:rsidR="216B6D1F">
        <w:t xml:space="preserve"> following a night </w:t>
      </w:r>
      <w:r w:rsidR="0060539C">
        <w:t>within</w:t>
      </w:r>
      <w:r w:rsidR="216B6D1F">
        <w:t xml:space="preserve"> the tank, confirmed across all experiments that kōura actively relocated overnight, supporting the interpretation that next-day locations reflect genuine refuge preference rather than chance displacement.</w:t>
      </w:r>
    </w:p>
    <w:p w14:paraId="166784B0" w14:textId="6077D4CC" w:rsidR="006E6F88" w:rsidRPr="004B43D7" w:rsidRDefault="216B6D1F" w:rsidP="0B7DB107">
      <w:r>
        <w:t xml:space="preserve">The shift from </w:t>
      </w:r>
      <w:r w:rsidR="0018671E">
        <w:t xml:space="preserve">the </w:t>
      </w:r>
      <w:r w:rsidR="009A3AE9" w:rsidRPr="009A3AE9">
        <w:t xml:space="preserve">perforated </w:t>
      </w:r>
      <w:r w:rsidR="0018671E">
        <w:t xml:space="preserve">wooden log </w:t>
      </w:r>
      <w:r>
        <w:t xml:space="preserve">in </w:t>
      </w:r>
      <w:r w:rsidR="00B15B78" w:rsidRPr="00B15B78">
        <w:t>individual trials</w:t>
      </w:r>
      <w:r w:rsidR="004B42A2">
        <w:t xml:space="preserve"> </w:t>
      </w:r>
      <w:r>
        <w:t xml:space="preserve">to stone structures in group </w:t>
      </w:r>
      <w:r w:rsidR="009A3AE9">
        <w:t>trails</w:t>
      </w:r>
      <w:r>
        <w:t xml:space="preserve"> was unexpected. </w:t>
      </w:r>
      <w:r w:rsidR="002E3CE4">
        <w:t xml:space="preserve">The wooden log </w:t>
      </w:r>
      <w:r w:rsidR="003C26F3">
        <w:t xml:space="preserve">contained six individual drilled holes, so capacity was not limiting </w:t>
      </w:r>
      <w:r w:rsidR="00D870A0">
        <w:t>for the group of</w:t>
      </w:r>
      <w:r w:rsidR="00DD73FC">
        <w:t xml:space="preserve"> six</w:t>
      </w:r>
      <w:r w:rsidR="00D870A0">
        <w:t xml:space="preserve"> kōura. The preference shift </w:t>
      </w:r>
      <w:r w:rsidR="004D5F38">
        <w:t xml:space="preserve">may partly reflect size mismatch between </w:t>
      </w:r>
      <w:r>
        <w:t>fixed hole dimensions</w:t>
      </w:r>
      <w:r w:rsidR="0057501B">
        <w:t>,</w:t>
      </w:r>
      <w:r>
        <w:t xml:space="preserve"> and the range of body sizes present in each group, </w:t>
      </w:r>
      <w:r w:rsidR="00D674EB">
        <w:t>with only medium</w:t>
      </w:r>
      <w:r w:rsidR="006473FF">
        <w:t xml:space="preserve">-sized individual </w:t>
      </w:r>
      <w:r w:rsidR="006129DF" w:rsidRPr="006129DF">
        <w:t>finding the holes well-</w:t>
      </w:r>
      <w:r w:rsidR="006129DF">
        <w:t>suited</w:t>
      </w:r>
      <w:r w:rsidR="006129DF" w:rsidRPr="006129DF">
        <w:t xml:space="preserve">, while small and large individuals were better served by the </w:t>
      </w:r>
      <w:r w:rsidR="006129DF">
        <w:t>range of</w:t>
      </w:r>
      <w:r w:rsidR="006129DF" w:rsidRPr="006129DF">
        <w:t xml:space="preserve"> </w:t>
      </w:r>
      <w:r w:rsidR="006129DF" w:rsidRPr="006129DF">
        <w:lastRenderedPageBreak/>
        <w:t>crevice</w:t>
      </w:r>
      <w:r w:rsidR="00457DB1">
        <w:t xml:space="preserve">s created by the </w:t>
      </w:r>
      <w:r w:rsidR="006129DF" w:rsidRPr="006129DF">
        <w:t xml:space="preserve">stone structures </w:t>
      </w:r>
      <w:r w:rsidR="007A3D8D" w:rsidRPr="007A3D8D">
        <w:t>(Streissl &amp; Hödl, 2002)</w:t>
      </w:r>
      <w:r w:rsidR="006129DF" w:rsidRPr="006129DF">
        <w:t>.</w:t>
      </w:r>
      <w:r w:rsidR="00457DB1">
        <w:t xml:space="preserve"> </w:t>
      </w:r>
      <w:r w:rsidR="00AD7937">
        <w:t>However,</w:t>
      </w:r>
      <w:r w:rsidR="00457DB1">
        <w:t xml:space="preserve"> a more </w:t>
      </w:r>
      <w:r w:rsidR="00AD7937">
        <w:t>fundame</w:t>
      </w:r>
      <w:r w:rsidR="00FB338C">
        <w:t>ntal explanation may relate to social behaviour.</w:t>
      </w:r>
      <w:r w:rsidR="00FB338C" w:rsidRPr="00FB338C">
        <w:t xml:space="preserve"> </w:t>
      </w:r>
      <w:r w:rsidR="00FB338C">
        <w:t xml:space="preserve">The wooden log was </w:t>
      </w:r>
      <w:r w:rsidR="0009734C">
        <w:t xml:space="preserve">the </w:t>
      </w:r>
      <w:r w:rsidR="00FB338C">
        <w:t>most selected structure in round 1 of experiment 2 (17 out of 36 times)</w:t>
      </w:r>
      <w:r w:rsidR="002B5CE6">
        <w:t xml:space="preserve">, similar as in experiment 1, </w:t>
      </w:r>
      <w:r w:rsidR="00FB338C">
        <w:t xml:space="preserve">but </w:t>
      </w:r>
      <w:r w:rsidR="00F91800">
        <w:t xml:space="preserve">this preference </w:t>
      </w:r>
      <w:r w:rsidR="00955576">
        <w:t xml:space="preserve">did </w:t>
      </w:r>
      <w:r w:rsidR="00FB338C">
        <w:t xml:space="preserve">not </w:t>
      </w:r>
      <w:r w:rsidR="0013039D">
        <w:t>persist</w:t>
      </w:r>
      <w:r w:rsidR="000335F2">
        <w:t xml:space="preserve"> </w:t>
      </w:r>
      <w:r w:rsidR="00FB338C">
        <w:t>in subsequent rounds</w:t>
      </w:r>
      <w:r w:rsidR="0013039D">
        <w:t xml:space="preserve">. </w:t>
      </w:r>
      <w:r w:rsidR="00FC01EF">
        <w:t>This shift suggest</w:t>
      </w:r>
      <w:r w:rsidR="00140BE7">
        <w:t>s</w:t>
      </w:r>
      <w:r w:rsidR="00FC01EF">
        <w:t xml:space="preserve"> that </w:t>
      </w:r>
      <w:r w:rsidR="00140BE7">
        <w:t xml:space="preserve">once </w:t>
      </w:r>
      <w:r w:rsidR="00FC01EF">
        <w:t>kōura</w:t>
      </w:r>
      <w:r w:rsidR="00126098">
        <w:t xml:space="preserve"> had experience</w:t>
      </w:r>
      <w:r w:rsidR="004F4591">
        <w:t>d</w:t>
      </w:r>
      <w:r w:rsidR="006A7A81">
        <w:t xml:space="preserve"> sha</w:t>
      </w:r>
      <w:r w:rsidR="00380FC7">
        <w:t xml:space="preserve">ring </w:t>
      </w:r>
      <w:r w:rsidR="00AD25FA">
        <w:t>the tank</w:t>
      </w:r>
      <w:r w:rsidR="006D3EBA">
        <w:t>,</w:t>
      </w:r>
      <w:r w:rsidR="00AD25FA">
        <w:t xml:space="preserve"> </w:t>
      </w:r>
      <w:r w:rsidR="0053374A">
        <w:t>they adjusted</w:t>
      </w:r>
      <w:r w:rsidR="008279C0">
        <w:t xml:space="preserve"> their shelter use towar</w:t>
      </w:r>
      <w:r w:rsidR="001D0746">
        <w:t xml:space="preserve">d structures </w:t>
      </w:r>
      <w:r w:rsidR="00BE6058">
        <w:t xml:space="preserve">allowing closer </w:t>
      </w:r>
      <w:r w:rsidR="009A5CEB" w:rsidRPr="009A5CEB">
        <w:t xml:space="preserve">conspecific </w:t>
      </w:r>
      <w:r w:rsidR="00130228">
        <w:t>proximity</w:t>
      </w:r>
      <w:r w:rsidR="007737D6">
        <w:t xml:space="preserve">. </w:t>
      </w:r>
      <w:commentRangeStart w:id="39"/>
      <w:r w:rsidR="001E11E0">
        <w:t>G</w:t>
      </w:r>
      <w:r w:rsidR="001E11E0" w:rsidRPr="002442F8">
        <w:t>regarious</w:t>
      </w:r>
      <w:commentRangeEnd w:id="39"/>
      <w:r w:rsidR="00563465">
        <w:rPr>
          <w:rStyle w:val="CommentReference"/>
          <w:sz w:val="22"/>
          <w:szCs w:val="22"/>
        </w:rPr>
        <w:commentReference w:id="39"/>
      </w:r>
      <w:r w:rsidR="001E11E0">
        <w:t xml:space="preserve"> shelter behaviour has been documented in </w:t>
      </w:r>
      <w:r w:rsidR="005C185C">
        <w:t xml:space="preserve">juvenile </w:t>
      </w:r>
      <w:r w:rsidR="006C6467">
        <w:t>b</w:t>
      </w:r>
      <w:r w:rsidR="00E15937">
        <w:t>u</w:t>
      </w:r>
      <w:r w:rsidR="006C6467">
        <w:t>rrowing</w:t>
      </w:r>
      <w:r w:rsidR="001E11E0">
        <w:t xml:space="preserve"> crayfish </w:t>
      </w:r>
      <w:r w:rsidR="00B87BBB">
        <w:t>(</w:t>
      </w:r>
      <w:r w:rsidR="002555AC" w:rsidRPr="002555AC">
        <w:t>Hazlett et al., 2007</w:t>
      </w:r>
      <w:r w:rsidR="002555AC">
        <w:t xml:space="preserve">; </w:t>
      </w:r>
      <w:r w:rsidR="00B87BBB" w:rsidRPr="00DC498D">
        <w:t>Reynolds</w:t>
      </w:r>
      <w:r w:rsidR="00B87BBB">
        <w:t xml:space="preserve"> et al 2013</w:t>
      </w:r>
      <w:r w:rsidR="008E73A0">
        <w:t>;</w:t>
      </w:r>
      <w:r w:rsidR="008E73A0" w:rsidRPr="008E73A0">
        <w:t xml:space="preserve"> Clay et al., 2017</w:t>
      </w:r>
      <w:r w:rsidR="00B87BBB">
        <w:t>)</w:t>
      </w:r>
      <w:r w:rsidR="00CE0E8C">
        <w:t xml:space="preserve"> and is well established </w:t>
      </w:r>
      <w:r w:rsidR="004B43D7">
        <w:t>in lobsters</w:t>
      </w:r>
      <w:r w:rsidR="00F731BB">
        <w:t xml:space="preserve"> including the New Zealand rock lobster</w:t>
      </w:r>
      <w:r w:rsidR="00042ED9">
        <w:t xml:space="preserve"> (</w:t>
      </w:r>
      <w:r w:rsidR="00042ED9" w:rsidRPr="00A95420">
        <w:rPr>
          <w:i/>
          <w:iCs/>
        </w:rPr>
        <w:t>Jasus edwards</w:t>
      </w:r>
      <w:r w:rsidR="00A85E6D">
        <w:rPr>
          <w:i/>
          <w:iCs/>
        </w:rPr>
        <w:t>i</w:t>
      </w:r>
      <w:r w:rsidR="00042ED9" w:rsidRPr="00A95420">
        <w:rPr>
          <w:i/>
          <w:iCs/>
        </w:rPr>
        <w:t>i</w:t>
      </w:r>
      <w:r w:rsidR="00635A56">
        <w:rPr>
          <w:rFonts w:ascii="Arial" w:hAnsi="Arial" w:cs="Arial"/>
          <w:color w:val="000000"/>
          <w:sz w:val="20"/>
          <w:szCs w:val="20"/>
          <w:shd w:val="clear" w:color="auto" w:fill="F8F9FA"/>
        </w:rPr>
        <w:t xml:space="preserve"> </w:t>
      </w:r>
      <w:r w:rsidR="00635A56" w:rsidRPr="003F09EB">
        <w:t>Hutton</w:t>
      </w:r>
      <w:r w:rsidR="00DD5495" w:rsidRPr="00DD5495">
        <w:t>, 1875</w:t>
      </w:r>
      <w:r w:rsidR="00042ED9">
        <w:t>)</w:t>
      </w:r>
      <w:r w:rsidR="004B43D7">
        <w:t xml:space="preserve"> </w:t>
      </w:r>
      <w:r w:rsidR="000823BB" w:rsidRPr="00F12300">
        <w:t>(Butler et al., 1999)</w:t>
      </w:r>
      <w:r w:rsidR="00AC6C3C">
        <w:t>,</w:t>
      </w:r>
      <w:r w:rsidR="000823BB" w:rsidRPr="000823BB">
        <w:t xml:space="preserve"> </w:t>
      </w:r>
      <w:r w:rsidR="007A3F29">
        <w:t>w</w:t>
      </w:r>
      <w:r w:rsidR="009855D1">
        <w:t>h</w:t>
      </w:r>
      <w:r w:rsidR="007A3F29">
        <w:t>ere</w:t>
      </w:r>
      <w:r w:rsidR="00326121">
        <w:t xml:space="preserve"> </w:t>
      </w:r>
      <w:r w:rsidR="00CF2D0E">
        <w:t>conspecific</w:t>
      </w:r>
      <w:r w:rsidR="000823BB">
        <w:t xml:space="preserve"> chemical cues</w:t>
      </w:r>
      <w:r w:rsidR="00E2192D">
        <w:t xml:space="preserve"> </w:t>
      </w:r>
      <w:r w:rsidR="004E0698">
        <w:t xml:space="preserve">attract </w:t>
      </w:r>
      <w:r w:rsidR="00AC6C3C">
        <w:t>individual</w:t>
      </w:r>
      <w:r w:rsidR="00710128">
        <w:t>s</w:t>
      </w:r>
      <w:r w:rsidR="00AC6C3C">
        <w:t xml:space="preserve"> to share refugia </w:t>
      </w:r>
      <w:r w:rsidR="000576E3">
        <w:t xml:space="preserve">and find refugia </w:t>
      </w:r>
      <w:r w:rsidR="00894005">
        <w:t>significantly</w:t>
      </w:r>
      <w:r w:rsidR="000576E3">
        <w:t xml:space="preserve"> faster, reducing </w:t>
      </w:r>
      <w:r w:rsidR="00894005">
        <w:t>predation exposure</w:t>
      </w:r>
      <w:r w:rsidR="000823BB" w:rsidRPr="000823BB">
        <w:t xml:space="preserve"> (</w:t>
      </w:r>
      <w:r w:rsidR="004E0698" w:rsidRPr="004E0698">
        <w:t>Zimmer-Faust</w:t>
      </w:r>
      <w:r w:rsidR="008C03D0">
        <w:t xml:space="preserve"> </w:t>
      </w:r>
      <w:r w:rsidR="004E0698" w:rsidRPr="004E0698">
        <w:t>&amp; Spanier</w:t>
      </w:r>
      <w:r w:rsidR="004E0698">
        <w:t xml:space="preserve"> </w:t>
      </w:r>
      <w:r w:rsidR="004E0698" w:rsidRPr="004E0698">
        <w:t>1987</w:t>
      </w:r>
      <w:r w:rsidR="004E0698">
        <w:t xml:space="preserve">; </w:t>
      </w:r>
      <w:r w:rsidR="000823BB" w:rsidRPr="000823BB">
        <w:t>Childress &amp; Herrnkind, 2001)</w:t>
      </w:r>
      <w:r w:rsidR="00894005">
        <w:t>.</w:t>
      </w:r>
      <w:r w:rsidR="009D394D">
        <w:t xml:space="preserve"> </w:t>
      </w:r>
      <w:r w:rsidR="007D466F">
        <w:t xml:space="preserve">Whether kōura exhibit similar </w:t>
      </w:r>
      <w:r w:rsidR="00B84FB2">
        <w:t>gregarious tendencies remains understudied</w:t>
      </w:r>
      <w:r w:rsidR="000C4A76">
        <w:t xml:space="preserve">, but the preference shift observed in this </w:t>
      </w:r>
      <w:r w:rsidR="00DF1125">
        <w:t xml:space="preserve">study, might suggest that social context </w:t>
      </w:r>
      <w:r w:rsidR="0024044C">
        <w:t>alters shelter preferences.</w:t>
      </w:r>
    </w:p>
    <w:p w14:paraId="1C5A1C65" w14:textId="77777777" w:rsidR="006E6F88" w:rsidRDefault="00EB6D1E">
      <w:pPr>
        <w:pStyle w:val="Heading2"/>
      </w:pPr>
      <w:bookmarkStart w:id="40" w:name="body-size-and-competitive-dynamics"/>
      <w:bookmarkEnd w:id="33"/>
      <w:r>
        <w:t>Body size and competitive dynamics</w:t>
      </w:r>
    </w:p>
    <w:p w14:paraId="48001AF8" w14:textId="6E5C138C" w:rsidR="006E6F88" w:rsidRDefault="00EB6D1E">
      <w:r>
        <w:t xml:space="preserve">Size class consistently influenced refuge preference across experiments, but the pattern differed by context. In experiment 3, larger kōura showed a stronger preference for </w:t>
      </w:r>
      <w:r w:rsidR="009061A9">
        <w:t>f</w:t>
      </w:r>
      <w:r>
        <w:t>lat</w:t>
      </w:r>
      <w:r w:rsidR="009061A9">
        <w:t xml:space="preserve"> s</w:t>
      </w:r>
      <w:r>
        <w:t>tone</w:t>
      </w:r>
      <w:r w:rsidR="009061A9">
        <w:t>s</w:t>
      </w:r>
      <w:r>
        <w:t xml:space="preserve"> over </w:t>
      </w:r>
      <w:r w:rsidR="00820FDF">
        <w:t xml:space="preserve">wooden splits </w:t>
      </w:r>
      <w:r>
        <w:t xml:space="preserve">than smaller individuals, consistent with size dependent shelter selection documented in crayfish (Percival &amp; Moore, 2010; Streissl &amp; Hödl, 2002). This may reflect larger kōura being more capable of asserting dominance over preferred stable refugia through competitive displacement, which is in line with the size-based dominance hierarchy documented in kōura populations (Figler et al., 2005; Ranta &amp; Lindström, 1993; Stewart &amp; Tabak, 2011). In experiment 2, where four structure types were available, small kōura showed the strongest preference for </w:t>
      </w:r>
      <w:r w:rsidR="00D07D49">
        <w:t>f</w:t>
      </w:r>
      <w:r>
        <w:t>lat</w:t>
      </w:r>
      <w:r w:rsidR="00D07D49">
        <w:t xml:space="preserve"> s</w:t>
      </w:r>
      <w:r>
        <w:t>tone</w:t>
      </w:r>
      <w:r w:rsidR="00D07D49">
        <w:t>s</w:t>
      </w:r>
      <w:r>
        <w:t xml:space="preserve"> while large kōura distributed more evenly between </w:t>
      </w:r>
      <w:r w:rsidR="00D07D49">
        <w:t>f</w:t>
      </w:r>
      <w:r>
        <w:t>lat</w:t>
      </w:r>
      <w:r w:rsidR="00D07D49">
        <w:t xml:space="preserve"> s</w:t>
      </w:r>
      <w:r>
        <w:t>tone</w:t>
      </w:r>
      <w:r w:rsidR="00D07D49">
        <w:t>s</w:t>
      </w:r>
      <w:r>
        <w:t xml:space="preserve"> and </w:t>
      </w:r>
      <w:r w:rsidR="00D07D49">
        <w:t>s</w:t>
      </w:r>
      <w:r>
        <w:t>tone</w:t>
      </w:r>
      <w:r w:rsidR="00D07D49">
        <w:t xml:space="preserve"> p</w:t>
      </w:r>
      <w:r>
        <w:t>ile</w:t>
      </w:r>
      <w:r w:rsidR="00D07D49">
        <w:t>s</w:t>
      </w:r>
      <w:r>
        <w:t xml:space="preserve">, suggesting that </w:t>
      </w:r>
      <w:r w:rsidR="00026CFE">
        <w:t xml:space="preserve">the </w:t>
      </w:r>
      <w:r>
        <w:t xml:space="preserve">large continuous surface area </w:t>
      </w:r>
      <w:r w:rsidR="00557208">
        <w:t xml:space="preserve">of the flat stones </w:t>
      </w:r>
      <w:r>
        <w:t>provides refuge spaces proportional to smaller body dimensions (Streissl &amp; Hödl, 2002), while larger individuals find adequate crevice space in either stone configuration. The absence of sex effects in experiment 1 and 4 suggests that refuge preference in kōura is driven primarily by body size and competitive dominance rather than sex (Figler et al., 1999). When refuge availability is limited, competitive hierarchies displace smaller and recently moulted individuals from preferred refugia, leaving them exposed (Figler et al., 2005; Ranta &amp; Lindström, 1993). Providing sufficient refuge spaces with a range of crevice size can reduce agonistic interactions and benefit the whole population (Olsson &amp; Nyström, 2009), supporting complex structure configurations over structures with fixed hole dimensions.</w:t>
      </w:r>
    </w:p>
    <w:p w14:paraId="4717727C" w14:textId="77777777" w:rsidR="006E6F88" w:rsidRDefault="00EB6D1E">
      <w:pPr>
        <w:pStyle w:val="Heading2"/>
      </w:pPr>
      <w:bookmarkStart w:id="41" w:name="restoration-implications"/>
      <w:bookmarkEnd w:id="40"/>
      <w:r>
        <w:t>Restoration implications</w:t>
      </w:r>
    </w:p>
    <w:p w14:paraId="12DF4E0E" w14:textId="4D359ACB" w:rsidR="00134896" w:rsidRDefault="006D5390" w:rsidP="006D5390">
      <w:commentRangeStart w:id="42"/>
      <w:r>
        <w:t xml:space="preserve">With the threat from invasive predatory fish, </w:t>
      </w:r>
      <w:r w:rsidR="00F9749B">
        <w:t>such as</w:t>
      </w:r>
      <w:r>
        <w:t xml:space="preserve"> catfish preying on kōura (Kusabs et al., 2026), enhancing habitat complexity </w:t>
      </w:r>
      <w:r w:rsidR="00EE5721">
        <w:t xml:space="preserve">which </w:t>
      </w:r>
      <w:r w:rsidR="00D80CB8">
        <w:t>provid</w:t>
      </w:r>
      <w:r w:rsidR="00EE5721">
        <w:t>es</w:t>
      </w:r>
      <w:r w:rsidR="00D80CB8">
        <w:t xml:space="preserve"> </w:t>
      </w:r>
      <w:r w:rsidR="008D29F9">
        <w:t xml:space="preserve">shelter spaces </w:t>
      </w:r>
      <w:r>
        <w:t>can be</w:t>
      </w:r>
      <w:r w:rsidR="00B65E01">
        <w:t xml:space="preserve"> a</w:t>
      </w:r>
      <w:r>
        <w:t xml:space="preserve"> </w:t>
      </w:r>
      <w:r w:rsidR="00063FBC">
        <w:t xml:space="preserve">promising </w:t>
      </w:r>
      <w:r w:rsidR="00727183">
        <w:t>management</w:t>
      </w:r>
      <w:r w:rsidR="00063FBC">
        <w:t xml:space="preserve"> tool</w:t>
      </w:r>
      <w:r w:rsidR="00727183">
        <w:t xml:space="preserve">, </w:t>
      </w:r>
      <w:r>
        <w:t xml:space="preserve">as </w:t>
      </w:r>
      <w:r>
        <w:lastRenderedPageBreak/>
        <w:t xml:space="preserve">refuge availability directly influences predation survival (Adams, 2007; Zhao et al., 2024). </w:t>
      </w:r>
      <w:r w:rsidR="00727183">
        <w:t>The present study demonstrates that structural configuration and stability drive refuge preference more strongly than material composition, with stone-based configurations preferred by groups</w:t>
      </w:r>
      <w:r w:rsidR="00727183" w:rsidRPr="00727183">
        <w:t xml:space="preserve"> </w:t>
      </w:r>
      <w:r w:rsidR="00727183">
        <w:t>and no preference detected between materials when dimensions were equal</w:t>
      </w:r>
      <w:r w:rsidR="00194390">
        <w:t>, suggesting that stone-based habitat enhancement structures warrant field evaluation in lake environments.</w:t>
      </w:r>
    </w:p>
    <w:commentRangeEnd w:id="42"/>
    <w:p w14:paraId="698FE971" w14:textId="46CC9962" w:rsidR="006E6F88" w:rsidRDefault="00563465" w:rsidP="0B7DB107">
      <w:r>
        <w:rPr>
          <w:rStyle w:val="CommentReference"/>
          <w:sz w:val="22"/>
          <w:szCs w:val="22"/>
        </w:rPr>
        <w:commentReference w:id="42"/>
      </w:r>
      <w:r w:rsidR="0B7DB107">
        <w:t>The broader restoration literature supports both the structural principle and the choice of natural materials. Structurally stable crevices are important for freshwater species like crayfish (Huolila et al., 1997; Streissl &amp; Hödl, 2002), but also for marine environments, as reef fish, marine shrimp, and lobsters have all been shown to benefit from habitat enhancement structures such as artificial reefs (Dickson et al., 2023; Hylkema et al., 2020; Magnelia et al., 2008; Spanier, 1994). Structures made from stone and wood have been shown to outperform synthetic alternatives and bare substrates (Cooke et al., 2023; Dickson et al., 2023; Huolila et al., 1997; Magnelia et al., 2008), and do not contribute to plastic pollution in the environment (Cooke et al., 2023). Locally sourced natural materials also align with kaitiakitanga, which is the Māori principle of environmental guardianship and preserves the natural character of culturally significant lake environments (Clapcott et al., 2018). Furthermore,</w:t>
      </w:r>
      <w:r w:rsidR="007B0450">
        <w:t xml:space="preserve"> </w:t>
      </w:r>
      <w:r w:rsidR="0B7DB107">
        <w:t>existing habitat surveys suggest that kōura are associated with coarser substrate</w:t>
      </w:r>
      <w:r w:rsidR="003E52F8">
        <w:t>s</w:t>
      </w:r>
      <w:r w:rsidR="0B7DB107">
        <w:t xml:space="preserve"> (Jowett et al., 2008; Kusabs et al., 2015</w:t>
      </w:r>
      <w:r w:rsidR="00267DAA">
        <w:t>b</w:t>
      </w:r>
      <w:r w:rsidR="0B7DB107">
        <w:t xml:space="preserve">; Olsson et al., 2006), and cobbles have previously been used in stream and lake restoration (Huolila et al., 1997; Johnsen &amp; Taugbøl, 2008). For in-lake deployment stone pile structures are </w:t>
      </w:r>
      <w:r w:rsidR="007B0450">
        <w:t>likely</w:t>
      </w:r>
      <w:r w:rsidR="0B7DB107">
        <w:t xml:space="preserve"> to be </w:t>
      </w:r>
      <w:r w:rsidR="007B0450">
        <w:t>the</w:t>
      </w:r>
      <w:r w:rsidR="0B7DB107">
        <w:t xml:space="preserve"> most practical configuration, due to their elevated structure, stone piles are less likely to be buried into soft substrates than flat individual rocks (Garron et al., 2024). </w:t>
      </w:r>
      <w:r w:rsidR="00B64256">
        <w:t>F</w:t>
      </w:r>
      <w:r w:rsidR="0B7DB107">
        <w:t>ield validation in lake environments remains an essential next step, as in-lake conditions including water movement, natural substrate, and predator pressure may modify kōura preferences in ways not captured under controlled conditions.</w:t>
      </w:r>
    </w:p>
    <w:p w14:paraId="50FB918E" w14:textId="77777777" w:rsidR="006E6F88" w:rsidRDefault="00EB6D1E">
      <w:pPr>
        <w:pStyle w:val="Heading2"/>
      </w:pPr>
      <w:bookmarkStart w:id="43" w:name="conclusion"/>
      <w:bookmarkEnd w:id="41"/>
      <w:r>
        <w:t>Conclusion</w:t>
      </w:r>
    </w:p>
    <w:p w14:paraId="5E0BD7F0" w14:textId="77777777" w:rsidR="006E6F88" w:rsidRDefault="00EB6D1E">
      <w:r>
        <w:t>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p w14:paraId="07680CD9" w14:textId="77777777" w:rsidR="006E6F88" w:rsidRDefault="00EB6D1E">
      <w:pPr>
        <w:pStyle w:val="Heading1"/>
      </w:pPr>
      <w:bookmarkStart w:id="44" w:name="acknowledgements"/>
      <w:bookmarkEnd w:id="31"/>
      <w:bookmarkEnd w:id="43"/>
      <w:r>
        <w:lastRenderedPageBreak/>
        <w:t>Acknowledgements</w:t>
      </w:r>
    </w:p>
    <w:p w14:paraId="3DC1A192" w14:textId="77777777" w:rsidR="006E6F88" w:rsidRDefault="00EB6D1E">
      <w:r>
        <w:t>We thank Te Arawa Lakes Trust and Te Komiti Whakahaere for the opportunity to collect and study the treasured kōura. We are grateful to Soweeta Fort-D’ath and William Anaru (Te Arawa Lakes Trust), and Tihini Grant (Ngāti Pikiao). This research was supported by the Fish Futures programme funded through a Ministry of Business, Innovation and Employment grant (CAWX2101).</w:t>
      </w:r>
    </w:p>
    <w:p w14:paraId="4860357B" w14:textId="77777777" w:rsidR="006E6F88" w:rsidRDefault="00EB6D1E">
      <w:pPr>
        <w:pStyle w:val="Heading2"/>
      </w:pPr>
      <w:bookmarkStart w:id="45" w:name="authors-contributions"/>
      <w:r>
        <w:t>Authors’ contributions</w:t>
      </w:r>
    </w:p>
    <w:p w14:paraId="2DF0888D" w14:textId="5697F794" w:rsidR="006E6F88" w:rsidRDefault="00EB6D1E">
      <w:r>
        <w:t xml:space="preserve">Study conception and design were undertaken by O.V.R., R.H. and F.J.B. Experiments were conducted by O.V.R. Data analysis was performed by O.V.R. </w:t>
      </w:r>
      <w:r w:rsidR="000D6789">
        <w:t>E</w:t>
      </w:r>
      <w:r>
        <w:t>cological knowledge and kōura were supplied by I.A.K.K. Manuscript drafting was led by O.V.R. All authors contributed to manuscript revision, approved the results, and the final manuscript.</w:t>
      </w:r>
    </w:p>
    <w:p w14:paraId="7FB34D07" w14:textId="77777777" w:rsidR="006E6F88" w:rsidRDefault="00EB6D1E">
      <w:pPr>
        <w:pStyle w:val="Heading2"/>
      </w:pPr>
      <w:bookmarkStart w:id="46" w:name="ethical-approval"/>
      <w:bookmarkEnd w:id="45"/>
      <w:r>
        <w:t>Ethical approval</w:t>
      </w:r>
    </w:p>
    <w:p w14:paraId="1C9F1482" w14:textId="77777777" w:rsidR="006E6F88" w:rsidRDefault="00EB6D1E">
      <w:r>
        <w:t>This study received ethical approval by University of Waikato animal ethics committee, protocol number: 1207. Additional permission to conduct experiments with kōura was granted by Te Arawa Lakes Trust and Te Komiti Whakahaere.</w:t>
      </w:r>
    </w:p>
    <w:p w14:paraId="1DE28895" w14:textId="77777777" w:rsidR="006E6F88" w:rsidRDefault="00EB6D1E">
      <w:pPr>
        <w:pStyle w:val="Heading2"/>
      </w:pPr>
      <w:bookmarkStart w:id="47" w:name="declarations"/>
      <w:bookmarkEnd w:id="46"/>
      <w:r>
        <w:t>Declarations</w:t>
      </w:r>
    </w:p>
    <w:p w14:paraId="169E8F4D" w14:textId="77777777" w:rsidR="006E6F88" w:rsidRDefault="00EB6D1E">
      <w:r>
        <w:t>The corresponding author has declared that none of the authors has any competing interests.</w:t>
      </w:r>
    </w:p>
    <w:p w14:paraId="5BEC4846" w14:textId="77777777" w:rsidR="006E6F88" w:rsidRDefault="00EB6D1E">
      <w:pPr>
        <w:pStyle w:val="Heading2"/>
      </w:pPr>
      <w:bookmarkStart w:id="48" w:name="data-availability-statement"/>
      <w:bookmarkEnd w:id="47"/>
      <w:r>
        <w:t>Data availability statement</w:t>
      </w:r>
    </w:p>
    <w:p w14:paraId="129D9454" w14:textId="77777777" w:rsidR="006E6F88" w:rsidRDefault="00EB6D1E">
      <w:r>
        <w:t>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p w14:paraId="42500766" w14:textId="77777777" w:rsidR="006E6F88" w:rsidRDefault="00EB6D1E">
      <w:pPr>
        <w:pStyle w:val="Heading1"/>
      </w:pPr>
      <w:bookmarkStart w:id="49" w:name="figures"/>
      <w:bookmarkEnd w:id="44"/>
      <w:bookmarkEnd w:id="48"/>
      <w:r>
        <w:t>Figures</w:t>
      </w:r>
    </w:p>
    <w:tbl>
      <w:tblPr>
        <w:tblW w:w="5000" w:type="pct"/>
        <w:tblLayout w:type="fixed"/>
        <w:tblLook w:val="0000" w:firstRow="0" w:lastRow="0" w:firstColumn="0" w:lastColumn="0" w:noHBand="0" w:noVBand="0"/>
      </w:tblPr>
      <w:tblGrid>
        <w:gridCol w:w="9026"/>
      </w:tblGrid>
      <w:tr w:rsidR="006E6F88" w14:paraId="7ACA5FB7" w14:textId="77777777" w:rsidTr="0B7DB107">
        <w:tc>
          <w:tcPr>
            <w:tcW w:w="7920" w:type="dxa"/>
          </w:tcPr>
          <w:p w14:paraId="1338A654" w14:textId="092D9EA0" w:rsidR="006E6F88" w:rsidRDefault="006E6F88">
            <w:pPr>
              <w:jc w:val="center"/>
            </w:pPr>
            <w:bookmarkStart w:id="50" w:name="fig-exp-setup"/>
          </w:p>
          <w:p w14:paraId="7F51A8EC" w14:textId="6693B509" w:rsidR="006E6F88" w:rsidRDefault="002B7865">
            <w:pPr>
              <w:spacing w:before="200"/>
            </w:pPr>
            <w:r w:rsidRPr="002B7865">
              <w:rPr>
                <w:noProof/>
              </w:rPr>
              <w:lastRenderedPageBreak/>
              <w:drawing>
                <wp:inline distT="0" distB="0" distL="0" distR="0" wp14:anchorId="4B94FDB3" wp14:editId="2DD5974B">
                  <wp:extent cx="5594350" cy="4193540"/>
                  <wp:effectExtent l="0" t="0" r="6350" b="0"/>
                  <wp:docPr id="14" name="Picture 13">
                    <a:extLst xmlns:a="http://schemas.openxmlformats.org/drawingml/2006/main">
                      <a:ext uri="{FF2B5EF4-FFF2-40B4-BE49-F238E27FC236}">
                        <a16:creationId xmlns:a16="http://schemas.microsoft.com/office/drawing/2014/main" id="{FD178C36-10C7-DC27-3B06-69D168DB1A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FD178C36-10C7-DC27-3B06-69D168DB1A33}"/>
                              </a:ext>
                            </a:extLst>
                          </pic:cNvPr>
                          <pic:cNvPicPr>
                            <a:picLocks noChangeAspect="1"/>
                          </pic:cNvPicPr>
                        </pic:nvPicPr>
                        <pic:blipFill>
                          <a:blip r:embed="rId12"/>
                          <a:stretch>
                            <a:fillRect/>
                          </a:stretch>
                        </pic:blipFill>
                        <pic:spPr>
                          <a:xfrm>
                            <a:off x="0" y="0"/>
                            <a:ext cx="5594350" cy="4193540"/>
                          </a:xfrm>
                          <a:prstGeom prst="rect">
                            <a:avLst/>
                          </a:prstGeom>
                        </pic:spPr>
                      </pic:pic>
                    </a:graphicData>
                  </a:graphic>
                </wp:inline>
              </w:drawing>
            </w:r>
            <w:r w:rsidR="0B7DB107">
              <w:t xml:space="preserve">Figure 1: Overhead photographs of experimental tank configurations for each of the </w:t>
            </w:r>
            <w:commentRangeStart w:id="51"/>
            <w:commentRangeStart w:id="52"/>
            <w:r w:rsidR="0B7DB107">
              <w:t>four</w:t>
            </w:r>
            <w:commentRangeEnd w:id="51"/>
            <w:r w:rsidR="007D7D3E">
              <w:rPr>
                <w:rStyle w:val="CommentReference"/>
                <w:sz w:val="22"/>
                <w:szCs w:val="22"/>
              </w:rPr>
              <w:commentReference w:id="51"/>
            </w:r>
            <w:commentRangeEnd w:id="52"/>
            <w:r w:rsidR="00EF4F6C">
              <w:rPr>
                <w:rStyle w:val="CommentReference"/>
                <w:sz w:val="22"/>
                <w:szCs w:val="22"/>
              </w:rPr>
              <w:commentReference w:id="52"/>
            </w:r>
            <w:r w:rsidR="0B7DB107">
              <w:t xml:space="preserve">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tc>
        <w:bookmarkEnd w:id="50"/>
      </w:tr>
      <w:tr w:rsidR="006E6F88" w14:paraId="0ED99855" w14:textId="77777777" w:rsidTr="0B7DB107">
        <w:tc>
          <w:tcPr>
            <w:tcW w:w="7920" w:type="dxa"/>
          </w:tcPr>
          <w:p w14:paraId="40C6E498" w14:textId="0BC9EE06" w:rsidR="006E6F88" w:rsidRDefault="00E16B73">
            <w:pPr>
              <w:jc w:val="center"/>
            </w:pPr>
            <w:bookmarkStart w:id="53" w:name="fig-exp1-ms"/>
            <w:bookmarkStart w:id="54" w:name="cell-fig-exp1-ms"/>
            <w:r>
              <w:rPr>
                <w:noProof/>
              </w:rPr>
              <w:lastRenderedPageBreak/>
              <w:t xml:space="preserve"> </w:t>
            </w:r>
            <w:r w:rsidRPr="00E16B73">
              <w:rPr>
                <w:noProof/>
              </w:rPr>
              <w:drawing>
                <wp:inline distT="0" distB="0" distL="0" distR="0" wp14:anchorId="098C84D7" wp14:editId="04826EDC">
                  <wp:extent cx="4862830" cy="3890264"/>
                  <wp:effectExtent l="0" t="0" r="0" b="0"/>
                  <wp:docPr id="82382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25476" name=""/>
                          <pic:cNvPicPr/>
                        </pic:nvPicPr>
                        <pic:blipFill>
                          <a:blip r:embed="rId13"/>
                          <a:stretch>
                            <a:fillRect/>
                          </a:stretch>
                        </pic:blipFill>
                        <pic:spPr>
                          <a:xfrm>
                            <a:off x="0" y="0"/>
                            <a:ext cx="4868865" cy="3895092"/>
                          </a:xfrm>
                          <a:prstGeom prst="rect">
                            <a:avLst/>
                          </a:prstGeom>
                        </pic:spPr>
                      </pic:pic>
                    </a:graphicData>
                  </a:graphic>
                </wp:inline>
              </w:drawing>
            </w:r>
          </w:p>
          <w:p w14:paraId="4E8E1030" w14:textId="30F62C2D" w:rsidR="007D4B65" w:rsidRPr="003F4253" w:rsidRDefault="0B7DB107" w:rsidP="007D4B65">
            <w:pPr>
              <w:spacing w:before="200"/>
            </w:pPr>
            <w:r w:rsidRPr="003F4253">
              <w:t xml:space="preserve">Figure 2: </w:t>
            </w:r>
            <w:r w:rsidR="007D4B65" w:rsidRPr="003F4253">
              <w:t>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(Fisher's exact test, see results).</w:t>
            </w:r>
          </w:p>
          <w:p w14:paraId="293C7177" w14:textId="47B7D78A" w:rsidR="006E6F88" w:rsidRDefault="006E6F88">
            <w:pPr>
              <w:spacing w:before="200"/>
            </w:pPr>
          </w:p>
        </w:tc>
        <w:bookmarkEnd w:id="53"/>
      </w:tr>
    </w:tbl>
    <w:p w14:paraId="4CB5ADE6" w14:textId="3991E88E" w:rsidR="006E6F88" w:rsidRDefault="006E6F88"/>
    <w:tbl>
      <w:tblPr>
        <w:tblW w:w="5000" w:type="pct"/>
        <w:tblLayout w:type="fixed"/>
        <w:tblLook w:val="0000" w:firstRow="0" w:lastRow="0" w:firstColumn="0" w:lastColumn="0" w:noHBand="0" w:noVBand="0"/>
      </w:tblPr>
      <w:tblGrid>
        <w:gridCol w:w="9026"/>
      </w:tblGrid>
      <w:tr w:rsidR="006E6F88" w14:paraId="3C50CC75" w14:textId="77777777">
        <w:tc>
          <w:tcPr>
            <w:tcW w:w="7920" w:type="dxa"/>
          </w:tcPr>
          <w:p w14:paraId="70DD3328" w14:textId="77777777" w:rsidR="006E6F88" w:rsidRDefault="00EB6D1E">
            <w:pPr>
              <w:jc w:val="center"/>
            </w:pPr>
            <w:bookmarkStart w:id="55" w:name="fig-exp2-ms"/>
            <w:bookmarkStart w:id="56" w:name="cell-fig-exp2-ms"/>
            <w:bookmarkEnd w:id="54"/>
            <w:r>
              <w:rPr>
                <w:noProof/>
              </w:rPr>
              <w:lastRenderedPageBreak/>
              <w:drawing>
                <wp:inline distT="0" distB="0" distL="0" distR="0" wp14:anchorId="074056E9" wp14:editId="4A52EABB">
                  <wp:extent cx="5727700" cy="286385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outputs/fig-exp2.png"/>
                          <pic:cNvPicPr>
                            <a:picLocks noChangeAspect="1" noChangeArrowheads="1"/>
                          </pic:cNvPicPr>
                        </pic:nvPicPr>
                        <pic:blipFill>
                          <a:blip r:embed="rId14"/>
                          <a:stretch>
                            <a:fillRect/>
                          </a:stretch>
                        </pic:blipFill>
                        <pic:spPr bwMode="auto">
                          <a:xfrm>
                            <a:off x="0" y="0"/>
                            <a:ext cx="5727700" cy="2863850"/>
                          </a:xfrm>
                          <a:prstGeom prst="rect">
                            <a:avLst/>
                          </a:prstGeom>
                          <a:noFill/>
                          <a:ln w="9525">
                            <a:noFill/>
                            <a:headEnd/>
                            <a:tailEnd/>
                          </a:ln>
                        </pic:spPr>
                      </pic:pic>
                    </a:graphicData>
                  </a:graphic>
                </wp:inline>
              </w:drawing>
            </w:r>
          </w:p>
          <w:p w14:paraId="7100873B" w14:textId="77777777" w:rsidR="006E6F88" w:rsidRDefault="00EB6D1E">
            <w:pPr>
              <w:spacing w:before="200"/>
            </w:pPr>
            <w:r>
              <w:t>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tc>
        <w:bookmarkEnd w:id="55"/>
      </w:tr>
    </w:tbl>
    <w:p w14:paraId="02C07F3F" w14:textId="0CACAE13" w:rsidR="006E6F88" w:rsidRDefault="006E6F88"/>
    <w:tbl>
      <w:tblPr>
        <w:tblW w:w="9225" w:type="dxa"/>
        <w:tblLayout w:type="fixed"/>
        <w:tblLook w:val="0000" w:firstRow="0" w:lastRow="0" w:firstColumn="0" w:lastColumn="0" w:noHBand="0" w:noVBand="0"/>
      </w:tblPr>
      <w:tblGrid>
        <w:gridCol w:w="9225"/>
      </w:tblGrid>
      <w:tr w:rsidR="006E6F88" w14:paraId="30C04CC2" w14:textId="77777777" w:rsidTr="0B7DB107">
        <w:tc>
          <w:tcPr>
            <w:tcW w:w="9225" w:type="dxa"/>
          </w:tcPr>
          <w:p w14:paraId="2DDE4617" w14:textId="77777777" w:rsidR="006E6F88" w:rsidRDefault="00EB6D1E">
            <w:pPr>
              <w:jc w:val="center"/>
            </w:pPr>
            <w:bookmarkStart w:id="57" w:name="fig-exp3-ms"/>
            <w:bookmarkStart w:id="58" w:name="cell-fig-exp3-ms"/>
            <w:bookmarkEnd w:id="56"/>
            <w:r>
              <w:rPr>
                <w:noProof/>
              </w:rPr>
              <w:drawing>
                <wp:inline distT="0" distB="0" distL="0" distR="0" wp14:anchorId="6A03E9B6" wp14:editId="3329ECE5">
                  <wp:extent cx="5727700" cy="286385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outputs/fig-exp3.png"/>
                          <pic:cNvPicPr>
                            <a:picLocks noChangeAspect="1" noChangeArrowheads="1"/>
                          </pic:cNvPicPr>
                        </pic:nvPicPr>
                        <pic:blipFill>
                          <a:blip r:embed="rId15"/>
                          <a:stretch>
                            <a:fillRect/>
                          </a:stretch>
                        </pic:blipFill>
                        <pic:spPr bwMode="auto">
                          <a:xfrm>
                            <a:off x="0" y="0"/>
                            <a:ext cx="5727700" cy="2863850"/>
                          </a:xfrm>
                          <a:prstGeom prst="rect">
                            <a:avLst/>
                          </a:prstGeom>
                          <a:noFill/>
                          <a:ln w="9525">
                            <a:noFill/>
                            <a:headEnd/>
                            <a:tailEnd/>
                          </a:ln>
                        </pic:spPr>
                      </pic:pic>
                    </a:graphicData>
                  </a:graphic>
                </wp:inline>
              </w:drawing>
            </w:r>
          </w:p>
          <w:p w14:paraId="4333AEA8" w14:textId="648613A2" w:rsidR="006E6F88" w:rsidRDefault="0B7DB107" w:rsidP="0B7DB107">
            <w:pPr>
              <w:spacing w:before="200"/>
            </w:pPr>
            <w:r>
              <w:lastRenderedPageBreak/>
              <w:t>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 used more than expected, ↓ used less than expected. TankWall excluded from model predictions.</w:t>
            </w:r>
          </w:p>
        </w:tc>
        <w:bookmarkEnd w:id="57"/>
      </w:tr>
    </w:tbl>
    <w:p w14:paraId="5C4D6D44" w14:textId="10D86D9B" w:rsidR="006E6F88" w:rsidRDefault="006E6F88"/>
    <w:tbl>
      <w:tblPr>
        <w:tblW w:w="5000" w:type="pct"/>
        <w:tblLayout w:type="fixed"/>
        <w:tblLook w:val="0000" w:firstRow="0" w:lastRow="0" w:firstColumn="0" w:lastColumn="0" w:noHBand="0" w:noVBand="0"/>
      </w:tblPr>
      <w:tblGrid>
        <w:gridCol w:w="9026"/>
      </w:tblGrid>
      <w:tr w:rsidR="006E6F88" w14:paraId="365613FC" w14:textId="77777777">
        <w:tc>
          <w:tcPr>
            <w:tcW w:w="7920" w:type="dxa"/>
          </w:tcPr>
          <w:p w14:paraId="2165ABC9" w14:textId="77777777" w:rsidR="006E6F88" w:rsidRDefault="00EB6D1E">
            <w:pPr>
              <w:jc w:val="center"/>
            </w:pPr>
            <w:bookmarkStart w:id="59" w:name="fig-exp4-ms"/>
            <w:bookmarkStart w:id="60" w:name="cell-fig-exp4-ms"/>
            <w:bookmarkEnd w:id="58"/>
            <w:r>
              <w:rPr>
                <w:noProof/>
              </w:rPr>
              <w:drawing>
                <wp:inline distT="0" distB="0" distL="0" distR="0" wp14:anchorId="6A71D7BE" wp14:editId="2C6E89F6">
                  <wp:extent cx="5727700" cy="286385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outputs/fig-exp4.png"/>
                          <pic:cNvPicPr>
                            <a:picLocks noChangeAspect="1" noChangeArrowheads="1"/>
                          </pic:cNvPicPr>
                        </pic:nvPicPr>
                        <pic:blipFill>
                          <a:blip r:embed="rId16"/>
                          <a:stretch>
                            <a:fillRect/>
                          </a:stretch>
                        </pic:blipFill>
                        <pic:spPr bwMode="auto">
                          <a:xfrm>
                            <a:off x="0" y="0"/>
                            <a:ext cx="5727700" cy="2863850"/>
                          </a:xfrm>
                          <a:prstGeom prst="rect">
                            <a:avLst/>
                          </a:prstGeom>
                          <a:noFill/>
                          <a:ln w="9525">
                            <a:noFill/>
                            <a:headEnd/>
                            <a:tailEnd/>
                          </a:ln>
                        </pic:spPr>
                      </pic:pic>
                    </a:graphicData>
                  </a:graphic>
                </wp:inline>
              </w:drawing>
            </w:r>
          </w:p>
          <w:p w14:paraId="547C0EF1" w14:textId="77777777" w:rsidR="006E6F88" w:rsidRDefault="00EB6D1E">
            <w:pPr>
              <w:spacing w:before="200"/>
            </w:pPr>
            <w:r>
              <w:t>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tc>
        <w:bookmarkEnd w:id="59"/>
      </w:tr>
    </w:tbl>
    <w:p w14:paraId="1F497B9F" w14:textId="7AAA642A" w:rsidR="006E6F88" w:rsidRDefault="003A3A19" w:rsidP="003A3A19">
      <w:pPr>
        <w:pStyle w:val="Heading1"/>
      </w:pPr>
      <w:r w:rsidRPr="003A3A19">
        <w:t>References</w:t>
      </w:r>
    </w:p>
    <w:p w14:paraId="61184AC4" w14:textId="77777777" w:rsidR="006E6F88" w:rsidRDefault="00EB6D1E" w:rsidP="003A3A19">
      <w:pPr>
        <w:ind w:left="720" w:hanging="720"/>
      </w:pPr>
      <w:bookmarkStart w:id="61" w:name="ref-Adams2007"/>
      <w:bookmarkStart w:id="62" w:name="refs"/>
      <w:bookmarkEnd w:id="60"/>
      <w:r>
        <w:t>Adams, S. B. (2007). Direct and indirect effects of channel catfish (</w:t>
      </w:r>
      <w:r w:rsidRPr="00EF4F6C">
        <w:rPr>
          <w:i/>
          <w:iCs/>
        </w:rPr>
        <w:t>ictalurus punctatus</w:t>
      </w:r>
      <w:r>
        <w:t xml:space="preserve">) on native crayfishes (cambaridae) in experimental tanks. </w:t>
      </w:r>
      <w:r>
        <w:rPr>
          <w:i/>
          <w:iCs/>
        </w:rPr>
        <w:t>The American Midland Naturalist</w:t>
      </w:r>
      <w:r>
        <w:t xml:space="preserve">, </w:t>
      </w:r>
      <w:r>
        <w:rPr>
          <w:i/>
          <w:iCs/>
        </w:rPr>
        <w:t>158</w:t>
      </w:r>
      <w:r>
        <w:t xml:space="preserve">(1), 85--96. </w:t>
      </w:r>
      <w:hyperlink r:id="rId17">
        <w:r>
          <w:t>https://doi.org/10.1674/0003-0031(2007)158[85:daieoc]2.0.co;2</w:t>
        </w:r>
      </w:hyperlink>
    </w:p>
    <w:p w14:paraId="7BF93065" w14:textId="77777777" w:rsidR="006E6F88" w:rsidRDefault="00EB6D1E" w:rsidP="003A3A19">
      <w:pPr>
        <w:ind w:left="720" w:hanging="720"/>
      </w:pPr>
      <w:bookmarkStart w:id="63" w:name="ref-Adams2014"/>
      <w:bookmarkEnd w:id="61"/>
      <w:r>
        <w:t xml:space="preserve">Adams, S. B. (2014). Crayfish use of trash versus natural cover in incised, sand-bed streams. </w:t>
      </w:r>
      <w:r>
        <w:rPr>
          <w:i/>
          <w:iCs/>
        </w:rPr>
        <w:t>Environmental Management</w:t>
      </w:r>
      <w:r>
        <w:t xml:space="preserve">, </w:t>
      </w:r>
      <w:r>
        <w:rPr>
          <w:i/>
          <w:iCs/>
        </w:rPr>
        <w:t>53</w:t>
      </w:r>
      <w:r>
        <w:t xml:space="preserve">(2), 382--392. </w:t>
      </w:r>
      <w:hyperlink r:id="rId18">
        <w:r>
          <w:t>https://doi.org/10.1007/s00267-013-0197-3</w:t>
        </w:r>
      </w:hyperlink>
    </w:p>
    <w:p w14:paraId="4ECAFDBB" w14:textId="77777777" w:rsidR="006E6F88" w:rsidRDefault="00EB6D1E" w:rsidP="003A3A19">
      <w:pPr>
        <w:ind w:left="720" w:hanging="720"/>
      </w:pPr>
      <w:bookmarkStart w:id="64" w:name="ref-Burkner2025"/>
      <w:bookmarkEnd w:id="63"/>
      <w:r>
        <w:lastRenderedPageBreak/>
        <w:t xml:space="preserve">Bürkner, P.-C., Gabry, J., Weber, S., &amp; Johnson, A. (2025). </w:t>
      </w:r>
      <w:r>
        <w:rPr>
          <w:i/>
          <w:iCs/>
        </w:rPr>
        <w:t>brms: Bayesian regression models using Stan</w:t>
      </w:r>
      <w:r>
        <w:t xml:space="preserve"> (Version 2.23.0) [Computer software]. </w:t>
      </w:r>
      <w:hyperlink r:id="rId19">
        <w:r>
          <w:t>https://cran.r-project.org/web/packages/brms/index.html</w:t>
        </w:r>
      </w:hyperlink>
    </w:p>
    <w:p w14:paraId="5C74DEBA" w14:textId="77777777" w:rsidR="006E6F88" w:rsidRDefault="00EB6D1E" w:rsidP="003A3A19">
      <w:pPr>
        <w:ind w:left="720" w:hanging="720"/>
      </w:pPr>
      <w:bookmarkStart w:id="65" w:name="ref-Clapcott2018"/>
      <w:bookmarkEnd w:id="64"/>
      <w:r>
        <w:t xml:space="preserve">Clapcott, J., Ataria, J., Hepburn, C., Hikuroa, D., Jackson, A., Kirikiri, R., &amp; Williams, E. (2018). Mātauranga māori: Shaping marine and freshwater futures. </w:t>
      </w:r>
      <w:r>
        <w:rPr>
          <w:i/>
          <w:iCs/>
        </w:rPr>
        <w:t>New Zealand Journal of Marine and Freshwater Research</w:t>
      </w:r>
      <w:r>
        <w:t xml:space="preserve">, </w:t>
      </w:r>
      <w:r>
        <w:rPr>
          <w:i/>
          <w:iCs/>
        </w:rPr>
        <w:t>52</w:t>
      </w:r>
      <w:r>
        <w:t xml:space="preserve">(4), 457--466. </w:t>
      </w:r>
      <w:hyperlink r:id="rId20">
        <w:r>
          <w:t>https://doi.org/10.1080/00288330.2018.1539404</w:t>
        </w:r>
      </w:hyperlink>
    </w:p>
    <w:p w14:paraId="3770FA56" w14:textId="77777777" w:rsidR="00F92292" w:rsidRPr="00F92292" w:rsidRDefault="00F92292" w:rsidP="00F92292">
      <w:pPr>
        <w:ind w:left="720" w:hanging="720"/>
      </w:pPr>
      <w:bookmarkStart w:id="66" w:name="ref-Collier1997"/>
      <w:bookmarkEnd w:id="65"/>
      <w:r w:rsidRPr="00F92292">
        <w:t xml:space="preserve">Clay M., Stoeckel J. &amp; Helms B. (2017). The role of abiotic and biotic cues in burrow habitat selection by juvenile crayfish. </w:t>
      </w:r>
      <w:hyperlink r:id="rId21" w:history="1">
        <w:r w:rsidRPr="00F92292">
          <w:rPr>
            <w:rStyle w:val="Hyperlink"/>
          </w:rPr>
          <w:t>https://doi.org/10.1163/1568539X-00003463</w:t>
        </w:r>
      </w:hyperlink>
    </w:p>
    <w:p w14:paraId="0A915FB6" w14:textId="77777777" w:rsidR="006E6F88" w:rsidRDefault="00EB6D1E" w:rsidP="003A3A19">
      <w:pPr>
        <w:ind w:left="720" w:hanging="720"/>
      </w:pPr>
      <w:r>
        <w:t xml:space="preserve">Collier, K. J., Parkyn, S. M., &amp; Rabeni, C. F. (1997). Koura: A keystone species. </w:t>
      </w:r>
      <w:r>
        <w:rPr>
          <w:i/>
          <w:iCs/>
        </w:rPr>
        <w:t>Water and Atmosphere</w:t>
      </w:r>
      <w:r>
        <w:t xml:space="preserve">, </w:t>
      </w:r>
      <w:r>
        <w:rPr>
          <w:i/>
          <w:iCs/>
        </w:rPr>
        <w:t>5</w:t>
      </w:r>
      <w:r>
        <w:t>(1), 18–20.</w:t>
      </w:r>
    </w:p>
    <w:p w14:paraId="0611904E" w14:textId="77777777" w:rsidR="006E6F88" w:rsidRDefault="00EB6D1E" w:rsidP="003A3A19">
      <w:pPr>
        <w:ind w:left="720" w:hanging="720"/>
      </w:pPr>
      <w:bookmarkStart w:id="67" w:name="ref-Cooke2023"/>
      <w:bookmarkEnd w:id="66"/>
      <w:r>
        <w:t xml:space="preserve">Cooke, S. J., Piczak, M. L., Vermaire, J. C., &amp; Kirkwood, A. E. (2023). On the troubling use of plastic “habitat” structures for fish in freshwater ecosystems – or – when restoration is just littering. </w:t>
      </w:r>
      <w:r>
        <w:rPr>
          <w:i/>
          <w:iCs/>
        </w:rPr>
        <w:t>FACETS</w:t>
      </w:r>
      <w:r>
        <w:t xml:space="preserve">, </w:t>
      </w:r>
      <w:r>
        <w:rPr>
          <w:i/>
          <w:iCs/>
        </w:rPr>
        <w:t>8</w:t>
      </w:r>
      <w:r>
        <w:t xml:space="preserve">, 1--19. </w:t>
      </w:r>
      <w:hyperlink r:id="rId22">
        <w:r>
          <w:t>https://doi.org/10.1139/facets-2022-0210</w:t>
        </w:r>
      </w:hyperlink>
    </w:p>
    <w:p w14:paraId="6AD9A2E0" w14:textId="77777777" w:rsidR="006E6F88" w:rsidRDefault="00EB6D1E" w:rsidP="003A3A19">
      <w:pPr>
        <w:ind w:left="720" w:hanging="720"/>
      </w:pPr>
      <w:bookmarkStart w:id="68" w:name="ref-Dickson2023"/>
      <w:bookmarkEnd w:id="67"/>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 </w:t>
      </w:r>
      <w:r>
        <w:rPr>
          <w:i/>
          <w:iCs/>
        </w:rPr>
        <w:t>Frontiers in Marine Science</w:t>
      </w:r>
      <w:r>
        <w:t xml:space="preserve">, </w:t>
      </w:r>
      <w:r>
        <w:rPr>
          <w:i/>
          <w:iCs/>
        </w:rPr>
        <w:t>10</w:t>
      </w:r>
      <w:r>
        <w:t xml:space="preserve">, 1213790. </w:t>
      </w:r>
      <w:hyperlink r:id="rId23">
        <w:r>
          <w:t>https://doi.org/10.3389/fmars.2023.1213790</w:t>
        </w:r>
      </w:hyperlink>
    </w:p>
    <w:p w14:paraId="3A4A6176" w14:textId="77777777" w:rsidR="006E6F88" w:rsidRDefault="00EB6D1E" w:rsidP="003A3A19">
      <w:pPr>
        <w:ind w:left="720" w:hanging="720"/>
      </w:pPr>
      <w:bookmarkStart w:id="69" w:name="ref-Engels2014"/>
      <w:bookmarkEnd w:id="68"/>
      <w:r>
        <w:t xml:space="preserve">Engels, B. (2014). XNomial: Exact goodness-of-fit test for multinomial data with fixed probabilities. In </w:t>
      </w:r>
      <w:r>
        <w:rPr>
          <w:i/>
          <w:iCs/>
        </w:rPr>
        <w:t>CRAN: Contributed Packages</w:t>
      </w:r>
      <w:r>
        <w:t xml:space="preserve">. The R Foundation. </w:t>
      </w:r>
      <w:hyperlink r:id="rId24">
        <w:r>
          <w:t>https://doi.org/10.32614/cran.package.xnomial</w:t>
        </w:r>
      </w:hyperlink>
    </w:p>
    <w:p w14:paraId="5289CFE5" w14:textId="77777777" w:rsidR="006E6F88" w:rsidRDefault="00EB6D1E" w:rsidP="003A3A19">
      <w:pPr>
        <w:ind w:left="720" w:hanging="720"/>
      </w:pPr>
      <w:bookmarkStart w:id="70" w:name="ref-Figler2005"/>
      <w:bookmarkEnd w:id="69"/>
      <w:r>
        <w:t xml:space="preserve">Figler, M. H., Blank, G. S., &amp; Peeke, H. V. S. (2005). Shelter competition between resident male red swamp crayfish </w:t>
      </w:r>
      <w:r>
        <w:rPr>
          <w:i/>
          <w:iCs/>
        </w:rPr>
        <w:t>Procambarus clarkii</w:t>
      </w:r>
      <w:r>
        <w:t xml:space="preserve"> (girard) and conspecific intruders varying by sex and reproductive status. </w:t>
      </w:r>
      <w:r>
        <w:rPr>
          <w:i/>
          <w:iCs/>
        </w:rPr>
        <w:t>Marine and Freshwater Behaviour and Physiology</w:t>
      </w:r>
      <w:r>
        <w:t xml:space="preserve">, </w:t>
      </w:r>
      <w:r>
        <w:rPr>
          <w:i/>
          <w:iCs/>
        </w:rPr>
        <w:t>38</w:t>
      </w:r>
      <w:r>
        <w:t xml:space="preserve">(4), 237--248. </w:t>
      </w:r>
      <w:hyperlink r:id="rId25">
        <w:r>
          <w:t>https://doi.org/10.1080/10236240500376477</w:t>
        </w:r>
      </w:hyperlink>
    </w:p>
    <w:p w14:paraId="0BF970D7" w14:textId="77777777" w:rsidR="006E6F88" w:rsidRDefault="00EB6D1E" w:rsidP="003A3A19">
      <w:pPr>
        <w:ind w:left="720" w:hanging="720"/>
      </w:pPr>
      <w:bookmarkStart w:id="71" w:name="ref-Figler1999"/>
      <w:bookmarkEnd w:id="70"/>
      <w:r>
        <w:t xml:space="preserve">Figler, M. H., Cheverton, H. M., &amp; Blank, G. S. (1999). Shelter competition in juvenile red swamp crayfish (procambarus clarkii): The influences of sex differences, relative size, and prior residence. </w:t>
      </w:r>
      <w:r>
        <w:rPr>
          <w:i/>
          <w:iCs/>
        </w:rPr>
        <w:t>Aquaculture</w:t>
      </w:r>
      <w:r>
        <w:t xml:space="preserve">, </w:t>
      </w:r>
      <w:r>
        <w:rPr>
          <w:i/>
          <w:iCs/>
        </w:rPr>
        <w:t>178</w:t>
      </w:r>
      <w:r>
        <w:t xml:space="preserve">(1-2), 63--75. </w:t>
      </w:r>
      <w:hyperlink r:id="rId26">
        <w:r>
          <w:t>https://doi.org/10.1016/s0044-8486(99)00114-3</w:t>
        </w:r>
      </w:hyperlink>
    </w:p>
    <w:p w14:paraId="460D1BB6" w14:textId="77777777" w:rsidR="006E6F88" w:rsidRDefault="00EB6D1E" w:rsidP="003A3A19">
      <w:pPr>
        <w:ind w:left="720" w:hanging="720"/>
      </w:pPr>
      <w:bookmarkStart w:id="72" w:name="ref-Garron2024"/>
      <w:bookmarkEnd w:id="71"/>
      <w:r>
        <w:t xml:space="preserve">Garron, C., Pangaud, A., Taubaty, M., Rolan‐Meynard, M., Argillier, C., Raymond, J., Dublon, J., &amp; Westrelin, S. (2024). Towards the development of a standardized method to monitor </w:t>
      </w:r>
      <w:r>
        <w:lastRenderedPageBreak/>
        <w:t xml:space="preserve">lakeshore hydromorphological restoration measures. </w:t>
      </w:r>
      <w:r>
        <w:rPr>
          <w:i/>
          <w:iCs/>
        </w:rPr>
        <w:t>Aquatic Conservation: Marine and Freshwater Ecosystems</w:t>
      </w:r>
      <w:r>
        <w:t xml:space="preserve">, </w:t>
      </w:r>
      <w:r>
        <w:rPr>
          <w:i/>
          <w:iCs/>
        </w:rPr>
        <w:t>34</w:t>
      </w:r>
      <w:r>
        <w:t xml:space="preserve">(4). </w:t>
      </w:r>
      <w:hyperlink r:id="rId27">
        <w:r>
          <w:t>https://doi.org/10.1002/aqc.4152</w:t>
        </w:r>
      </w:hyperlink>
    </w:p>
    <w:p w14:paraId="7FECF4A6" w14:textId="77777777" w:rsidR="006E6F88" w:rsidRDefault="00EB6D1E" w:rsidP="003A3A19">
      <w:pPr>
        <w:ind w:left="720" w:hanging="720"/>
      </w:pPr>
      <w:bookmarkStart w:id="73" w:name="ref-Gelman1992"/>
      <w:bookmarkEnd w:id="72"/>
      <w:r>
        <w:t xml:space="preserve">Gelman, A., &amp; Rubin, D. B. (1992). Inference from iterative simulation using multiple sequences. </w:t>
      </w:r>
      <w:r>
        <w:rPr>
          <w:i/>
          <w:iCs/>
        </w:rPr>
        <w:t>Statistical Science</w:t>
      </w:r>
      <w:r>
        <w:t xml:space="preserve">, </w:t>
      </w:r>
      <w:r>
        <w:rPr>
          <w:i/>
          <w:iCs/>
        </w:rPr>
        <w:t>7</w:t>
      </w:r>
      <w:r>
        <w:t xml:space="preserve">(4), 457–472. </w:t>
      </w:r>
      <w:hyperlink r:id="rId28">
        <w:r>
          <w:t>https://doi.org/10.1214/ss/1177011136</w:t>
        </w:r>
      </w:hyperlink>
    </w:p>
    <w:p w14:paraId="407274D9" w14:textId="77777777" w:rsidR="006E6F88" w:rsidRDefault="00EB6D1E" w:rsidP="003A3A19">
      <w:pPr>
        <w:ind w:left="720" w:hanging="720"/>
      </w:pPr>
      <w:bookmarkStart w:id="74" w:name="ref-Hammond2006"/>
      <w:bookmarkEnd w:id="73"/>
      <w:r>
        <w:t xml:space="preserve">Hammond, K. S., Hollows, J. W., Townsend, C. R., &amp; Lokman, P. M. (2006). Effects of temperature and water calcium concentration on growth, survival and moulting of freshwater crayfish, paranephrops zealandicus. </w:t>
      </w:r>
      <w:r>
        <w:rPr>
          <w:i/>
          <w:iCs/>
        </w:rPr>
        <w:t>Aquaculture</w:t>
      </w:r>
      <w:r>
        <w:t xml:space="preserve">, </w:t>
      </w:r>
      <w:r>
        <w:rPr>
          <w:i/>
          <w:iCs/>
        </w:rPr>
        <w:t>251</w:t>
      </w:r>
      <w:r>
        <w:t xml:space="preserve">(2-4), 271--279. </w:t>
      </w:r>
      <w:hyperlink r:id="rId29">
        <w:r>
          <w:t>https://doi.org/10.1016/j.aquaculture.2005.05.032</w:t>
        </w:r>
      </w:hyperlink>
    </w:p>
    <w:p w14:paraId="1ADEF669" w14:textId="77777777" w:rsidR="008223F3" w:rsidRPr="008223F3" w:rsidRDefault="008223F3" w:rsidP="008223F3">
      <w:pPr>
        <w:ind w:left="720" w:hanging="720"/>
      </w:pPr>
      <w:bookmarkStart w:id="75" w:name="ref-Huolila1997"/>
      <w:bookmarkEnd w:id="74"/>
      <w:r w:rsidRPr="008223F3">
        <w:t xml:space="preserve">Hazlett B.A., Lawler S. &amp; Edney G. (2007). Agonistic behavior of the crayfish Euastacus armatus and Cherax destructor. </w:t>
      </w:r>
      <w:r w:rsidRPr="008223F3">
        <w:rPr>
          <w:i/>
          <w:iCs/>
        </w:rPr>
        <w:t>Marine and Freshwater Behaviour and Physiology</w:t>
      </w:r>
      <w:r w:rsidRPr="008223F3">
        <w:t xml:space="preserve"> </w:t>
      </w:r>
      <w:r w:rsidRPr="008223F3">
        <w:rPr>
          <w:b/>
          <w:bCs/>
        </w:rPr>
        <w:t>40</w:t>
      </w:r>
      <w:r w:rsidRPr="008223F3">
        <w:t xml:space="preserve">, 257–266. </w:t>
      </w:r>
      <w:hyperlink r:id="rId30" w:history="1">
        <w:r w:rsidRPr="008223F3">
          <w:rPr>
            <w:rStyle w:val="Hyperlink"/>
          </w:rPr>
          <w:t>https://doi.org/10.1080/10236240701562412</w:t>
        </w:r>
      </w:hyperlink>
    </w:p>
    <w:p w14:paraId="01F97C15" w14:textId="77777777" w:rsidR="006E6F88" w:rsidRDefault="00EB6D1E" w:rsidP="003A3A19">
      <w:pPr>
        <w:ind w:left="720" w:hanging="720"/>
      </w:pPr>
      <w:r>
        <w:t xml:space="preserve">Huolila, M., Marjomäki, T. J., &amp; Laukkanen, E. (1997). The success of crayfish stocking in a dredged river with and without artificial shelter increase. </w:t>
      </w:r>
      <w:r>
        <w:rPr>
          <w:i/>
          <w:iCs/>
        </w:rPr>
        <w:t>Fisheries Research</w:t>
      </w:r>
      <w:r>
        <w:t xml:space="preserve">, </w:t>
      </w:r>
      <w:r>
        <w:rPr>
          <w:i/>
          <w:iCs/>
        </w:rPr>
        <w:t>32</w:t>
      </w:r>
      <w:r>
        <w:t xml:space="preserve">(2), 185--189. </w:t>
      </w:r>
      <w:hyperlink r:id="rId31">
        <w:r>
          <w:t>https://doi.org/10.1016/s0165-7836(97)00046-5</w:t>
        </w:r>
      </w:hyperlink>
    </w:p>
    <w:p w14:paraId="0A54BB8C" w14:textId="77777777" w:rsidR="006E6F88" w:rsidRDefault="00EB6D1E" w:rsidP="003A3A19">
      <w:pPr>
        <w:ind w:left="720" w:hanging="720"/>
      </w:pPr>
      <w:bookmarkStart w:id="76" w:name="ref-Hylkema2020"/>
      <w:bookmarkEnd w:id="75"/>
      <w:r>
        <w:t xml:space="preserve">Hylkema, A., Debrot, A. O., Osinga, R., Bron, P. S., Heesink, D. B., Izioka, A. K., Reid, C. B., Rippen, J. C., Treibitz, T., Yuval, M., &amp; Murk, A. J. (2020). Fish assemblages of three common artificial reef designs during early colonization. </w:t>
      </w:r>
      <w:r>
        <w:rPr>
          <w:i/>
          <w:iCs/>
        </w:rPr>
        <w:t>Ecological Engineering</w:t>
      </w:r>
      <w:r>
        <w:t xml:space="preserve">, </w:t>
      </w:r>
      <w:r>
        <w:rPr>
          <w:i/>
          <w:iCs/>
        </w:rPr>
        <w:t>157</w:t>
      </w:r>
      <w:r>
        <w:t xml:space="preserve">, 105994. </w:t>
      </w:r>
      <w:hyperlink r:id="rId32">
        <w:r>
          <w:t>https://doi.org/10.1016/j.ecoleng.2020.105994</w:t>
        </w:r>
      </w:hyperlink>
    </w:p>
    <w:p w14:paraId="6FABAE1E" w14:textId="77777777" w:rsidR="006E6F88" w:rsidRDefault="00EB6D1E" w:rsidP="003A3A19">
      <w:pPr>
        <w:ind w:left="720" w:hanging="720"/>
      </w:pPr>
      <w:bookmarkStart w:id="77" w:name="ref-Johnsen2008"/>
      <w:bookmarkEnd w:id="76"/>
      <w:r>
        <w:t xml:space="preserve">Johnsen, S. I., &amp; Taugbøl, T. (2008). Add stones, get crayfish – is it that simple? </w:t>
      </w:r>
      <w:r>
        <w:rPr>
          <w:i/>
          <w:iCs/>
        </w:rPr>
        <w:t>Freshwater Crayfish</w:t>
      </w:r>
      <w:r>
        <w:t xml:space="preserve">, </w:t>
      </w:r>
      <w:r>
        <w:rPr>
          <w:i/>
          <w:iCs/>
        </w:rPr>
        <w:t>16</w:t>
      </w:r>
      <w:r>
        <w:t>(1), 47–50.</w:t>
      </w:r>
    </w:p>
    <w:p w14:paraId="2843A0F2" w14:textId="77777777" w:rsidR="006E6F88" w:rsidRDefault="00EB6D1E" w:rsidP="003A3A19">
      <w:pPr>
        <w:ind w:left="720" w:hanging="720"/>
      </w:pPr>
      <w:bookmarkStart w:id="78" w:name="ref-Jowett2008"/>
      <w:bookmarkEnd w:id="77"/>
      <w:r>
        <w:t xml:space="preserve">Jowett, I. G., Parkyn, S. M., &amp; Richardson, J. (2008). Habitat characteristics of crayfish (paranephrops planifrons) in new zealand streams using generalised additive models (GAMs). </w:t>
      </w:r>
      <w:r>
        <w:rPr>
          <w:i/>
          <w:iCs/>
        </w:rPr>
        <w:t>Hydrobiologia</w:t>
      </w:r>
      <w:r>
        <w:t xml:space="preserve">, </w:t>
      </w:r>
      <w:r>
        <w:rPr>
          <w:i/>
          <w:iCs/>
        </w:rPr>
        <w:t>596</w:t>
      </w:r>
      <w:r>
        <w:t xml:space="preserve">(1), 353--365. </w:t>
      </w:r>
      <w:hyperlink r:id="rId33">
        <w:r>
          <w:t>https://doi.org/10.1007/s10750-007-9108-z</w:t>
        </w:r>
      </w:hyperlink>
    </w:p>
    <w:p w14:paraId="45823B0E" w14:textId="77777777" w:rsidR="006E6F88" w:rsidRDefault="00EB6D1E" w:rsidP="003A3A19">
      <w:pPr>
        <w:ind w:left="720" w:hanging="720"/>
      </w:pPr>
      <w:bookmarkStart w:id="79" w:name="ref-Jurcak2016"/>
      <w:bookmarkEnd w:id="78"/>
      <w:r>
        <w:t xml:space="preserve">Jurcak, A. M., Lahman, S. E., Wofford, S. J., &amp; Moore, P. A. (2016). Behavior of crayfish. In </w:t>
      </w:r>
      <w:r>
        <w:rPr>
          <w:i/>
          <w:iCs/>
        </w:rPr>
        <w:t>Biology and ecology of crayfish</w:t>
      </w:r>
      <w:r>
        <w:t>. CRC Press.</w:t>
      </w:r>
    </w:p>
    <w:p w14:paraId="66C6A258" w14:textId="77777777" w:rsidR="006E6F88" w:rsidRDefault="00EB6D1E" w:rsidP="003A3A19">
      <w:pPr>
        <w:ind w:left="720" w:hanging="720"/>
      </w:pPr>
      <w:bookmarkStart w:id="80" w:name="ref-Kusabs2009"/>
      <w:bookmarkEnd w:id="79"/>
      <w:r>
        <w:t xml:space="preserve">Kusabs, I. A., &amp; Quinn, J. M. (2009). Use of a traditional maori harvesting method, the tau kōura, for monitoring kōura (freshwater crayfish, paranephrops planifrons) in lake rotoiti, north island, new zealand. </w:t>
      </w:r>
      <w:r>
        <w:rPr>
          <w:i/>
          <w:iCs/>
        </w:rPr>
        <w:t>New Zealand Journal of Marine and Freshwater Research</w:t>
      </w:r>
      <w:r>
        <w:t xml:space="preserve">, </w:t>
      </w:r>
      <w:r>
        <w:rPr>
          <w:i/>
          <w:iCs/>
        </w:rPr>
        <w:t>43</w:t>
      </w:r>
      <w:r>
        <w:t xml:space="preserve">(3), 713–722. </w:t>
      </w:r>
      <w:hyperlink r:id="rId34">
        <w:r>
          <w:t>https://doi.org/10.1080/00288330909510036</w:t>
        </w:r>
      </w:hyperlink>
    </w:p>
    <w:p w14:paraId="7CB74BF0" w14:textId="707383CD" w:rsidR="007D7D3E" w:rsidRPr="007D7D3E" w:rsidRDefault="007D7D3E" w:rsidP="007D7D3E">
      <w:pPr>
        <w:ind w:left="720" w:hanging="720"/>
      </w:pPr>
      <w:bookmarkStart w:id="81" w:name="ref-Kusabs2015"/>
      <w:bookmarkEnd w:id="80"/>
      <w:r w:rsidRPr="007D7D3E">
        <w:lastRenderedPageBreak/>
        <w:t>Kusabs I.A., Hicks B.J., Quinn J.M. &amp; Hamilton D.P. (2015</w:t>
      </w:r>
      <w:r>
        <w:t>a</w:t>
      </w:r>
      <w:r w:rsidRPr="007D7D3E">
        <w:t xml:space="preserve">). Sustainable management of freshwater crayfish (kōura, Paranephrops planifrons) in Te Arawa (Rotorua) lakes, North Island, New Zealand. </w:t>
      </w:r>
      <w:r w:rsidRPr="007D7D3E">
        <w:rPr>
          <w:i/>
          <w:iCs/>
        </w:rPr>
        <w:t>Fisheries Research</w:t>
      </w:r>
      <w:r w:rsidRPr="007D7D3E">
        <w:t xml:space="preserve"> </w:t>
      </w:r>
      <w:r w:rsidRPr="00E11FAF">
        <w:t>168</w:t>
      </w:r>
      <w:r w:rsidRPr="007D7D3E">
        <w:t xml:space="preserve">, 35–46. </w:t>
      </w:r>
      <w:hyperlink r:id="rId35" w:history="1">
        <w:r w:rsidRPr="00E11FAF">
          <w:rPr>
            <w:rStyle w:val="Hyperlink"/>
            <w:color w:val="auto"/>
            <w:u w:val="none"/>
          </w:rPr>
          <w:t>https://doi.org/10.1016/j.fishres.2015.03.015</w:t>
        </w:r>
      </w:hyperlink>
    </w:p>
    <w:p w14:paraId="6D4EF111" w14:textId="7F313395" w:rsidR="006E6F88" w:rsidRDefault="00EB6D1E" w:rsidP="003A3A19">
      <w:pPr>
        <w:ind w:left="720" w:hanging="720"/>
      </w:pPr>
      <w:r>
        <w:t>Kusabs, I. A., Quinn, J. M., &amp; Hamilton, D. P. (2015</w:t>
      </w:r>
      <w:r w:rsidR="007D7D3E">
        <w:t>b</w:t>
      </w:r>
      <w:r>
        <w:t xml:space="preserve">). Effects of benthic substrate, nutrient enrichment and predatory fish on freshwater crayfish (koura, paranephrops planifrons) population characteristics in seven te arawa (rotorua) lakes, north island, new zealand. </w:t>
      </w:r>
      <w:r>
        <w:rPr>
          <w:i/>
          <w:iCs/>
        </w:rPr>
        <w:t>Marine and Freshwater Research</w:t>
      </w:r>
      <w:r>
        <w:t xml:space="preserve">, </w:t>
      </w:r>
      <w:r>
        <w:rPr>
          <w:i/>
          <w:iCs/>
        </w:rPr>
        <w:t>66</w:t>
      </w:r>
      <w:r>
        <w:t xml:space="preserve">(7), 631–643. </w:t>
      </w:r>
      <w:hyperlink r:id="rId36">
        <w:r>
          <w:t>https://doi.org/10.1071/mf14148</w:t>
        </w:r>
      </w:hyperlink>
    </w:p>
    <w:p w14:paraId="41753EFC" w14:textId="77777777" w:rsidR="003E0E7D" w:rsidRPr="006B24B7" w:rsidRDefault="003E0E7D" w:rsidP="003E0E7D">
      <w:pPr>
        <w:ind w:left="720" w:hanging="720"/>
      </w:pPr>
      <w:bookmarkStart w:id="82" w:name="ref-Lee2025"/>
      <w:bookmarkEnd w:id="81"/>
      <w:r w:rsidRPr="006B24B7">
        <w:t xml:space="preserve">Kusabs, I. A. K., Duggan, I. C., Bruere, A. C., Scholes, P., Te Kurapa, T. W., Grant, T. M., &amp; Burdon, F. J. (2026). Invasive catfish linked to the decline of freshwater crayfish in two Aotearoa New Zealand lakes. </w:t>
      </w:r>
      <w:r w:rsidRPr="006B24B7">
        <w:rPr>
          <w:i/>
          <w:iCs/>
        </w:rPr>
        <w:t>Biological Invasions</w:t>
      </w:r>
      <w:r w:rsidRPr="006B24B7">
        <w:t xml:space="preserve">, </w:t>
      </w:r>
      <w:r w:rsidRPr="006B24B7">
        <w:rPr>
          <w:i/>
          <w:iCs/>
        </w:rPr>
        <w:t>28</w:t>
      </w:r>
      <w:r w:rsidRPr="006B24B7">
        <w:t xml:space="preserve">(6), 143. </w:t>
      </w:r>
      <w:hyperlink r:id="rId37" w:history="1">
        <w:r w:rsidRPr="00EF4F6C">
          <w:rPr>
            <w:rStyle w:val="Hyperlink"/>
            <w:color w:val="auto"/>
            <w:u w:val="none"/>
          </w:rPr>
          <w:t>https://doi.org/10.1007/s10530-026-03852-0</w:t>
        </w:r>
      </w:hyperlink>
    </w:p>
    <w:p w14:paraId="088316FC" w14:textId="77777777" w:rsidR="006E6F88" w:rsidRDefault="00EB6D1E" w:rsidP="003A3A19">
      <w:pPr>
        <w:ind w:left="720" w:hanging="720"/>
      </w:pPr>
      <w:r>
        <w:t xml:space="preserve">Lee, F., Kusabs, I. A. K., Perry, G. L. W., &amp; MacNeil, C. (2025). Identifying refugia from the synergistic threats of climate change and invasive species. </w:t>
      </w:r>
      <w:r>
        <w:rPr>
          <w:i/>
          <w:iCs/>
        </w:rPr>
        <w:t>Web Ecology</w:t>
      </w:r>
      <w:r>
        <w:t xml:space="preserve">, </w:t>
      </w:r>
      <w:r>
        <w:rPr>
          <w:i/>
          <w:iCs/>
        </w:rPr>
        <w:t>25</w:t>
      </w:r>
      <w:r>
        <w:t xml:space="preserve">(2), 221–239. </w:t>
      </w:r>
      <w:hyperlink r:id="rId38">
        <w:r>
          <w:t>https://doi.org/10.5194/we-25-221-2025</w:t>
        </w:r>
      </w:hyperlink>
    </w:p>
    <w:p w14:paraId="28157420" w14:textId="77777777" w:rsidR="006E6F88" w:rsidRDefault="00EB6D1E" w:rsidP="003A3A19">
      <w:pPr>
        <w:ind w:left="720" w:hanging="720"/>
      </w:pPr>
      <w:bookmarkStart w:id="83" w:name="ref-Magnelia2008"/>
      <w:bookmarkEnd w:id="82"/>
      <w:r>
        <w:t xml:space="preserve">Magnelia, S. J., Jesus, M. J. D., Schlechte, J. W., Cummings, G. C., &amp; Duty, J. L. (2008). </w:t>
      </w:r>
      <w:r>
        <w:rPr>
          <w:i/>
          <w:iCs/>
        </w:rPr>
        <w:t>Comparison of plastic pipe and juniper tree fish attractors in a central texas reservoir</w:t>
      </w:r>
      <w:r>
        <w:t>.</w:t>
      </w:r>
    </w:p>
    <w:p w14:paraId="5A14BA67" w14:textId="77777777" w:rsidR="006E6F88" w:rsidRDefault="00EB6D1E" w:rsidP="003A3A19">
      <w:pPr>
        <w:ind w:left="720" w:hanging="720"/>
      </w:pPr>
      <w:bookmarkStart w:id="84" w:name="ref-Mazlum2017"/>
      <w:bookmarkEnd w:id="83"/>
      <w:r>
        <w:t xml:space="preserve">Mazlum, Y., Guner Gurlek, O., &amp; Sirin, S. (2017). Effect of different substrates on survival and growth of juveniles of the freshwater narrow-clawed crayfish astacus leptodactylus eschscholtz, 1823 (decapoda, astacidae). </w:t>
      </w:r>
      <w:r>
        <w:rPr>
          <w:i/>
          <w:iCs/>
        </w:rPr>
        <w:t>Crustaceana</w:t>
      </w:r>
      <w:r>
        <w:t xml:space="preserve">, </w:t>
      </w:r>
      <w:r>
        <w:rPr>
          <w:i/>
          <w:iCs/>
        </w:rPr>
        <w:t>90</w:t>
      </w:r>
      <w:r>
        <w:t xml:space="preserve">(11-12), 1289--1302. </w:t>
      </w:r>
      <w:hyperlink r:id="rId39">
        <w:r>
          <w:t>https://doi.org/10.1163/15685403-00003724</w:t>
        </w:r>
      </w:hyperlink>
    </w:p>
    <w:p w14:paraId="76637248" w14:textId="77777777" w:rsidR="006E6F88" w:rsidRDefault="00EB6D1E" w:rsidP="003A3A19">
      <w:pPr>
        <w:ind w:left="720" w:hanging="720"/>
      </w:pPr>
      <w:bookmarkStart w:id="85" w:name="ref-Momot1995"/>
      <w:bookmarkEnd w:id="84"/>
      <w:r>
        <w:t xml:space="preserve">Momot, W. T. (1995). Redefining the role of crayfish in aquatic ecosystems. </w:t>
      </w:r>
      <w:r>
        <w:rPr>
          <w:i/>
          <w:iCs/>
        </w:rPr>
        <w:t>Reviews in Fisheries Science</w:t>
      </w:r>
      <w:r>
        <w:t xml:space="preserve">, </w:t>
      </w:r>
      <w:r>
        <w:rPr>
          <w:i/>
          <w:iCs/>
        </w:rPr>
        <w:t>3</w:t>
      </w:r>
      <w:r>
        <w:t xml:space="preserve">(1), 33--63. </w:t>
      </w:r>
      <w:hyperlink r:id="rId40">
        <w:r>
          <w:t>https://doi.org/10.1080/10641269509388566</w:t>
        </w:r>
      </w:hyperlink>
    </w:p>
    <w:p w14:paraId="60242A2B" w14:textId="77777777" w:rsidR="006E6F88" w:rsidRDefault="00EB6D1E" w:rsidP="003A3A19">
      <w:pPr>
        <w:ind w:left="720" w:hanging="720"/>
      </w:pPr>
      <w:bookmarkStart w:id="86" w:name="ref-Olsson2009"/>
      <w:bookmarkEnd w:id="85"/>
      <w:r>
        <w:t>Olsson, K., &amp; Nyström, P. (2009). Non-interactive effects of habitat complexity and adult crayfish on survival and growth of juvenile crayfish (</w:t>
      </w:r>
      <w:r>
        <w:rPr>
          <w:i/>
          <w:iCs/>
        </w:rPr>
        <w:t>Pacifastacus leniusculus</w:t>
      </w:r>
      <w:r>
        <w:t xml:space="preserve">). </w:t>
      </w:r>
      <w:r>
        <w:rPr>
          <w:i/>
          <w:iCs/>
        </w:rPr>
        <w:t>Freshwater Biology</w:t>
      </w:r>
      <w:r>
        <w:t xml:space="preserve">, </w:t>
      </w:r>
      <w:r>
        <w:rPr>
          <w:i/>
          <w:iCs/>
        </w:rPr>
        <w:t>54</w:t>
      </w:r>
      <w:r>
        <w:t xml:space="preserve">(1), 35--46. </w:t>
      </w:r>
      <w:hyperlink r:id="rId41">
        <w:r>
          <w:t>https://doi.org/10.1111/j.1365-2427.2008.02089.x</w:t>
        </w:r>
      </w:hyperlink>
    </w:p>
    <w:p w14:paraId="667290C1" w14:textId="77777777" w:rsidR="006E6F88" w:rsidRDefault="00EB6D1E" w:rsidP="003A3A19">
      <w:pPr>
        <w:ind w:left="720" w:hanging="720"/>
      </w:pPr>
      <w:bookmarkStart w:id="87" w:name="ref-Olsson2006"/>
      <w:bookmarkEnd w:id="86"/>
      <w:r>
        <w:t xml:space="preserve">Olsson, K., Stenroth, P., Nyström, P., Holmqvist, N., McIntosh, A. R., &amp; Winterbourn, M. J. (2006). Does natural acidity mediate interactions between introduced brown trout, native fish, crayfish and other invertebrates in west coast new zealand streams? </w:t>
      </w:r>
      <w:r>
        <w:rPr>
          <w:i/>
          <w:iCs/>
        </w:rPr>
        <w:t>Biological Conservation</w:t>
      </w:r>
      <w:r>
        <w:t xml:space="preserve">, </w:t>
      </w:r>
      <w:r>
        <w:rPr>
          <w:i/>
          <w:iCs/>
        </w:rPr>
        <w:t>130</w:t>
      </w:r>
      <w:r>
        <w:t xml:space="preserve">(2), 255--267. </w:t>
      </w:r>
      <w:hyperlink r:id="rId42">
        <w:r>
          <w:t>https://doi.org/10.1016/j.biocon.2005.12.019</w:t>
        </w:r>
      </w:hyperlink>
    </w:p>
    <w:p w14:paraId="542833D9" w14:textId="77777777" w:rsidR="006E6F88" w:rsidRDefault="00EB6D1E" w:rsidP="003A3A19">
      <w:pPr>
        <w:ind w:left="720" w:hanging="720"/>
      </w:pPr>
      <w:bookmarkStart w:id="88" w:name="ref-Parkyn2001"/>
      <w:bookmarkEnd w:id="87"/>
      <w:r>
        <w:t xml:space="preserve">Parkyn, S. M., Collier, K. J., &amp; Hicks, B. J. (2001). New zealand stream crayfish: Functional omnivores but trophic predators? </w:t>
      </w:r>
      <w:r>
        <w:rPr>
          <w:i/>
          <w:iCs/>
        </w:rPr>
        <w:t>Freshwater Biology</w:t>
      </w:r>
      <w:r>
        <w:t xml:space="preserve">, </w:t>
      </w:r>
      <w:r>
        <w:rPr>
          <w:i/>
          <w:iCs/>
        </w:rPr>
        <w:t>46</w:t>
      </w:r>
      <w:r>
        <w:t xml:space="preserve">(5), 641--652. </w:t>
      </w:r>
      <w:hyperlink r:id="rId43">
        <w:r>
          <w:t>https://doi.org/10.1046/j.1365-2427.2001.00702.x</w:t>
        </w:r>
      </w:hyperlink>
    </w:p>
    <w:p w14:paraId="2559EFB7" w14:textId="77777777" w:rsidR="006E6F88" w:rsidRDefault="00EB6D1E" w:rsidP="003A3A19">
      <w:pPr>
        <w:ind w:left="720" w:hanging="720"/>
      </w:pPr>
      <w:bookmarkStart w:id="89" w:name="ref-Parkyn2009"/>
      <w:bookmarkEnd w:id="88"/>
      <w:r>
        <w:lastRenderedPageBreak/>
        <w:t>Parkyn, S. M., Meleason, M. A., &amp; Davies‐Colley, R. J. (2009). Wood enhances crayfish (</w:t>
      </w:r>
      <w:r>
        <w:rPr>
          <w:i/>
          <w:iCs/>
        </w:rPr>
        <w:t>Paranephrops planifrons</w:t>
      </w:r>
      <w:r>
        <w:t xml:space="preserve">) habitat in a forested stream. </w:t>
      </w:r>
      <w:r>
        <w:rPr>
          <w:i/>
          <w:iCs/>
        </w:rPr>
        <w:t>New Zealand Journal of Marine and Freshwater Research</w:t>
      </w:r>
      <w:r>
        <w:t xml:space="preserve">, </w:t>
      </w:r>
      <w:r>
        <w:rPr>
          <w:i/>
          <w:iCs/>
        </w:rPr>
        <w:t>43</w:t>
      </w:r>
      <w:r>
        <w:t xml:space="preserve">(3), 689--700. </w:t>
      </w:r>
      <w:hyperlink r:id="rId44">
        <w:r>
          <w:t>https://doi.org/10.1080/00288330909510034</w:t>
        </w:r>
      </w:hyperlink>
    </w:p>
    <w:p w14:paraId="064DF7D5" w14:textId="77777777" w:rsidR="006E6F88" w:rsidRDefault="00EB6D1E" w:rsidP="003A3A19">
      <w:pPr>
        <w:ind w:left="720" w:hanging="720"/>
      </w:pPr>
      <w:bookmarkStart w:id="90" w:name="ref-Percival2010"/>
      <w:bookmarkEnd w:id="89"/>
      <w:r>
        <w:t xml:space="preserve">Percival, D., &amp; Moore, P. (2010). Shelter size influences self-assessment of size in crayfish, orconectes rusticus: Consequences for agonistic fights. </w:t>
      </w:r>
      <w:r>
        <w:rPr>
          <w:i/>
          <w:iCs/>
        </w:rPr>
        <w:t>Behaviour</w:t>
      </w:r>
      <w:r>
        <w:t xml:space="preserve">, </w:t>
      </w:r>
      <w:r>
        <w:rPr>
          <w:i/>
          <w:iCs/>
        </w:rPr>
        <w:t>147</w:t>
      </w:r>
      <w:r>
        <w:t xml:space="preserve">(1), 103--119. </w:t>
      </w:r>
      <w:hyperlink r:id="rId45">
        <w:r>
          <w:t>https://doi.org/10.1163/000579509x12512685881053</w:t>
        </w:r>
      </w:hyperlink>
    </w:p>
    <w:p w14:paraId="78294A44" w14:textId="77777777" w:rsidR="006E6F88" w:rsidRDefault="00EB6D1E" w:rsidP="003A3A19">
      <w:pPr>
        <w:ind w:left="720" w:hanging="720"/>
      </w:pPr>
      <w:bookmarkStart w:id="91" w:name="ref-Ramalho2010"/>
      <w:bookmarkEnd w:id="90"/>
      <w:r>
        <w:t xml:space="preserve">Ramalho, R. O., McClain, W. R., &amp; Anastacio, P. M. (2010). An effective and simple method of temporarily marking crayfish. </w:t>
      </w:r>
      <w:r>
        <w:rPr>
          <w:i/>
          <w:iCs/>
        </w:rPr>
        <w:t>Freshwater Crayfish</w:t>
      </w:r>
      <w:r>
        <w:t xml:space="preserve">, </w:t>
      </w:r>
      <w:r>
        <w:rPr>
          <w:i/>
          <w:iCs/>
        </w:rPr>
        <w:t>17</w:t>
      </w:r>
      <w:r>
        <w:t>(1), 57–60.</w:t>
      </w:r>
    </w:p>
    <w:p w14:paraId="63131321" w14:textId="77777777" w:rsidR="006E6F88" w:rsidRDefault="00EB6D1E" w:rsidP="003A3A19">
      <w:pPr>
        <w:ind w:left="720" w:hanging="720"/>
      </w:pPr>
      <w:bookmarkStart w:id="92" w:name="ref-Ranta1993"/>
      <w:bookmarkEnd w:id="91"/>
      <w:r>
        <w:t xml:space="preserve">Ranta, E., &amp; Lindström, K. (1993). Body size and shelter possession in mature signal crayfish, Pacifastacus leniusculus. </w:t>
      </w:r>
      <w:r>
        <w:rPr>
          <w:i/>
          <w:iCs/>
        </w:rPr>
        <w:t>Annales Zoologici Fennici</w:t>
      </w:r>
      <w:r>
        <w:t xml:space="preserve">, </w:t>
      </w:r>
      <w:r>
        <w:rPr>
          <w:i/>
          <w:iCs/>
        </w:rPr>
        <w:t>30</w:t>
      </w:r>
      <w:r>
        <w:t>(2), 125–132.</w:t>
      </w:r>
    </w:p>
    <w:p w14:paraId="6DD1BFB6" w14:textId="4A260A9B" w:rsidR="006E6F88" w:rsidRDefault="00EB6D1E" w:rsidP="003A3A19">
      <w:pPr>
        <w:ind w:left="720" w:hanging="720"/>
      </w:pPr>
      <w:bookmarkStart w:id="93" w:name="ref-Raveninreview"/>
      <w:bookmarkEnd w:id="92"/>
      <w:r>
        <w:t>Raven, O. V., Burdon, F. J., Kusabs, I. A. K., Holmes, R., &amp; Özkundakci, D. (in</w:t>
      </w:r>
      <w:r w:rsidR="00172431">
        <w:t xml:space="preserve"> </w:t>
      </w:r>
      <w:r>
        <w:t>review</w:t>
      </w:r>
      <w:r w:rsidR="00172431">
        <w:t xml:space="preserve"> a</w:t>
      </w:r>
      <w:r>
        <w:t xml:space="preserve">). </w:t>
      </w:r>
      <w:r>
        <w:rPr>
          <w:i/>
          <w:iCs/>
        </w:rPr>
        <w:t>Littoral habitat structure influences freshwater crayfish populations in five volcanic lakes of aotearoa new zealand</w:t>
      </w:r>
      <w:r>
        <w:t xml:space="preserve">. </w:t>
      </w:r>
      <w:hyperlink r:id="rId46">
        <w:r>
          <w:t>https://olivierraven.github.io/Koura_shoreline_habitats/</w:t>
        </w:r>
      </w:hyperlink>
    </w:p>
    <w:p w14:paraId="22B4AA72" w14:textId="751433DF" w:rsidR="006E6F88" w:rsidRDefault="00EB6D1E" w:rsidP="003A3A19">
      <w:pPr>
        <w:ind w:left="720" w:hanging="720"/>
      </w:pPr>
      <w:bookmarkStart w:id="94" w:name="ref-Ravenindraft"/>
      <w:bookmarkEnd w:id="93"/>
      <w:r>
        <w:t>Raven, O. V., MacNeil, C., Lee, F., Holmes, R., Kusabs, I. A. K., Burdon, F. J., &amp; Özkundakci, D. (</w:t>
      </w:r>
      <w:r w:rsidR="00172431">
        <w:t>in review b</w:t>
      </w:r>
      <w:r>
        <w:t xml:space="preserve">). </w:t>
      </w:r>
      <w:r>
        <w:rPr>
          <w:i/>
          <w:iCs/>
        </w:rPr>
        <w:t>Fear of the invader: A predatory invader may provoke stronger non-consumptive effects on a keystone native prey than a native predator</w:t>
      </w:r>
      <w:r>
        <w:t xml:space="preserve">. </w:t>
      </w:r>
      <w:hyperlink r:id="rId47">
        <w:r>
          <w:t>https://olivierraven.github.io/NCE_Koura_catfish/</w:t>
        </w:r>
      </w:hyperlink>
    </w:p>
    <w:p w14:paraId="46B27BD0" w14:textId="77777777" w:rsidR="00B76EC5" w:rsidRPr="00B76EC5" w:rsidRDefault="00B76EC5" w:rsidP="00B76EC5">
      <w:pPr>
        <w:ind w:left="720" w:hanging="720"/>
      </w:pPr>
      <w:bookmarkStart w:id="95" w:name="ref-Richman2015"/>
      <w:bookmarkEnd w:id="94"/>
      <w:r w:rsidRPr="00B76EC5">
        <w:t xml:space="preserve">Reynolds J., Souty-Grosset C. &amp; Alastair A. (2013). Ecological Roles of Crayfish in Freshwater and Terrestrial Habitats. </w:t>
      </w:r>
      <w:r w:rsidRPr="00B76EC5">
        <w:rPr>
          <w:i/>
          <w:iCs/>
        </w:rPr>
        <w:t>Freshwater Crayfish</w:t>
      </w:r>
      <w:r w:rsidRPr="00B76EC5">
        <w:t xml:space="preserve"> </w:t>
      </w:r>
      <w:r w:rsidRPr="00B76EC5">
        <w:rPr>
          <w:b/>
          <w:bCs/>
        </w:rPr>
        <w:t>19</w:t>
      </w:r>
      <w:r w:rsidRPr="00B76EC5">
        <w:t xml:space="preserve">, 197–218. </w:t>
      </w:r>
      <w:hyperlink r:id="rId48" w:history="1">
        <w:r w:rsidRPr="00B76EC5">
          <w:rPr>
            <w:rStyle w:val="Hyperlink"/>
          </w:rPr>
          <w:t>https://doi.org/doi:%252010.5869/fc.2013.v19-2.197</w:t>
        </w:r>
      </w:hyperlink>
    </w:p>
    <w:p w14:paraId="07FB9EAD" w14:textId="77777777" w:rsidR="006E6F88" w:rsidRDefault="00EB6D1E" w:rsidP="003A3A19">
      <w:pPr>
        <w:ind w:left="720" w:hanging="720"/>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 </w:t>
      </w:r>
      <w:r>
        <w:rPr>
          <w:i/>
          <w:iCs/>
        </w:rPr>
        <w:t>Philosophical Transactions of the Royal Society B: Biological Sciences</w:t>
      </w:r>
      <w:r>
        <w:t xml:space="preserve">, </w:t>
      </w:r>
      <w:r>
        <w:rPr>
          <w:i/>
          <w:iCs/>
        </w:rPr>
        <w:t>370</w:t>
      </w:r>
      <w:r>
        <w:t xml:space="preserve">(1662), 20140060. </w:t>
      </w:r>
      <w:hyperlink r:id="rId49">
        <w:r>
          <w:t>https://doi.org/10.1098/rstb.2014.0060</w:t>
        </w:r>
      </w:hyperlink>
    </w:p>
    <w:p w14:paraId="5B02FC5B" w14:textId="77777777" w:rsidR="006E6F88" w:rsidRDefault="00EB6D1E" w:rsidP="003A3A19">
      <w:pPr>
        <w:ind w:left="720" w:hanging="720"/>
      </w:pPr>
      <w:bookmarkStart w:id="96" w:name="ref-Shave1994"/>
      <w:bookmarkEnd w:id="95"/>
      <w:r>
        <w:t>Shave, C. R., Townsend, C. R., &amp; Crowl, T. A. (1994). Anti-predator behaviours of a freshwater crayfish (</w:t>
      </w:r>
      <w:r>
        <w:rPr>
          <w:i/>
          <w:iCs/>
        </w:rPr>
        <w:t>paranephrops zealandicus</w:t>
      </w:r>
      <w:r>
        <w:t xml:space="preserve">) to a native and an introduced predator. </w:t>
      </w:r>
      <w:r>
        <w:rPr>
          <w:i/>
          <w:iCs/>
        </w:rPr>
        <w:t>New Zealand Journal of Ecology</w:t>
      </w:r>
      <w:r>
        <w:t xml:space="preserve">, </w:t>
      </w:r>
      <w:r>
        <w:rPr>
          <w:i/>
          <w:iCs/>
        </w:rPr>
        <w:t>18</w:t>
      </w:r>
      <w:r>
        <w:t>(1), 1–10.</w:t>
      </w:r>
    </w:p>
    <w:p w14:paraId="1C982107" w14:textId="77777777" w:rsidR="006E6F88" w:rsidRDefault="00EB6D1E" w:rsidP="003A3A19">
      <w:pPr>
        <w:ind w:left="720" w:hanging="720"/>
      </w:pPr>
      <w:bookmarkStart w:id="97" w:name="ref-Spanier1994"/>
      <w:bookmarkEnd w:id="96"/>
      <w:r>
        <w:t xml:space="preserve">Spanier, E. (1994). What are the characteristics of a good artificial reef for lobsters? </w:t>
      </w:r>
      <w:r>
        <w:rPr>
          <w:i/>
          <w:iCs/>
        </w:rPr>
        <w:t>Crustaceana</w:t>
      </w:r>
      <w:r>
        <w:t xml:space="preserve">, </w:t>
      </w:r>
      <w:r>
        <w:rPr>
          <w:i/>
          <w:iCs/>
        </w:rPr>
        <w:t>67</w:t>
      </w:r>
      <w:r>
        <w:t>(2), 173--186.</w:t>
      </w:r>
    </w:p>
    <w:p w14:paraId="1337C796" w14:textId="77777777" w:rsidR="006E6F88" w:rsidRDefault="00EB6D1E" w:rsidP="003A3A19">
      <w:pPr>
        <w:ind w:left="720" w:hanging="720"/>
      </w:pPr>
      <w:bookmarkStart w:id="98" w:name="ref-Stewart2011"/>
      <w:bookmarkEnd w:id="97"/>
      <w:r>
        <w:lastRenderedPageBreak/>
        <w:t xml:space="preserve">Stewart, C., &amp; Tabak, J. (2011). Size‐based dominance hierarchies in the new zealand freshwater crayfish (koura) </w:t>
      </w:r>
      <w:r w:rsidRPr="00172431">
        <w:rPr>
          <w:i/>
          <w:iCs/>
        </w:rPr>
        <w:t>Paranephrops zealandicus</w:t>
      </w:r>
      <w:r>
        <w:t xml:space="preserve">. </w:t>
      </w:r>
      <w:r>
        <w:rPr>
          <w:i/>
          <w:iCs/>
        </w:rPr>
        <w:t>New Zealand Journal of Marine and Freshwater Research</w:t>
      </w:r>
      <w:r>
        <w:t xml:space="preserve">, </w:t>
      </w:r>
      <w:r>
        <w:rPr>
          <w:i/>
          <w:iCs/>
        </w:rPr>
        <w:t>45</w:t>
      </w:r>
      <w:r>
        <w:t xml:space="preserve">(2), 281–285. </w:t>
      </w:r>
      <w:hyperlink r:id="rId50">
        <w:r>
          <w:t>https://doi.org/10.1080/00288330.2011.559661</w:t>
        </w:r>
      </w:hyperlink>
    </w:p>
    <w:p w14:paraId="5DF08840" w14:textId="77777777" w:rsidR="006E6F88" w:rsidRDefault="00EB6D1E" w:rsidP="003A3A19">
      <w:pPr>
        <w:ind w:left="720" w:hanging="720"/>
      </w:pPr>
      <w:bookmarkStart w:id="99" w:name="ref-Streissl2002"/>
      <w:bookmarkEnd w:id="98"/>
      <w:r>
        <w:t xml:space="preserve">Streissl, F., &amp; Hödl, W. (2002). Habitat and shelter requirements of the stone crayfish, </w:t>
      </w:r>
      <w:r w:rsidRPr="00172431">
        <w:rPr>
          <w:i/>
          <w:iCs/>
        </w:rPr>
        <w:t>Austropotamobius torrentium</w:t>
      </w:r>
      <w:r>
        <w:t xml:space="preserve"> schrank. </w:t>
      </w:r>
      <w:r>
        <w:rPr>
          <w:i/>
          <w:iCs/>
        </w:rPr>
        <w:t>Hydrobiologia</w:t>
      </w:r>
      <w:r>
        <w:t xml:space="preserve">, </w:t>
      </w:r>
      <w:r>
        <w:rPr>
          <w:i/>
          <w:iCs/>
        </w:rPr>
        <w:t>477</w:t>
      </w:r>
      <w:r>
        <w:t xml:space="preserve">, 195–199. </w:t>
      </w:r>
      <w:hyperlink r:id="rId51">
        <w:r>
          <w:t>https://doi.org/10.1023/A:1021094309738</w:t>
        </w:r>
      </w:hyperlink>
    </w:p>
    <w:p w14:paraId="6FA7F961" w14:textId="77777777" w:rsidR="006E6F88" w:rsidRDefault="00EB6D1E" w:rsidP="003A3A19">
      <w:pPr>
        <w:ind w:left="720" w:hanging="720"/>
      </w:pPr>
      <w:bookmarkStart w:id="100" w:name="ref-Takahashi2019"/>
      <w:bookmarkEnd w:id="99"/>
      <w:r>
        <w:t xml:space="preserve">Takahashi, K., Yamaguchi, E., Fujiyama, N., &amp; Nagayama, T. (2019). The effects of quality of shelters and prior residence on marmorkrebs (marbled crayfish). </w:t>
      </w:r>
      <w:r>
        <w:rPr>
          <w:i/>
          <w:iCs/>
        </w:rPr>
        <w:t>Journal of Experimental Biology</w:t>
      </w:r>
      <w:r>
        <w:t xml:space="preserve">. </w:t>
      </w:r>
      <w:hyperlink r:id="rId52">
        <w:r>
          <w:t>https://doi.org/10.1242/jeb.197301</w:t>
        </w:r>
      </w:hyperlink>
    </w:p>
    <w:p w14:paraId="1A17014A" w14:textId="77777777" w:rsidR="006E6F88" w:rsidRDefault="00EB6D1E" w:rsidP="003A3A19">
      <w:pPr>
        <w:ind w:left="720" w:hanging="720"/>
      </w:pPr>
      <w:bookmarkStart w:id="101" w:name="ref-Usio2000"/>
      <w:bookmarkEnd w:id="100"/>
      <w:r>
        <w:t xml:space="preserve">Usio, N., &amp; Townsend, C. R. (2000). Distribution of the new zealand crayfish Paranephrops zealandicus in relation to stream physico‐chemistry, predatory fish, and invertebrate prey. </w:t>
      </w:r>
      <w:r>
        <w:rPr>
          <w:i/>
          <w:iCs/>
        </w:rPr>
        <w:t>New Zealand Journal of Marine and Freshwater Research</w:t>
      </w:r>
      <w:r>
        <w:t xml:space="preserve">, </w:t>
      </w:r>
      <w:r>
        <w:rPr>
          <w:i/>
          <w:iCs/>
        </w:rPr>
        <w:t>34</w:t>
      </w:r>
      <w:r>
        <w:t xml:space="preserve">(3), 557--567. </w:t>
      </w:r>
      <w:hyperlink r:id="rId53">
        <w:r>
          <w:t>https://doi.org/10.1080/00288330.2000.9516957</w:t>
        </w:r>
      </w:hyperlink>
    </w:p>
    <w:p w14:paraId="7F9941E1" w14:textId="77777777" w:rsidR="006E6F88" w:rsidRDefault="00EB6D1E" w:rsidP="003A3A19">
      <w:pPr>
        <w:ind w:left="720" w:hanging="720"/>
      </w:pPr>
      <w:bookmarkStart w:id="102" w:name="ref-Wehi2017"/>
      <w:bookmarkEnd w:id="101"/>
      <w:r>
        <w:t xml:space="preserve">Wehi, P. M., &amp; Lord, J. M. (2017). Importance of including cultural practices in ecological restoration. </w:t>
      </w:r>
      <w:r>
        <w:rPr>
          <w:i/>
          <w:iCs/>
        </w:rPr>
        <w:t>Conservation Biology</w:t>
      </w:r>
      <w:r>
        <w:t xml:space="preserve">, </w:t>
      </w:r>
      <w:r>
        <w:rPr>
          <w:i/>
          <w:iCs/>
        </w:rPr>
        <w:t>31</w:t>
      </w:r>
      <w:r>
        <w:t xml:space="preserve">(5), 1109--1118. </w:t>
      </w:r>
      <w:hyperlink r:id="rId54">
        <w:r>
          <w:t>https://doi.org/10.1111/cobi.12915</w:t>
        </w:r>
      </w:hyperlink>
    </w:p>
    <w:p w14:paraId="35815850" w14:textId="77777777" w:rsidR="006E6F88" w:rsidRDefault="00EB6D1E" w:rsidP="003A3A19">
      <w:pPr>
        <w:ind w:left="720" w:hanging="720"/>
      </w:pPr>
      <w:bookmarkStart w:id="103" w:name="ref-Zhao2024"/>
      <w:bookmarkEnd w:id="102"/>
      <w:r>
        <w:t>Zhao, M., Feng, G., Wang, H., Shen, C., Fu, Y., Zhang, Y., Zhang, H., Yao, Y., Chen, J., &amp; Xu, W. (2024). The influence of shelter type and coverage on crayfish (</w:t>
      </w:r>
      <w:r w:rsidRPr="00172431">
        <w:rPr>
          <w:i/>
          <w:iCs/>
        </w:rPr>
        <w:t>procambarus clarkii</w:t>
      </w:r>
      <w:r>
        <w:t>) predation by catfish (</w:t>
      </w:r>
      <w:r w:rsidRPr="00172431">
        <w:rPr>
          <w:i/>
          <w:iCs/>
        </w:rPr>
        <w:t>silurus asotus</w:t>
      </w:r>
      <w:r>
        <w:t xml:space="preserve">): A controlled environment study. </w:t>
      </w:r>
      <w:r>
        <w:rPr>
          <w:i/>
          <w:iCs/>
        </w:rPr>
        <w:t>Animals</w:t>
      </w:r>
      <w:r>
        <w:t xml:space="preserve">, </w:t>
      </w:r>
      <w:r>
        <w:rPr>
          <w:i/>
          <w:iCs/>
        </w:rPr>
        <w:t>14</w:t>
      </w:r>
      <w:r>
        <w:t xml:space="preserve">(8), 1147. </w:t>
      </w:r>
      <w:hyperlink r:id="rId55">
        <w:r>
          <w:t>https://doi.org/10.3390/ani14081147</w:t>
        </w:r>
      </w:hyperlink>
      <w:bookmarkEnd w:id="49"/>
      <w:bookmarkEnd w:id="62"/>
      <w:bookmarkEnd w:id="103"/>
    </w:p>
    <w:sectPr w:rsidR="006E6F88" w:rsidSect="009B7F83">
      <w:footerReference w:type="default" r:id="rId56"/>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rank Burdon" w:date="2026-05-29T18:10:00Z" w:initials="FB">
    <w:p w14:paraId="4D2A59DB" w14:textId="4B9BE84A" w:rsidR="00AF087C" w:rsidRDefault="004E1BCE">
      <w:r>
        <w:annotationRef/>
      </w:r>
      <w:r w:rsidRPr="56D1BEFA">
        <w:t>What about "Structure matters: mesocosm evidence for shelter design in freshwater crayfish restoration"</w:t>
      </w:r>
    </w:p>
  </w:comment>
  <w:comment w:id="1" w:author="Guest User" w:date="2026-06-12T15:32:00Z" w:initials="GU">
    <w:p w14:paraId="7A82DACC" w14:textId="775BF45D" w:rsidR="00A70D6C" w:rsidRDefault="00A70D6C">
      <w:pPr>
        <w:pStyle w:val="CommentText"/>
      </w:pPr>
      <w:r>
        <w:rPr>
          <w:rStyle w:val="CommentReference"/>
        </w:rPr>
        <w:annotationRef/>
      </w:r>
      <w:r w:rsidRPr="2BB7F5CB">
        <w:t>or...The Importance of Structure: Evaluating Mesocosm Shelter Design in Freshwater Crayfish Restoration</w:t>
      </w:r>
    </w:p>
  </w:comment>
  <w:comment w:id="2" w:author="Raven, Olivier (Student)" w:date="2026-06-15T10:27:00Z" w:initials="OR">
    <w:p w14:paraId="1CF9288E" w14:textId="77777777" w:rsidR="007130EB" w:rsidRDefault="007130EB" w:rsidP="007130EB">
      <w:pPr>
        <w:pStyle w:val="CommentText"/>
      </w:pPr>
      <w:r>
        <w:rPr>
          <w:rStyle w:val="CommentReference"/>
        </w:rPr>
        <w:annotationRef/>
      </w:r>
      <w:r>
        <w:t xml:space="preserve">Structure over material: mesocosm evidence for shelter design principles in freshwater crayfish restoration </w:t>
      </w:r>
    </w:p>
  </w:comment>
  <w:comment w:id="3" w:author="Raven, Olivier (Student)" w:date="2026-06-15T10:28:00Z" w:initials="OR">
    <w:p w14:paraId="1F9D763B" w14:textId="77777777" w:rsidR="00E60F46" w:rsidRDefault="00E60F46" w:rsidP="00E60F46">
      <w:pPr>
        <w:pStyle w:val="CommentText"/>
      </w:pPr>
      <w:r>
        <w:rPr>
          <w:rStyle w:val="CommentReference"/>
        </w:rPr>
        <w:annotationRef/>
      </w:r>
      <w:r>
        <w:t xml:space="preserve">Structure over material: mesocosm experiments reveal shelter design principles for threatened freshwater crayfish restoration </w:t>
      </w:r>
    </w:p>
  </w:comment>
  <w:comment w:id="4" w:author="Raven, Olivier (Student)" w:date="2026-06-10T16:16:00Z" w:initials="OR">
    <w:p w14:paraId="1F347A58" w14:textId="77777777" w:rsidR="0027602E" w:rsidRDefault="0046787E" w:rsidP="0027602E">
      <w:pPr>
        <w:pStyle w:val="CommentText"/>
      </w:pPr>
      <w:r>
        <w:rPr>
          <w:rStyle w:val="CommentReference"/>
        </w:rPr>
        <w:annotationRef/>
      </w:r>
      <w:r w:rsidR="0027602E">
        <w:rPr>
          <w:lang w:val="en-NZ"/>
        </w:rPr>
        <w:t>Or a more restoration journal</w:t>
      </w:r>
    </w:p>
  </w:comment>
  <w:comment w:id="5" w:author="Raven, Olivier (Student)" w:date="2026-06-12T15:34:00Z" w:initials="OR">
    <w:p w14:paraId="57370E1F" w14:textId="77777777" w:rsidR="004911B5" w:rsidRDefault="004911B5" w:rsidP="004911B5">
      <w:pPr>
        <w:pStyle w:val="CommentText"/>
      </w:pPr>
      <w:r>
        <w:rPr>
          <w:rStyle w:val="CommentReference"/>
        </w:rPr>
        <w:annotationRef/>
      </w:r>
      <w:r>
        <w:rPr>
          <w:b/>
          <w:bCs/>
          <w:color w:val="1D1F25"/>
          <w:highlight w:val="white"/>
        </w:rPr>
        <w:t>Aquatic Conservation: Marine and Freshwater Ecosystems</w:t>
      </w:r>
      <w:r>
        <w:t xml:space="preserve"> </w:t>
      </w:r>
    </w:p>
  </w:comment>
  <w:comment w:id="7" w:author="Guest User" w:date="2026-06-02T14:10:00Z" w:initials="GU">
    <w:p w14:paraId="0CC9E065" w14:textId="6A219D66" w:rsidR="00AF087C" w:rsidRDefault="004E1BCE">
      <w:r>
        <w:annotationRef/>
      </w:r>
      <w:r w:rsidRPr="1F097EC1">
        <w:t>as part of your problem definition, you could suggest that until now, while a range of habitat refugia types have been identified, preferences for different potential refugia is poorly understood, knowledge of habitat preferences is critical to developing effective habitat restoration and enhancement</w:t>
      </w:r>
    </w:p>
  </w:comment>
  <w:comment w:id="8" w:author="Guest User" w:date="2026-06-02T14:20:00Z" w:initials="GU">
    <w:p w14:paraId="569E6CB9" w14:textId="77777777" w:rsidR="008B1646" w:rsidRDefault="008B1646">
      <w:r>
        <w:annotationRef/>
      </w:r>
      <w:r w:rsidRPr="193C5086">
        <w:t>This factoid seems a little bit random here, maybe shift below after you have introduced the social dynamics bit</w:t>
      </w:r>
    </w:p>
  </w:comment>
  <w:comment w:id="9" w:author="Raven, Olivier (Student)" w:date="2026-06-12T16:40:00Z" w:initials="OR">
    <w:p w14:paraId="55340BF2" w14:textId="77777777" w:rsidR="006A6476" w:rsidRDefault="006A6476" w:rsidP="006A6476">
      <w:pPr>
        <w:pStyle w:val="CommentText"/>
      </w:pPr>
      <w:r>
        <w:rPr>
          <w:rStyle w:val="CommentReference"/>
        </w:rPr>
        <w:annotationRef/>
      </w:r>
      <w:r>
        <w:rPr>
          <w:lang w:val="en-NZ"/>
        </w:rPr>
        <w:t>moved</w:t>
      </w:r>
    </w:p>
  </w:comment>
  <w:comment w:id="10" w:author="Guest User" w:date="2026-06-12T15:39:00Z" w:initials="GU">
    <w:p w14:paraId="2DF92BBA" w14:textId="2D23168B" w:rsidR="00720932" w:rsidRDefault="00720932">
      <w:pPr>
        <w:pStyle w:val="CommentText"/>
      </w:pPr>
      <w:r>
        <w:rPr>
          <w:rStyle w:val="CommentReference"/>
        </w:rPr>
        <w:annotationRef/>
      </w:r>
      <w:r w:rsidRPr="41F7D215">
        <w:t>This paper I think shows their importance as an customary food source.  Sustainable management of freshwater crayfish (k¯oura, Paranephropsplanifrons) in Te Arawa (Rotorua) lakes, North Island, New ZealandIan</w:t>
      </w:r>
    </w:p>
  </w:comment>
  <w:comment w:id="13" w:author="Guest User" w:date="2026-06-02T14:48:00Z" w:initials="GU">
    <w:p w14:paraId="53541BCA" w14:textId="311C8AFF" w:rsidR="00AF087C" w:rsidRDefault="004E1BCE">
      <w:r>
        <w:annotationRef/>
      </w:r>
      <w:r w:rsidRPr="4AF7040F">
        <w:t>are these the same as the acclimatization tanks? if so just say that to save words</w:t>
      </w:r>
    </w:p>
  </w:comment>
  <w:comment w:id="14" w:author="Raven, Olivier (Student)" w:date="2026-06-08T12:47:00Z" w:initials="OR">
    <w:p w14:paraId="386C895D" w14:textId="77777777" w:rsidR="00D60A06" w:rsidRDefault="00D60A06" w:rsidP="00D60A06">
      <w:pPr>
        <w:pStyle w:val="CommentText"/>
      </w:pPr>
      <w:r>
        <w:rPr>
          <w:rStyle w:val="CommentReference"/>
        </w:rPr>
        <w:annotationRef/>
      </w:r>
      <w:r>
        <w:rPr>
          <w:lang w:val="en-NZ"/>
        </w:rPr>
        <w:t>Experiment tanks were bigger than holding tanks</w:t>
      </w:r>
    </w:p>
  </w:comment>
  <w:comment w:id="16" w:author="Guest User" w:date="2026-06-02T15:02:00Z" w:initials="GU">
    <w:p w14:paraId="688E09FA" w14:textId="0976F5BE" w:rsidR="00AF087C" w:rsidRDefault="004E1BCE">
      <w:r>
        <w:annotationRef/>
      </w:r>
      <w:r w:rsidRPr="4C879B6A">
        <w:t>with spacing in between? how widely spaced?</w:t>
      </w:r>
    </w:p>
  </w:comment>
  <w:comment w:id="17" w:author="Guest User" w:date="2026-06-02T15:03:00Z" w:initials="GU">
    <w:p w14:paraId="65B7A052" w14:textId="2EEBA277" w:rsidR="00AF087C" w:rsidRDefault="004E1BCE">
      <w:r>
        <w:annotationRef/>
      </w:r>
      <w:r w:rsidRPr="57258C67">
        <w:t>what about 'in the open'</w:t>
      </w:r>
    </w:p>
  </w:comment>
  <w:comment w:id="18" w:author="Guest User" w:date="2026-06-02T15:04:00Z" w:initials="GU">
    <w:p w14:paraId="2E9A4B07" w14:textId="3E7B6F23" w:rsidR="00AF087C" w:rsidRDefault="004E1BCE">
      <w:r>
        <w:annotationRef/>
      </w:r>
      <w:r w:rsidRPr="58F13096">
        <w:t>under minimal red light?</w:t>
      </w:r>
    </w:p>
  </w:comment>
  <w:comment w:id="19" w:author="Raven, Olivier (Student)" w:date="2026-06-08T12:49:00Z" w:initials="OR">
    <w:p w14:paraId="52B98177" w14:textId="77777777" w:rsidR="00A36BE4" w:rsidRDefault="00A36BE4" w:rsidP="00A36BE4">
      <w:pPr>
        <w:pStyle w:val="CommentText"/>
      </w:pPr>
      <w:r>
        <w:rPr>
          <w:rStyle w:val="CommentReference"/>
        </w:rPr>
        <w:annotationRef/>
      </w:r>
      <w:r>
        <w:rPr>
          <w:lang w:val="en-NZ"/>
        </w:rPr>
        <w:t>No lights were placed</w:t>
      </w:r>
    </w:p>
  </w:comment>
  <w:comment w:id="24" w:author="Guest User" w:date="2026-06-02T15:15:00Z" w:initials="GU">
    <w:p w14:paraId="1B30718B" w14:textId="4E2E00F8" w:rsidR="00AF087C" w:rsidRDefault="004E1BCE">
      <w:r>
        <w:annotationRef/>
      </w:r>
      <w:r w:rsidRPr="0E14786C">
        <w:t>for this section you could point out which statistical test relates to which experiment in brackets (ie., Exp 1., etc...) before or after each sentence to make it easier to link between the tests and the experiment descriptions above</w:t>
      </w:r>
    </w:p>
  </w:comment>
  <w:comment w:id="25" w:author="Guest User" w:date="2026-06-02T15:21:00Z" w:initials="GU">
    <w:p w14:paraId="55E4945C" w14:textId="1C9F7886" w:rsidR="00AF087C" w:rsidRDefault="004E1BCE">
      <w:r>
        <w:annotationRef/>
      </w:r>
      <w:r w:rsidRPr="49FBB163">
        <w:t>should I know what stage L0 and L1 are? is this standard statistical terminology related to this kind of test and not related explicitly to your experiment? OK i went back to figure this out, maybe give the reader a description of how this relates to time in the tank</w:t>
      </w:r>
    </w:p>
  </w:comment>
  <w:comment w:id="32" w:author="Raven, Olivier (Student)" w:date="2026-06-10T12:29:00Z" w:initials="OR">
    <w:p w14:paraId="585F3485" w14:textId="77777777" w:rsidR="00AB4628" w:rsidRDefault="00AB4628" w:rsidP="00AB4628">
      <w:pPr>
        <w:pStyle w:val="CommentText"/>
      </w:pPr>
      <w:r>
        <w:rPr>
          <w:rStyle w:val="CommentReference"/>
        </w:rPr>
        <w:annotationRef/>
      </w:r>
      <w:r>
        <w:rPr>
          <w:lang w:val="en-NZ"/>
        </w:rPr>
        <w:t>Make less results and more extanding into the wider field</w:t>
      </w:r>
    </w:p>
  </w:comment>
  <w:comment w:id="34" w:author="Guest User" w:date="2026-06-02T16:18:00Z" w:initials="GU">
    <w:p w14:paraId="27708223" w14:textId="6866C9B7" w:rsidR="00AF087C" w:rsidRDefault="004E1BCE">
      <w:r>
        <w:annotationRef/>
      </w:r>
      <w:r w:rsidRPr="24E0828C">
        <w:t xml:space="preserve">I think in the discussion you want to avoid using these coded terms and try and use more conversational real-world terms to allow it to fit a more narrative structure. </w:t>
      </w:r>
    </w:p>
  </w:comment>
  <w:comment w:id="35" w:author="Guest User" w:date="1900-01-01T00:00:00Z" w:initials="GU">
    <w:p w14:paraId="4C5E3D7B" w14:textId="53504D5B" w:rsidR="00AF087C" w:rsidRDefault="004E1BCE">
      <w:r>
        <w:annotationRef/>
      </w:r>
      <w:r w:rsidRPr="51F2C824">
        <w:t>... and were able to be moved by the koura? if this was the case then say so</w:t>
      </w:r>
    </w:p>
  </w:comment>
  <w:comment w:id="36" w:author="Guest User" w:date="2026-06-02T16:23:00Z" w:initials="GU">
    <w:p w14:paraId="10322839" w14:textId="05A4C8A2" w:rsidR="00AF087C" w:rsidRDefault="004E1BCE">
      <w:r>
        <w:annotationRef/>
      </w:r>
      <w:r w:rsidRPr="42E94384">
        <w:t>as above and throughout the discussion i think change these to terms that move from reporting results to discussing what you found</w:t>
      </w:r>
    </w:p>
  </w:comment>
  <w:comment w:id="38" w:author="Guest User" w:date="2026-06-03T08:53:00Z" w:initials="GU">
    <w:p w14:paraId="6FBF86BC" w14:textId="77777777" w:rsidR="008425F6" w:rsidRDefault="008425F6">
      <w:r>
        <w:annotationRef/>
      </w:r>
      <w:r w:rsidRPr="1391EE6B">
        <w:t>worth restating the prediction here because the reader will have forgotten what this was</w:t>
      </w:r>
    </w:p>
  </w:comment>
  <w:comment w:id="39" w:author="Raven, Olivier (Student)" w:date="2026-06-12T11:01:00Z" w:initials="OR">
    <w:p w14:paraId="1FC221BC" w14:textId="77777777" w:rsidR="00263A51" w:rsidRDefault="001E11E0" w:rsidP="00263A51">
      <w:pPr>
        <w:pStyle w:val="CommentText"/>
        <w:ind w:left="40"/>
      </w:pPr>
      <w:r>
        <w:rPr>
          <w:rStyle w:val="CommentReference"/>
        </w:rPr>
        <w:annotationRef/>
      </w:r>
      <w:r w:rsidR="00263A51">
        <w:rPr>
          <w:lang w:val="en-NZ"/>
        </w:rPr>
        <w:t>Add more about this</w:t>
      </w:r>
      <w:r w:rsidR="00263A51">
        <w:rPr>
          <w:lang w:val="en-NZ"/>
        </w:rPr>
        <w:br/>
      </w:r>
    </w:p>
    <w:p w14:paraId="7594E430" w14:textId="77777777" w:rsidR="00263A51" w:rsidRDefault="00263A51" w:rsidP="00263A51">
      <w:pPr>
        <w:pStyle w:val="CommentText"/>
        <w:ind w:left="80"/>
      </w:pPr>
      <w:r>
        <w:rPr>
          <w:lang w:val="en-NZ"/>
        </w:rPr>
        <w:t xml:space="preserve">Reynolds, J., Souty-Grosset, C., &amp; Alastair, A. (2013). Ecological Roles of Crayfish in Freshwater and Terrestrial Habitats. </w:t>
      </w:r>
      <w:r>
        <w:rPr>
          <w:i/>
          <w:iCs/>
          <w:lang w:val="en-NZ"/>
        </w:rPr>
        <w:t>Freshwater Crayfish</w:t>
      </w:r>
      <w:r>
        <w:rPr>
          <w:lang w:val="en-NZ"/>
        </w:rPr>
        <w:t xml:space="preserve">, </w:t>
      </w:r>
      <w:r>
        <w:rPr>
          <w:i/>
          <w:iCs/>
          <w:lang w:val="en-NZ"/>
        </w:rPr>
        <w:t>19</w:t>
      </w:r>
      <w:r>
        <w:rPr>
          <w:lang w:val="en-NZ"/>
        </w:rPr>
        <w:t xml:space="preserve">(2), 197–218. </w:t>
      </w:r>
      <w:hyperlink r:id="rId1" w:history="1">
        <w:r w:rsidRPr="005329B1">
          <w:rPr>
            <w:rStyle w:val="Hyperlink"/>
            <w:lang w:val="en-NZ"/>
          </w:rPr>
          <w:t>https://doi.org/doi:%252010.5869/fc.2013.v19-2.197</w:t>
        </w:r>
      </w:hyperlink>
    </w:p>
    <w:p w14:paraId="6C02FCCC" w14:textId="77777777" w:rsidR="00263A51" w:rsidRDefault="00263A51" w:rsidP="00263A51">
      <w:pPr>
        <w:pStyle w:val="CommentText"/>
        <w:ind w:left="80"/>
      </w:pPr>
    </w:p>
    <w:p w14:paraId="49A90596" w14:textId="77777777" w:rsidR="00263A51" w:rsidRDefault="00263A51" w:rsidP="00263A51">
      <w:pPr>
        <w:pStyle w:val="CommentText"/>
        <w:ind w:left="40"/>
      </w:pPr>
    </w:p>
    <w:p w14:paraId="17296BBB" w14:textId="77777777" w:rsidR="00263A51" w:rsidRDefault="00263A51" w:rsidP="00263A51">
      <w:pPr>
        <w:pStyle w:val="CommentText"/>
      </w:pPr>
      <w:r>
        <w:rPr>
          <w:lang w:val="en-NZ"/>
        </w:rPr>
        <w:br/>
        <w:t xml:space="preserve">Zimmer-Faust, R. K., &amp; Spanier, E. (1987). Gregariousness and sociality in spiny lobsters: Implications for den habitation. </w:t>
      </w:r>
      <w:r>
        <w:rPr>
          <w:i/>
          <w:iCs/>
          <w:lang w:val="en-NZ"/>
        </w:rPr>
        <w:t>Journal of Experimental Marine Biology and Ecology</w:t>
      </w:r>
      <w:r>
        <w:rPr>
          <w:lang w:val="en-NZ"/>
        </w:rPr>
        <w:t xml:space="preserve">, </w:t>
      </w:r>
      <w:r>
        <w:rPr>
          <w:i/>
          <w:iCs/>
          <w:lang w:val="en-NZ"/>
        </w:rPr>
        <w:t>105</w:t>
      </w:r>
      <w:r>
        <w:rPr>
          <w:lang w:val="en-NZ"/>
        </w:rPr>
        <w:t xml:space="preserve">(1), 57–71. </w:t>
      </w:r>
      <w:hyperlink r:id="rId2" w:history="1">
        <w:r w:rsidRPr="005329B1">
          <w:rPr>
            <w:rStyle w:val="Hyperlink"/>
            <w:lang w:val="en-NZ"/>
          </w:rPr>
          <w:t>https://doi.org/10.1016/S0022-0981(87)80029-1</w:t>
        </w:r>
      </w:hyperlink>
    </w:p>
  </w:comment>
  <w:comment w:id="42" w:author="Guest User" w:date="2026-06-02T16:42:00Z" w:initials="GU">
    <w:p w14:paraId="5528E2FF" w14:textId="0DECC9A4" w:rsidR="006D5390" w:rsidRDefault="006D5390">
      <w:r>
        <w:annotationRef/>
      </w:r>
      <w:r w:rsidRPr="6BE9D7AE">
        <w:t xml:space="preserve">I would be tempted to put these sentences at the start of this parragraph. </w:t>
      </w:r>
    </w:p>
  </w:comment>
  <w:comment w:id="51" w:author="Guest User" w:date="2026-06-02T16:44:00Z" w:initials="GU">
    <w:p w14:paraId="1201990E" w14:textId="47B6C3D3" w:rsidR="00AF087C" w:rsidRDefault="004E1BCE">
      <w:r>
        <w:annotationRef/>
      </w:r>
      <w:r w:rsidRPr="5D5169FC">
        <w:t>it would be good to show that the log in 1 and 2  had holes drilled into it somehow if possible</w:t>
      </w:r>
    </w:p>
  </w:comment>
  <w:comment w:id="52" w:author="Raven, Olivier (Student)" w:date="2026-06-12T13:56:00Z" w:initials="OR">
    <w:p w14:paraId="2DF3312C" w14:textId="77777777" w:rsidR="00EF4F6C" w:rsidRDefault="00EF4F6C" w:rsidP="00EF4F6C">
      <w:pPr>
        <w:pStyle w:val="CommentText"/>
      </w:pPr>
      <w:r>
        <w:rPr>
          <w:rStyle w:val="CommentReference"/>
        </w:rPr>
        <w:annotationRef/>
      </w:r>
      <w:r>
        <w:rPr>
          <w:lang w:val="en-NZ"/>
        </w:rPr>
        <w:t>Updated foto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2A59DB" w15:done="0"/>
  <w15:commentEx w15:paraId="7A82DACC" w15:paraIdParent="4D2A59DB" w15:done="0"/>
  <w15:commentEx w15:paraId="1CF9288E" w15:paraIdParent="4D2A59DB" w15:done="0"/>
  <w15:commentEx w15:paraId="1F9D763B" w15:paraIdParent="4D2A59DB" w15:done="0"/>
  <w15:commentEx w15:paraId="1F347A58" w15:done="0"/>
  <w15:commentEx w15:paraId="57370E1F" w15:paraIdParent="1F347A58" w15:done="0"/>
  <w15:commentEx w15:paraId="0CC9E065" w15:done="1"/>
  <w15:commentEx w15:paraId="569E6CB9" w15:done="1"/>
  <w15:commentEx w15:paraId="55340BF2" w15:paraIdParent="569E6CB9" w15:done="1"/>
  <w15:commentEx w15:paraId="2DF92BBA" w15:done="1"/>
  <w15:commentEx w15:paraId="53541BCA" w15:done="1"/>
  <w15:commentEx w15:paraId="386C895D" w15:paraIdParent="53541BCA" w15:done="1"/>
  <w15:commentEx w15:paraId="688E09FA" w15:done="1"/>
  <w15:commentEx w15:paraId="65B7A052" w15:done="1"/>
  <w15:commentEx w15:paraId="2E9A4B07" w15:done="1"/>
  <w15:commentEx w15:paraId="52B98177" w15:paraIdParent="2E9A4B07" w15:done="1"/>
  <w15:commentEx w15:paraId="1B30718B" w15:done="1"/>
  <w15:commentEx w15:paraId="55E4945C" w15:done="1"/>
  <w15:commentEx w15:paraId="585F3485" w15:done="1"/>
  <w15:commentEx w15:paraId="27708223" w15:done="1"/>
  <w15:commentEx w15:paraId="4C5E3D7B" w15:done="1"/>
  <w15:commentEx w15:paraId="10322839" w15:done="1"/>
  <w15:commentEx w15:paraId="6FBF86BC" w15:done="1"/>
  <w15:commentEx w15:paraId="17296BBB" w15:done="1"/>
  <w15:commentEx w15:paraId="5528E2FF" w15:done="1"/>
  <w15:commentEx w15:paraId="1201990E" w15:done="1"/>
  <w15:commentEx w15:paraId="2DF3312C" w15:paraIdParent="1201990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9C188A" w16cex:dateUtc="2026-05-29T06:10:00Z">
    <w16cex:extLst>
      <w16:ext w16:uri="{CE6994B0-6A32-4C9F-8C6B-6E91EDA988CE}">
        <cr:reactions xmlns:cr="http://schemas.microsoft.com/office/comments/2020/reactions">
          <cr:reaction reactionType="1">
            <cr:reactionInfo dateUtc="2026-06-11T23:14:12Z">
              <cr:user userId="S::urn:spo:tenantanon#220f5dc3-9452-48e5-9b4f-888df42f7a2d::" userProvider="AD" userName="Guest User"/>
            </cr:reactionInfo>
          </cr:reaction>
        </cr:reactions>
      </w16:ext>
    </w16cex:extLst>
  </w16cex:commentExtensible>
  <w16cex:commentExtensible w16cex:durableId="1BE27657" w16cex:dateUtc="2026-06-12T03:32:00Z"/>
  <w16cex:commentExtensible w16cex:durableId="657F4473" w16cex:dateUtc="2026-06-14T22:27:00Z"/>
  <w16cex:commentExtensible w16cex:durableId="2CF44AB3" w16cex:dateUtc="2026-06-14T22:28:00Z"/>
  <w16cex:commentExtensible w16cex:durableId="445B279E" w16cex:dateUtc="2026-06-10T04:16:00Z"/>
  <w16cex:commentExtensible w16cex:durableId="4117C799" w16cex:dateUtc="2026-06-12T03:34:00Z"/>
  <w16cex:commentExtensible w16cex:durableId="4F6A1D21" w16cex:dateUtc="2026-06-02T02:10:00Z"/>
  <w16cex:commentExtensible w16cex:durableId="3FC63D8F" w16cex:dateUtc="2026-06-02T02:20:00Z"/>
  <w16cex:commentExtensible w16cex:durableId="12ABAF0B" w16cex:dateUtc="2026-06-12T04:40:00Z"/>
  <w16cex:commentExtensible w16cex:durableId="7C277E81" w16cex:dateUtc="2026-06-12T03:39:00Z"/>
  <w16cex:commentExtensible w16cex:durableId="09845E04" w16cex:dateUtc="2026-06-02T02:48:00Z"/>
  <w16cex:commentExtensible w16cex:durableId="2C5AC085" w16cex:dateUtc="2026-06-08T00:47:00Z"/>
  <w16cex:commentExtensible w16cex:durableId="50CD271D" w16cex:dateUtc="2026-06-02T03:02:00Z"/>
  <w16cex:commentExtensible w16cex:durableId="4DAF910A" w16cex:dateUtc="2026-06-02T03:03:00Z"/>
  <w16cex:commentExtensible w16cex:durableId="7D0D4CC1" w16cex:dateUtc="2026-06-02T03:04:00Z"/>
  <w16cex:commentExtensible w16cex:durableId="198CA30A" w16cex:dateUtc="2026-06-08T00:49:00Z"/>
  <w16cex:commentExtensible w16cex:durableId="7BDE553D" w16cex:dateUtc="2026-06-02T03:15:00Z"/>
  <w16cex:commentExtensible w16cex:durableId="519E0A74" w16cex:dateUtc="2026-06-02T03:21:00Z"/>
  <w16cex:commentExtensible w16cex:durableId="267A5B65" w16cex:dateUtc="2026-06-10T00:29:00Z"/>
  <w16cex:commentExtensible w16cex:durableId="65F4EAB1" w16cex:dateUtc="2026-06-02T04:18:00Z"/>
  <w16cex:commentExtensible w16cex:durableId="0684ADC6" w16cex:dateUtc="2026-06-02T04:22:00Z"/>
  <w16cex:commentExtensible w16cex:durableId="4C9CE0B3" w16cex:dateUtc="2026-06-02T04:23:00Z"/>
  <w16cex:commentExtensible w16cex:durableId="0E48234C" w16cex:dateUtc="2026-06-02T20:53:00Z"/>
  <w16cex:commentExtensible w16cex:durableId="51343992" w16cex:dateUtc="2026-06-11T23:01:00Z"/>
  <w16cex:commentExtensible w16cex:durableId="50D8EE3C" w16cex:dateUtc="2026-06-02T04:42:00Z"/>
  <w16cex:commentExtensible w16cex:durableId="15BD110B" w16cex:dateUtc="2026-06-02T04:44:00Z"/>
  <w16cex:commentExtensible w16cex:durableId="3555E905" w16cex:dateUtc="2026-06-12T0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2A59DB" w16cid:durableId="1C9C188A"/>
  <w16cid:commentId w16cid:paraId="7A82DACC" w16cid:durableId="1BE27657"/>
  <w16cid:commentId w16cid:paraId="1CF9288E" w16cid:durableId="657F4473"/>
  <w16cid:commentId w16cid:paraId="1F9D763B" w16cid:durableId="2CF44AB3"/>
  <w16cid:commentId w16cid:paraId="1F347A58" w16cid:durableId="445B279E"/>
  <w16cid:commentId w16cid:paraId="57370E1F" w16cid:durableId="4117C799"/>
  <w16cid:commentId w16cid:paraId="0CC9E065" w16cid:durableId="4F6A1D21"/>
  <w16cid:commentId w16cid:paraId="569E6CB9" w16cid:durableId="3FC63D8F"/>
  <w16cid:commentId w16cid:paraId="55340BF2" w16cid:durableId="12ABAF0B"/>
  <w16cid:commentId w16cid:paraId="2DF92BBA" w16cid:durableId="7C277E81"/>
  <w16cid:commentId w16cid:paraId="53541BCA" w16cid:durableId="09845E04"/>
  <w16cid:commentId w16cid:paraId="386C895D" w16cid:durableId="2C5AC085"/>
  <w16cid:commentId w16cid:paraId="688E09FA" w16cid:durableId="50CD271D"/>
  <w16cid:commentId w16cid:paraId="65B7A052" w16cid:durableId="4DAF910A"/>
  <w16cid:commentId w16cid:paraId="2E9A4B07" w16cid:durableId="7D0D4CC1"/>
  <w16cid:commentId w16cid:paraId="52B98177" w16cid:durableId="198CA30A"/>
  <w16cid:commentId w16cid:paraId="1B30718B" w16cid:durableId="7BDE553D"/>
  <w16cid:commentId w16cid:paraId="55E4945C" w16cid:durableId="519E0A74"/>
  <w16cid:commentId w16cid:paraId="585F3485" w16cid:durableId="267A5B65"/>
  <w16cid:commentId w16cid:paraId="27708223" w16cid:durableId="65F4EAB1"/>
  <w16cid:commentId w16cid:paraId="4C5E3D7B" w16cid:durableId="0684ADC6"/>
  <w16cid:commentId w16cid:paraId="10322839" w16cid:durableId="4C9CE0B3"/>
  <w16cid:commentId w16cid:paraId="6FBF86BC" w16cid:durableId="0E48234C"/>
  <w16cid:commentId w16cid:paraId="17296BBB" w16cid:durableId="51343992"/>
  <w16cid:commentId w16cid:paraId="5528E2FF" w16cid:durableId="50D8EE3C"/>
  <w16cid:commentId w16cid:paraId="1201990E" w16cid:durableId="15BD110B"/>
  <w16cid:commentId w16cid:paraId="2DF3312C" w16cid:durableId="3555E9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26784" w14:textId="77777777" w:rsidR="004A193B" w:rsidRDefault="004A193B">
      <w:pPr>
        <w:spacing w:after="0" w:line="240" w:lineRule="auto"/>
      </w:pPr>
      <w:r>
        <w:separator/>
      </w:r>
    </w:p>
  </w:endnote>
  <w:endnote w:type="continuationSeparator" w:id="0">
    <w:p w14:paraId="7715EC4C" w14:textId="77777777" w:rsidR="004A193B" w:rsidRDefault="004A19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1493AA5C" w14:textId="77777777"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FB438A" w14:textId="77777777" w:rsidR="0051102F" w:rsidRDefault="00511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3A1B1" w14:textId="77777777" w:rsidR="004A193B" w:rsidRDefault="004A193B">
      <w:pPr>
        <w:spacing w:after="0" w:line="240" w:lineRule="auto"/>
      </w:pPr>
      <w:r>
        <w:separator/>
      </w:r>
    </w:p>
  </w:footnote>
  <w:footnote w:type="continuationSeparator" w:id="0">
    <w:p w14:paraId="054380AD" w14:textId="77777777" w:rsidR="004A193B" w:rsidRDefault="004A19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99ED8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584862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k Burdon">
    <w15:presenceInfo w15:providerId="AD" w15:userId="S::frank.burdon@waikato.ac.nz::266a3963-8d8e-4a25-8b9d-09f4644bb8d2"/>
  </w15:person>
  <w15:person w15:author="Guest User">
    <w15:presenceInfo w15:providerId="AD" w15:userId="S::urn:spo:tenantanon#220f5dc3-9452-48e5-9b4f-888df42f7a2d::"/>
  </w15:person>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02026"/>
    <w:rsid w:val="00005D6A"/>
    <w:rsid w:val="00005E7E"/>
    <w:rsid w:val="00010804"/>
    <w:rsid w:val="00021B42"/>
    <w:rsid w:val="00026CFE"/>
    <w:rsid w:val="000328E5"/>
    <w:rsid w:val="000335F2"/>
    <w:rsid w:val="00042ED9"/>
    <w:rsid w:val="000430CD"/>
    <w:rsid w:val="00045D01"/>
    <w:rsid w:val="000528C3"/>
    <w:rsid w:val="00055A86"/>
    <w:rsid w:val="000576E3"/>
    <w:rsid w:val="000578CE"/>
    <w:rsid w:val="00062E7E"/>
    <w:rsid w:val="00063436"/>
    <w:rsid w:val="00063FBC"/>
    <w:rsid w:val="000654DB"/>
    <w:rsid w:val="000778A6"/>
    <w:rsid w:val="000822F7"/>
    <w:rsid w:val="000823BB"/>
    <w:rsid w:val="00092BA0"/>
    <w:rsid w:val="0009734C"/>
    <w:rsid w:val="000A02F3"/>
    <w:rsid w:val="000A206B"/>
    <w:rsid w:val="000A3B4A"/>
    <w:rsid w:val="000A7F1E"/>
    <w:rsid w:val="000C4A76"/>
    <w:rsid w:val="000C793B"/>
    <w:rsid w:val="000D6789"/>
    <w:rsid w:val="000D6E4B"/>
    <w:rsid w:val="000E40A3"/>
    <w:rsid w:val="000F3309"/>
    <w:rsid w:val="000F709E"/>
    <w:rsid w:val="001059FA"/>
    <w:rsid w:val="001168E5"/>
    <w:rsid w:val="00116F38"/>
    <w:rsid w:val="00126098"/>
    <w:rsid w:val="00126E1B"/>
    <w:rsid w:val="00130228"/>
    <w:rsid w:val="0013039D"/>
    <w:rsid w:val="001318BB"/>
    <w:rsid w:val="00134896"/>
    <w:rsid w:val="00134B63"/>
    <w:rsid w:val="00140BE7"/>
    <w:rsid w:val="001413F2"/>
    <w:rsid w:val="001425C9"/>
    <w:rsid w:val="001446D6"/>
    <w:rsid w:val="001648B7"/>
    <w:rsid w:val="001676F4"/>
    <w:rsid w:val="00170065"/>
    <w:rsid w:val="00171800"/>
    <w:rsid w:val="00172431"/>
    <w:rsid w:val="0017792A"/>
    <w:rsid w:val="001820FB"/>
    <w:rsid w:val="0018268E"/>
    <w:rsid w:val="0018394C"/>
    <w:rsid w:val="0018671E"/>
    <w:rsid w:val="00187964"/>
    <w:rsid w:val="00192330"/>
    <w:rsid w:val="00194390"/>
    <w:rsid w:val="001A22E4"/>
    <w:rsid w:val="001A4849"/>
    <w:rsid w:val="001A76FB"/>
    <w:rsid w:val="001B285C"/>
    <w:rsid w:val="001C6C66"/>
    <w:rsid w:val="001D0746"/>
    <w:rsid w:val="001D6761"/>
    <w:rsid w:val="001E046C"/>
    <w:rsid w:val="001E11E0"/>
    <w:rsid w:val="001E59A1"/>
    <w:rsid w:val="001E7102"/>
    <w:rsid w:val="001E7151"/>
    <w:rsid w:val="00211A57"/>
    <w:rsid w:val="00217595"/>
    <w:rsid w:val="0022109C"/>
    <w:rsid w:val="00222662"/>
    <w:rsid w:val="00222BCC"/>
    <w:rsid w:val="00223961"/>
    <w:rsid w:val="00226AD3"/>
    <w:rsid w:val="00231600"/>
    <w:rsid w:val="0024044C"/>
    <w:rsid w:val="00241B96"/>
    <w:rsid w:val="002442F8"/>
    <w:rsid w:val="0024476B"/>
    <w:rsid w:val="002447CA"/>
    <w:rsid w:val="00244CDE"/>
    <w:rsid w:val="00251459"/>
    <w:rsid w:val="00255386"/>
    <w:rsid w:val="002555AC"/>
    <w:rsid w:val="00263A51"/>
    <w:rsid w:val="00267DAA"/>
    <w:rsid w:val="0027368A"/>
    <w:rsid w:val="0027602E"/>
    <w:rsid w:val="002763C7"/>
    <w:rsid w:val="0028126A"/>
    <w:rsid w:val="00282B7C"/>
    <w:rsid w:val="00282C3F"/>
    <w:rsid w:val="002B5CE6"/>
    <w:rsid w:val="002B6C13"/>
    <w:rsid w:val="002B7865"/>
    <w:rsid w:val="002C2707"/>
    <w:rsid w:val="002C3F03"/>
    <w:rsid w:val="002C5678"/>
    <w:rsid w:val="002D08BC"/>
    <w:rsid w:val="002D24F9"/>
    <w:rsid w:val="002D2CA5"/>
    <w:rsid w:val="002D69D5"/>
    <w:rsid w:val="002E2096"/>
    <w:rsid w:val="002E3CE4"/>
    <w:rsid w:val="002E6168"/>
    <w:rsid w:val="002F175C"/>
    <w:rsid w:val="00300A44"/>
    <w:rsid w:val="00303822"/>
    <w:rsid w:val="003072EF"/>
    <w:rsid w:val="00326121"/>
    <w:rsid w:val="00330F84"/>
    <w:rsid w:val="00336821"/>
    <w:rsid w:val="00341D4C"/>
    <w:rsid w:val="0034709D"/>
    <w:rsid w:val="0035046F"/>
    <w:rsid w:val="00354430"/>
    <w:rsid w:val="003604FF"/>
    <w:rsid w:val="00367BB9"/>
    <w:rsid w:val="00373D9E"/>
    <w:rsid w:val="00380FC7"/>
    <w:rsid w:val="0038442A"/>
    <w:rsid w:val="00386F17"/>
    <w:rsid w:val="00394CBA"/>
    <w:rsid w:val="003A3A19"/>
    <w:rsid w:val="003B2DF6"/>
    <w:rsid w:val="003B3780"/>
    <w:rsid w:val="003B7B95"/>
    <w:rsid w:val="003C26F3"/>
    <w:rsid w:val="003C5FA1"/>
    <w:rsid w:val="003C7EE2"/>
    <w:rsid w:val="003D4A26"/>
    <w:rsid w:val="003D6DAD"/>
    <w:rsid w:val="003D6DD1"/>
    <w:rsid w:val="003E0E7D"/>
    <w:rsid w:val="003E52F8"/>
    <w:rsid w:val="003F09EB"/>
    <w:rsid w:val="003F283B"/>
    <w:rsid w:val="003F4253"/>
    <w:rsid w:val="003F6F70"/>
    <w:rsid w:val="00411AB2"/>
    <w:rsid w:val="0041625E"/>
    <w:rsid w:val="00416CD9"/>
    <w:rsid w:val="00417AED"/>
    <w:rsid w:val="00422C0E"/>
    <w:rsid w:val="004323DD"/>
    <w:rsid w:val="0043248A"/>
    <w:rsid w:val="00457DB1"/>
    <w:rsid w:val="0046787E"/>
    <w:rsid w:val="00467938"/>
    <w:rsid w:val="00470D8D"/>
    <w:rsid w:val="00473D00"/>
    <w:rsid w:val="00474815"/>
    <w:rsid w:val="0047522B"/>
    <w:rsid w:val="0047716C"/>
    <w:rsid w:val="00477875"/>
    <w:rsid w:val="004801DD"/>
    <w:rsid w:val="004911B5"/>
    <w:rsid w:val="00491790"/>
    <w:rsid w:val="00492452"/>
    <w:rsid w:val="00492FC4"/>
    <w:rsid w:val="004A193B"/>
    <w:rsid w:val="004B42A2"/>
    <w:rsid w:val="004B43D7"/>
    <w:rsid w:val="004B55F8"/>
    <w:rsid w:val="004C286D"/>
    <w:rsid w:val="004C35F2"/>
    <w:rsid w:val="004C7E7D"/>
    <w:rsid w:val="004D5F38"/>
    <w:rsid w:val="004E0698"/>
    <w:rsid w:val="004E1BCE"/>
    <w:rsid w:val="004F3D86"/>
    <w:rsid w:val="004F4591"/>
    <w:rsid w:val="004F60FE"/>
    <w:rsid w:val="00502CB5"/>
    <w:rsid w:val="00503203"/>
    <w:rsid w:val="005044F2"/>
    <w:rsid w:val="00506A21"/>
    <w:rsid w:val="00510764"/>
    <w:rsid w:val="0051102F"/>
    <w:rsid w:val="00515638"/>
    <w:rsid w:val="005172B6"/>
    <w:rsid w:val="0053374A"/>
    <w:rsid w:val="00543C23"/>
    <w:rsid w:val="005467DF"/>
    <w:rsid w:val="00547C61"/>
    <w:rsid w:val="00550993"/>
    <w:rsid w:val="0055596F"/>
    <w:rsid w:val="00556425"/>
    <w:rsid w:val="00557208"/>
    <w:rsid w:val="00557BB8"/>
    <w:rsid w:val="0056163E"/>
    <w:rsid w:val="00563465"/>
    <w:rsid w:val="005647BB"/>
    <w:rsid w:val="00570C45"/>
    <w:rsid w:val="0057501B"/>
    <w:rsid w:val="0059095F"/>
    <w:rsid w:val="00591812"/>
    <w:rsid w:val="00594A7B"/>
    <w:rsid w:val="0059578A"/>
    <w:rsid w:val="005A0678"/>
    <w:rsid w:val="005A35EE"/>
    <w:rsid w:val="005A56D5"/>
    <w:rsid w:val="005B1098"/>
    <w:rsid w:val="005B6C83"/>
    <w:rsid w:val="005B7F91"/>
    <w:rsid w:val="005C185C"/>
    <w:rsid w:val="005C3ACF"/>
    <w:rsid w:val="005E5E87"/>
    <w:rsid w:val="005F3D02"/>
    <w:rsid w:val="005F60AF"/>
    <w:rsid w:val="00603177"/>
    <w:rsid w:val="0060364A"/>
    <w:rsid w:val="0060539C"/>
    <w:rsid w:val="006129DF"/>
    <w:rsid w:val="0061619F"/>
    <w:rsid w:val="00624E77"/>
    <w:rsid w:val="00626E8E"/>
    <w:rsid w:val="006327B2"/>
    <w:rsid w:val="00634882"/>
    <w:rsid w:val="00635A56"/>
    <w:rsid w:val="00640F69"/>
    <w:rsid w:val="00642207"/>
    <w:rsid w:val="00642A2E"/>
    <w:rsid w:val="006473FF"/>
    <w:rsid w:val="0065113A"/>
    <w:rsid w:val="00651C53"/>
    <w:rsid w:val="006533DD"/>
    <w:rsid w:val="006534BB"/>
    <w:rsid w:val="00654388"/>
    <w:rsid w:val="00664CDE"/>
    <w:rsid w:val="0067158B"/>
    <w:rsid w:val="00671CD4"/>
    <w:rsid w:val="00673475"/>
    <w:rsid w:val="00673B06"/>
    <w:rsid w:val="006764DA"/>
    <w:rsid w:val="00682A64"/>
    <w:rsid w:val="00687269"/>
    <w:rsid w:val="006876CD"/>
    <w:rsid w:val="00695392"/>
    <w:rsid w:val="00696C14"/>
    <w:rsid w:val="006A0D84"/>
    <w:rsid w:val="006A5854"/>
    <w:rsid w:val="006A6476"/>
    <w:rsid w:val="006A7A81"/>
    <w:rsid w:val="006B1106"/>
    <w:rsid w:val="006B24B7"/>
    <w:rsid w:val="006B5DC8"/>
    <w:rsid w:val="006B6142"/>
    <w:rsid w:val="006B6E39"/>
    <w:rsid w:val="006C27A5"/>
    <w:rsid w:val="006C5803"/>
    <w:rsid w:val="006C6467"/>
    <w:rsid w:val="006C6A16"/>
    <w:rsid w:val="006C7A6A"/>
    <w:rsid w:val="006D1B14"/>
    <w:rsid w:val="006D3EBA"/>
    <w:rsid w:val="006D5390"/>
    <w:rsid w:val="006D582D"/>
    <w:rsid w:val="006D5BCB"/>
    <w:rsid w:val="006D6100"/>
    <w:rsid w:val="006E2FBD"/>
    <w:rsid w:val="006E4988"/>
    <w:rsid w:val="006E6F88"/>
    <w:rsid w:val="006F178A"/>
    <w:rsid w:val="006F61C5"/>
    <w:rsid w:val="00704EE7"/>
    <w:rsid w:val="00710128"/>
    <w:rsid w:val="007130EB"/>
    <w:rsid w:val="00714DD3"/>
    <w:rsid w:val="00716964"/>
    <w:rsid w:val="00720932"/>
    <w:rsid w:val="00723170"/>
    <w:rsid w:val="00723936"/>
    <w:rsid w:val="007246B4"/>
    <w:rsid w:val="00727183"/>
    <w:rsid w:val="0074045E"/>
    <w:rsid w:val="007417B1"/>
    <w:rsid w:val="007469FE"/>
    <w:rsid w:val="00750A1C"/>
    <w:rsid w:val="00752A4B"/>
    <w:rsid w:val="00754BF5"/>
    <w:rsid w:val="00762A63"/>
    <w:rsid w:val="0076710A"/>
    <w:rsid w:val="007737D6"/>
    <w:rsid w:val="007770EC"/>
    <w:rsid w:val="007865D8"/>
    <w:rsid w:val="00787EE2"/>
    <w:rsid w:val="007A3D8D"/>
    <w:rsid w:val="007A3F29"/>
    <w:rsid w:val="007A71EF"/>
    <w:rsid w:val="007B0450"/>
    <w:rsid w:val="007B29B4"/>
    <w:rsid w:val="007C1B4D"/>
    <w:rsid w:val="007D466F"/>
    <w:rsid w:val="007D4B65"/>
    <w:rsid w:val="007D4CF7"/>
    <w:rsid w:val="007D7519"/>
    <w:rsid w:val="007D7D3E"/>
    <w:rsid w:val="007E3ED7"/>
    <w:rsid w:val="007E6C5C"/>
    <w:rsid w:val="007E7F61"/>
    <w:rsid w:val="007F271E"/>
    <w:rsid w:val="007F2965"/>
    <w:rsid w:val="007F5F2D"/>
    <w:rsid w:val="008000A7"/>
    <w:rsid w:val="0081014A"/>
    <w:rsid w:val="00810444"/>
    <w:rsid w:val="00815356"/>
    <w:rsid w:val="00820FDF"/>
    <w:rsid w:val="00821D0D"/>
    <w:rsid w:val="008223F3"/>
    <w:rsid w:val="008228B6"/>
    <w:rsid w:val="00824081"/>
    <w:rsid w:val="008266C4"/>
    <w:rsid w:val="008279C0"/>
    <w:rsid w:val="00831C3E"/>
    <w:rsid w:val="008355C8"/>
    <w:rsid w:val="00836A4A"/>
    <w:rsid w:val="00837C41"/>
    <w:rsid w:val="008425F6"/>
    <w:rsid w:val="0084334E"/>
    <w:rsid w:val="00846786"/>
    <w:rsid w:val="008467E4"/>
    <w:rsid w:val="00850E56"/>
    <w:rsid w:val="00861FAF"/>
    <w:rsid w:val="00862EB6"/>
    <w:rsid w:val="00864B38"/>
    <w:rsid w:val="00865195"/>
    <w:rsid w:val="00865872"/>
    <w:rsid w:val="00877ACA"/>
    <w:rsid w:val="008803C6"/>
    <w:rsid w:val="008819FF"/>
    <w:rsid w:val="0088620E"/>
    <w:rsid w:val="00893102"/>
    <w:rsid w:val="00894005"/>
    <w:rsid w:val="008946D0"/>
    <w:rsid w:val="00896378"/>
    <w:rsid w:val="008A2863"/>
    <w:rsid w:val="008A7BBB"/>
    <w:rsid w:val="008B1646"/>
    <w:rsid w:val="008B1937"/>
    <w:rsid w:val="008C03D0"/>
    <w:rsid w:val="008C0970"/>
    <w:rsid w:val="008C30D6"/>
    <w:rsid w:val="008D29F9"/>
    <w:rsid w:val="008D4725"/>
    <w:rsid w:val="008D5074"/>
    <w:rsid w:val="008D581E"/>
    <w:rsid w:val="008E2489"/>
    <w:rsid w:val="008E4BA0"/>
    <w:rsid w:val="008E724B"/>
    <w:rsid w:val="008E73A0"/>
    <w:rsid w:val="009020B5"/>
    <w:rsid w:val="00903C9F"/>
    <w:rsid w:val="009061A9"/>
    <w:rsid w:val="009138A7"/>
    <w:rsid w:val="00913A44"/>
    <w:rsid w:val="00917306"/>
    <w:rsid w:val="0092028E"/>
    <w:rsid w:val="009262AF"/>
    <w:rsid w:val="00936F5D"/>
    <w:rsid w:val="00942831"/>
    <w:rsid w:val="009463A6"/>
    <w:rsid w:val="00947A28"/>
    <w:rsid w:val="00953411"/>
    <w:rsid w:val="00955576"/>
    <w:rsid w:val="00962FE9"/>
    <w:rsid w:val="0096496B"/>
    <w:rsid w:val="00965B38"/>
    <w:rsid w:val="00972E06"/>
    <w:rsid w:val="00974095"/>
    <w:rsid w:val="009761B3"/>
    <w:rsid w:val="00984BD9"/>
    <w:rsid w:val="009855D1"/>
    <w:rsid w:val="00995722"/>
    <w:rsid w:val="00996015"/>
    <w:rsid w:val="009A3AE9"/>
    <w:rsid w:val="009A50BB"/>
    <w:rsid w:val="009A5CEB"/>
    <w:rsid w:val="009B7F83"/>
    <w:rsid w:val="009C326C"/>
    <w:rsid w:val="009C3E00"/>
    <w:rsid w:val="009D104F"/>
    <w:rsid w:val="009D394D"/>
    <w:rsid w:val="009D7451"/>
    <w:rsid w:val="009E4146"/>
    <w:rsid w:val="00A00C95"/>
    <w:rsid w:val="00A028E8"/>
    <w:rsid w:val="00A04839"/>
    <w:rsid w:val="00A04E78"/>
    <w:rsid w:val="00A05BC5"/>
    <w:rsid w:val="00A06714"/>
    <w:rsid w:val="00A071EB"/>
    <w:rsid w:val="00A16524"/>
    <w:rsid w:val="00A24DE9"/>
    <w:rsid w:val="00A36BE4"/>
    <w:rsid w:val="00A461BA"/>
    <w:rsid w:val="00A47B24"/>
    <w:rsid w:val="00A51253"/>
    <w:rsid w:val="00A53275"/>
    <w:rsid w:val="00A70D6C"/>
    <w:rsid w:val="00A77A39"/>
    <w:rsid w:val="00A77BE8"/>
    <w:rsid w:val="00A81DAD"/>
    <w:rsid w:val="00A85B60"/>
    <w:rsid w:val="00A85C7C"/>
    <w:rsid w:val="00A85E6D"/>
    <w:rsid w:val="00A91B17"/>
    <w:rsid w:val="00A95420"/>
    <w:rsid w:val="00AA1512"/>
    <w:rsid w:val="00AA1A8D"/>
    <w:rsid w:val="00AA20EB"/>
    <w:rsid w:val="00AA3340"/>
    <w:rsid w:val="00AA3756"/>
    <w:rsid w:val="00AB16DB"/>
    <w:rsid w:val="00AB4628"/>
    <w:rsid w:val="00AB46B4"/>
    <w:rsid w:val="00AB61EA"/>
    <w:rsid w:val="00AC536F"/>
    <w:rsid w:val="00AC6A29"/>
    <w:rsid w:val="00AC6C3C"/>
    <w:rsid w:val="00AD25FA"/>
    <w:rsid w:val="00AD4A39"/>
    <w:rsid w:val="00AD6087"/>
    <w:rsid w:val="00AD6391"/>
    <w:rsid w:val="00AD7937"/>
    <w:rsid w:val="00AF087C"/>
    <w:rsid w:val="00AF450E"/>
    <w:rsid w:val="00B02B12"/>
    <w:rsid w:val="00B0600C"/>
    <w:rsid w:val="00B07DB0"/>
    <w:rsid w:val="00B15B78"/>
    <w:rsid w:val="00B31B45"/>
    <w:rsid w:val="00B40F01"/>
    <w:rsid w:val="00B43B10"/>
    <w:rsid w:val="00B44FEA"/>
    <w:rsid w:val="00B5263A"/>
    <w:rsid w:val="00B61020"/>
    <w:rsid w:val="00B64256"/>
    <w:rsid w:val="00B65E01"/>
    <w:rsid w:val="00B719F8"/>
    <w:rsid w:val="00B74386"/>
    <w:rsid w:val="00B767B9"/>
    <w:rsid w:val="00B76EC5"/>
    <w:rsid w:val="00B84FB2"/>
    <w:rsid w:val="00B87BBB"/>
    <w:rsid w:val="00B90BCA"/>
    <w:rsid w:val="00B91D8E"/>
    <w:rsid w:val="00BB23D3"/>
    <w:rsid w:val="00BB2446"/>
    <w:rsid w:val="00BE129B"/>
    <w:rsid w:val="00BE4D8E"/>
    <w:rsid w:val="00BE6058"/>
    <w:rsid w:val="00BF77AE"/>
    <w:rsid w:val="00C021FA"/>
    <w:rsid w:val="00C2036A"/>
    <w:rsid w:val="00C23FB6"/>
    <w:rsid w:val="00C26489"/>
    <w:rsid w:val="00C371D1"/>
    <w:rsid w:val="00C468DD"/>
    <w:rsid w:val="00C66218"/>
    <w:rsid w:val="00C718A5"/>
    <w:rsid w:val="00C73071"/>
    <w:rsid w:val="00C75040"/>
    <w:rsid w:val="00C801B9"/>
    <w:rsid w:val="00C818C5"/>
    <w:rsid w:val="00CA2079"/>
    <w:rsid w:val="00CA7C1C"/>
    <w:rsid w:val="00CB1909"/>
    <w:rsid w:val="00CB467D"/>
    <w:rsid w:val="00CB5E00"/>
    <w:rsid w:val="00CB66CB"/>
    <w:rsid w:val="00CC1847"/>
    <w:rsid w:val="00CD3512"/>
    <w:rsid w:val="00CD4239"/>
    <w:rsid w:val="00CE0E8C"/>
    <w:rsid w:val="00CF294D"/>
    <w:rsid w:val="00CF2D0E"/>
    <w:rsid w:val="00CF51F5"/>
    <w:rsid w:val="00D01C3D"/>
    <w:rsid w:val="00D0364F"/>
    <w:rsid w:val="00D037CD"/>
    <w:rsid w:val="00D05744"/>
    <w:rsid w:val="00D07D49"/>
    <w:rsid w:val="00D1435F"/>
    <w:rsid w:val="00D23443"/>
    <w:rsid w:val="00D23E59"/>
    <w:rsid w:val="00D23F9F"/>
    <w:rsid w:val="00D24E1C"/>
    <w:rsid w:val="00D40DD3"/>
    <w:rsid w:val="00D417E5"/>
    <w:rsid w:val="00D41EA4"/>
    <w:rsid w:val="00D43300"/>
    <w:rsid w:val="00D446E6"/>
    <w:rsid w:val="00D46254"/>
    <w:rsid w:val="00D46DA6"/>
    <w:rsid w:val="00D5149F"/>
    <w:rsid w:val="00D56CE1"/>
    <w:rsid w:val="00D60A06"/>
    <w:rsid w:val="00D63ACC"/>
    <w:rsid w:val="00D63C62"/>
    <w:rsid w:val="00D674EB"/>
    <w:rsid w:val="00D71EED"/>
    <w:rsid w:val="00D730E4"/>
    <w:rsid w:val="00D7384F"/>
    <w:rsid w:val="00D80676"/>
    <w:rsid w:val="00D80CB8"/>
    <w:rsid w:val="00D870A0"/>
    <w:rsid w:val="00D914CF"/>
    <w:rsid w:val="00D956BE"/>
    <w:rsid w:val="00DA60DC"/>
    <w:rsid w:val="00DB116A"/>
    <w:rsid w:val="00DC004C"/>
    <w:rsid w:val="00DC498D"/>
    <w:rsid w:val="00DD2463"/>
    <w:rsid w:val="00DD5495"/>
    <w:rsid w:val="00DD5724"/>
    <w:rsid w:val="00DD73FC"/>
    <w:rsid w:val="00DE08D2"/>
    <w:rsid w:val="00DE11FD"/>
    <w:rsid w:val="00DE4D5F"/>
    <w:rsid w:val="00DF1125"/>
    <w:rsid w:val="00DF2B28"/>
    <w:rsid w:val="00DF4EEF"/>
    <w:rsid w:val="00E019B6"/>
    <w:rsid w:val="00E041D1"/>
    <w:rsid w:val="00E04A31"/>
    <w:rsid w:val="00E0651E"/>
    <w:rsid w:val="00E072B8"/>
    <w:rsid w:val="00E07C23"/>
    <w:rsid w:val="00E10764"/>
    <w:rsid w:val="00E11FAF"/>
    <w:rsid w:val="00E141F3"/>
    <w:rsid w:val="00E15937"/>
    <w:rsid w:val="00E16178"/>
    <w:rsid w:val="00E16B73"/>
    <w:rsid w:val="00E2075A"/>
    <w:rsid w:val="00E2192D"/>
    <w:rsid w:val="00E21D40"/>
    <w:rsid w:val="00E265CD"/>
    <w:rsid w:val="00E30F21"/>
    <w:rsid w:val="00E36A62"/>
    <w:rsid w:val="00E4514F"/>
    <w:rsid w:val="00E53B98"/>
    <w:rsid w:val="00E60F46"/>
    <w:rsid w:val="00E61925"/>
    <w:rsid w:val="00E75367"/>
    <w:rsid w:val="00E76DFC"/>
    <w:rsid w:val="00E770B3"/>
    <w:rsid w:val="00E77597"/>
    <w:rsid w:val="00E82691"/>
    <w:rsid w:val="00E83A05"/>
    <w:rsid w:val="00E905BE"/>
    <w:rsid w:val="00E91745"/>
    <w:rsid w:val="00E95BAD"/>
    <w:rsid w:val="00EA03EE"/>
    <w:rsid w:val="00EA74A6"/>
    <w:rsid w:val="00EB6D1E"/>
    <w:rsid w:val="00EB77DE"/>
    <w:rsid w:val="00EC1052"/>
    <w:rsid w:val="00ED76ED"/>
    <w:rsid w:val="00EE17CD"/>
    <w:rsid w:val="00EE2D71"/>
    <w:rsid w:val="00EE50BE"/>
    <w:rsid w:val="00EE5721"/>
    <w:rsid w:val="00EE7DA8"/>
    <w:rsid w:val="00EF3BDD"/>
    <w:rsid w:val="00EF4F6C"/>
    <w:rsid w:val="00F01E21"/>
    <w:rsid w:val="00F03ACD"/>
    <w:rsid w:val="00F10155"/>
    <w:rsid w:val="00F12042"/>
    <w:rsid w:val="00F12300"/>
    <w:rsid w:val="00F246D9"/>
    <w:rsid w:val="00F33E81"/>
    <w:rsid w:val="00F34A7D"/>
    <w:rsid w:val="00F3709D"/>
    <w:rsid w:val="00F42B84"/>
    <w:rsid w:val="00F53342"/>
    <w:rsid w:val="00F72431"/>
    <w:rsid w:val="00F7274C"/>
    <w:rsid w:val="00F731BB"/>
    <w:rsid w:val="00F74BF9"/>
    <w:rsid w:val="00F91682"/>
    <w:rsid w:val="00F91800"/>
    <w:rsid w:val="00F92292"/>
    <w:rsid w:val="00F9749B"/>
    <w:rsid w:val="00FA0E33"/>
    <w:rsid w:val="00FB1F43"/>
    <w:rsid w:val="00FB2C1D"/>
    <w:rsid w:val="00FB338C"/>
    <w:rsid w:val="00FB75E7"/>
    <w:rsid w:val="00FC01EF"/>
    <w:rsid w:val="00FC391E"/>
    <w:rsid w:val="00FC3ADE"/>
    <w:rsid w:val="00FD4370"/>
    <w:rsid w:val="00FD5BA3"/>
    <w:rsid w:val="00FD7371"/>
    <w:rsid w:val="00FF3AB2"/>
    <w:rsid w:val="00FF4BD5"/>
    <w:rsid w:val="00FF4DE0"/>
    <w:rsid w:val="02298352"/>
    <w:rsid w:val="069261A7"/>
    <w:rsid w:val="09D95F0F"/>
    <w:rsid w:val="0A62C1D7"/>
    <w:rsid w:val="0B7DB107"/>
    <w:rsid w:val="0F609B0C"/>
    <w:rsid w:val="13A047B9"/>
    <w:rsid w:val="13FE4C7C"/>
    <w:rsid w:val="174255C5"/>
    <w:rsid w:val="1A06284B"/>
    <w:rsid w:val="1C43490A"/>
    <w:rsid w:val="1FFEEAAD"/>
    <w:rsid w:val="20F3CCFE"/>
    <w:rsid w:val="216B6D1F"/>
    <w:rsid w:val="2710F8AE"/>
    <w:rsid w:val="29908003"/>
    <w:rsid w:val="3122539D"/>
    <w:rsid w:val="3E2ECE97"/>
    <w:rsid w:val="4136D952"/>
    <w:rsid w:val="417D4014"/>
    <w:rsid w:val="433BA99D"/>
    <w:rsid w:val="4B2F55F3"/>
    <w:rsid w:val="4F9904E3"/>
    <w:rsid w:val="529CFBAA"/>
    <w:rsid w:val="57187F17"/>
    <w:rsid w:val="5BBA69F9"/>
    <w:rsid w:val="5D5B4E6E"/>
    <w:rsid w:val="6030046D"/>
    <w:rsid w:val="70EC48B9"/>
    <w:rsid w:val="70F6876C"/>
    <w:rsid w:val="73E4E939"/>
    <w:rsid w:val="75DE8204"/>
    <w:rsid w:val="7B973AFF"/>
    <w:rsid w:val="7D17E3F6"/>
    <w:rsid w:val="7E7E7AB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5B80"/>
  <w15:docId w15:val="{FD9D3EA0-3F39-47A0-A954-AE2D7E470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75A"/>
    <w:pPr>
      <w:spacing w:line="360" w:lineRule="auto"/>
    </w:pPr>
    <w:rPr>
      <w:lang w:val="en-GB"/>
    </w:rPr>
  </w:style>
  <w:style w:type="paragraph" w:styleId="Heading1">
    <w:name w:val="heading 1"/>
    <w:basedOn w:val="Normal"/>
    <w:next w:val="Normal"/>
    <w:link w:val="Heading1Char"/>
    <w:uiPriority w:val="9"/>
    <w:qFormat/>
    <w:rsid w:val="00E2075A"/>
    <w:pPr>
      <w:keepNext/>
      <w:keepLines/>
      <w:spacing w:before="360" w:after="80" w:line="240" w:lineRule="auto"/>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3A3A19"/>
    <w:pPr>
      <w:keepNext/>
      <w:keepLines/>
      <w:spacing w:before="160" w:after="120" w:line="240" w:lineRule="auto"/>
      <w:outlineLvl w:val="1"/>
    </w:pPr>
    <w:rPr>
      <w:rFonts w:eastAsiaTheme="majorEastAsia" w:cstheme="majorBidi"/>
      <w:b/>
      <w:sz w:val="24"/>
      <w:szCs w:val="32"/>
    </w:rPr>
  </w:style>
  <w:style w:type="paragraph" w:styleId="Heading3">
    <w:name w:val="heading 3"/>
    <w:basedOn w:val="Normal"/>
    <w:next w:val="Normal"/>
    <w:link w:val="Heading3Char"/>
    <w:uiPriority w:val="9"/>
    <w:semiHidden/>
    <w:unhideWhenUsed/>
    <w:qFormat/>
    <w:rsid w:val="009B7F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7F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7F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7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75A"/>
    <w:rPr>
      <w:rFonts w:eastAsiaTheme="majorEastAsia" w:cstheme="majorBidi"/>
      <w:b/>
      <w:sz w:val="32"/>
      <w:szCs w:val="40"/>
      <w:lang w:val="en-GB"/>
    </w:rPr>
  </w:style>
  <w:style w:type="character" w:customStyle="1" w:styleId="Heading2Char">
    <w:name w:val="Heading 2 Char"/>
    <w:basedOn w:val="DefaultParagraphFont"/>
    <w:link w:val="Heading2"/>
    <w:uiPriority w:val="9"/>
    <w:rsid w:val="003A3A19"/>
    <w:rPr>
      <w:rFonts w:eastAsiaTheme="majorEastAsia" w:cstheme="majorBidi"/>
      <w:b/>
      <w:sz w:val="24"/>
      <w:szCs w:val="32"/>
      <w:lang w:val="en-GB"/>
    </w:rPr>
  </w:style>
  <w:style w:type="character" w:customStyle="1" w:styleId="Heading3Char">
    <w:name w:val="Heading 3 Char"/>
    <w:basedOn w:val="DefaultParagraphFont"/>
    <w:link w:val="Heading3"/>
    <w:uiPriority w:val="9"/>
    <w:semiHidden/>
    <w:rsid w:val="009B7F83"/>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9B7F83"/>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9B7F83"/>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9B7F8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B7F8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B7F8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B7F8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044F2"/>
    <w:pPr>
      <w:spacing w:after="80" w:line="240" w:lineRule="auto"/>
      <w:contextualSpacing/>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5044F2"/>
    <w:rPr>
      <w:rFonts w:eastAsiaTheme="majorEastAsia" w:cstheme="majorBidi"/>
      <w:b/>
      <w:spacing w:val="-10"/>
      <w:kern w:val="28"/>
      <w:sz w:val="48"/>
      <w:szCs w:val="56"/>
      <w:lang w:val="en-GB"/>
    </w:rPr>
  </w:style>
  <w:style w:type="paragraph" w:styleId="Subtitle">
    <w:name w:val="Subtitle"/>
    <w:basedOn w:val="Normal"/>
    <w:next w:val="Normal"/>
    <w:link w:val="SubtitleChar"/>
    <w:uiPriority w:val="11"/>
    <w:qFormat/>
    <w:rsid w:val="009B7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7F8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B7F83"/>
    <w:pPr>
      <w:spacing w:before="160"/>
      <w:jc w:val="center"/>
    </w:pPr>
    <w:rPr>
      <w:i/>
      <w:iCs/>
      <w:color w:val="404040" w:themeColor="text1" w:themeTint="BF"/>
    </w:rPr>
  </w:style>
  <w:style w:type="character" w:customStyle="1" w:styleId="QuoteChar">
    <w:name w:val="Quote Char"/>
    <w:basedOn w:val="DefaultParagraphFont"/>
    <w:link w:val="Quote"/>
    <w:uiPriority w:val="29"/>
    <w:rsid w:val="009B7F83"/>
    <w:rPr>
      <w:i/>
      <w:iCs/>
      <w:color w:val="404040" w:themeColor="text1" w:themeTint="BF"/>
      <w:lang w:val="en-GB"/>
    </w:rPr>
  </w:style>
  <w:style w:type="paragraph" w:styleId="ListParagraph">
    <w:name w:val="List Paragraph"/>
    <w:basedOn w:val="Normal"/>
    <w:uiPriority w:val="34"/>
    <w:qFormat/>
    <w:rsid w:val="009B7F83"/>
    <w:pPr>
      <w:ind w:left="720"/>
      <w:contextualSpacing/>
    </w:pPr>
  </w:style>
  <w:style w:type="character" w:styleId="IntenseEmphasis">
    <w:name w:val="Intense Emphasis"/>
    <w:basedOn w:val="DefaultParagraphFont"/>
    <w:uiPriority w:val="21"/>
    <w:qFormat/>
    <w:rsid w:val="009B7F83"/>
    <w:rPr>
      <w:i/>
      <w:iCs/>
      <w:color w:val="2F5496" w:themeColor="accent1" w:themeShade="BF"/>
    </w:rPr>
  </w:style>
  <w:style w:type="paragraph" w:styleId="IntenseQuote">
    <w:name w:val="Intense Quote"/>
    <w:basedOn w:val="Normal"/>
    <w:next w:val="Normal"/>
    <w:link w:val="IntenseQuoteChar"/>
    <w:uiPriority w:val="30"/>
    <w:qFormat/>
    <w:rsid w:val="009B7F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7F83"/>
    <w:rPr>
      <w:i/>
      <w:iCs/>
      <w:color w:val="2F5496" w:themeColor="accent1" w:themeShade="BF"/>
      <w:lang w:val="en-GB"/>
    </w:rPr>
  </w:style>
  <w:style w:type="character" w:styleId="IntenseReference">
    <w:name w:val="Intense Reference"/>
    <w:basedOn w:val="DefaultParagraphFont"/>
    <w:uiPriority w:val="32"/>
    <w:qFormat/>
    <w:rsid w:val="009B7F83"/>
    <w:rPr>
      <w:b/>
      <w:bCs/>
      <w:smallCaps/>
      <w:color w:val="2F5496" w:themeColor="accent1" w:themeShade="BF"/>
      <w:spacing w:val="5"/>
    </w:rPr>
  </w:style>
  <w:style w:type="character" w:styleId="LineNumber">
    <w:name w:val="line number"/>
    <w:basedOn w:val="DefaultParagraphFont"/>
    <w:uiPriority w:val="99"/>
    <w:semiHidden/>
    <w:unhideWhenUsed/>
    <w:rsid w:val="009B7F83"/>
  </w:style>
  <w:style w:type="paragraph" w:styleId="Header">
    <w:name w:val="header"/>
    <w:basedOn w:val="Normal"/>
    <w:link w:val="HeaderChar"/>
    <w:uiPriority w:val="99"/>
    <w:unhideWhenUsed/>
    <w:rsid w:val="005110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102F"/>
    <w:rPr>
      <w:lang w:val="en-GB"/>
    </w:rPr>
  </w:style>
  <w:style w:type="paragraph" w:styleId="Footer">
    <w:name w:val="footer"/>
    <w:basedOn w:val="Normal"/>
    <w:link w:val="FooterChar"/>
    <w:uiPriority w:val="99"/>
    <w:unhideWhenUsed/>
    <w:rsid w:val="005110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102F"/>
    <w:rPr>
      <w:lang w:val="en-GB"/>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D60A06"/>
    <w:pPr>
      <w:spacing w:after="0" w:line="240" w:lineRule="auto"/>
    </w:pPr>
    <w:rPr>
      <w:lang w:val="en-GB"/>
    </w:rPr>
  </w:style>
  <w:style w:type="paragraph" w:styleId="CommentSubject">
    <w:name w:val="annotation subject"/>
    <w:basedOn w:val="CommentText"/>
    <w:next w:val="CommentText"/>
    <w:link w:val="CommentSubjectChar"/>
    <w:uiPriority w:val="99"/>
    <w:semiHidden/>
    <w:unhideWhenUsed/>
    <w:rsid w:val="00D60A06"/>
    <w:rPr>
      <w:b/>
      <w:bCs/>
    </w:rPr>
  </w:style>
  <w:style w:type="character" w:customStyle="1" w:styleId="CommentSubjectChar">
    <w:name w:val="Comment Subject Char"/>
    <w:basedOn w:val="CommentTextChar"/>
    <w:link w:val="CommentSubject"/>
    <w:uiPriority w:val="99"/>
    <w:semiHidden/>
    <w:rsid w:val="00D60A06"/>
    <w:rPr>
      <w:b/>
      <w:bCs/>
      <w:sz w:val="20"/>
      <w:szCs w:val="20"/>
      <w:lang w:val="en-GB"/>
    </w:rPr>
  </w:style>
  <w:style w:type="character" w:styleId="Hyperlink">
    <w:name w:val="Hyperlink"/>
    <w:basedOn w:val="DefaultParagraphFont"/>
    <w:uiPriority w:val="99"/>
    <w:unhideWhenUsed/>
    <w:rsid w:val="00E141F3"/>
    <w:rPr>
      <w:color w:val="0563C1" w:themeColor="hyperlink"/>
      <w:u w:val="single"/>
    </w:rPr>
  </w:style>
  <w:style w:type="character" w:styleId="UnresolvedMention">
    <w:name w:val="Unresolved Mention"/>
    <w:basedOn w:val="DefaultParagraphFont"/>
    <w:uiPriority w:val="99"/>
    <w:semiHidden/>
    <w:unhideWhenUsed/>
    <w:rsid w:val="00E141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doi.org/10.1016/S0022-0981(87)80029-1" TargetMode="External"/><Relationship Id="rId1" Type="http://schemas.openxmlformats.org/officeDocument/2006/relationships/hyperlink" Target="https://doi.org/doi:%252010.5869/fc.2013.v19-2.197"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i.org/10.1007/s00267-013-0197-3" TargetMode="External"/><Relationship Id="rId26" Type="http://schemas.openxmlformats.org/officeDocument/2006/relationships/hyperlink" Target="https://doi.org/10.1016/s0044-8486(99)00114-3" TargetMode="External"/><Relationship Id="rId39" Type="http://schemas.openxmlformats.org/officeDocument/2006/relationships/hyperlink" Target="https://doi.org/10.1163/15685403-00003724" TargetMode="External"/><Relationship Id="rId21" Type="http://schemas.openxmlformats.org/officeDocument/2006/relationships/hyperlink" Target="https://doi.org/10.1163/1568539X-00003463" TargetMode="External"/><Relationship Id="rId34" Type="http://schemas.openxmlformats.org/officeDocument/2006/relationships/hyperlink" Target="https://doi.org/10.1080/00288330909510036" TargetMode="External"/><Relationship Id="rId42" Type="http://schemas.openxmlformats.org/officeDocument/2006/relationships/hyperlink" Target="https://doi.org/10.1016/j.biocon.2005.12.019" TargetMode="External"/><Relationship Id="rId47" Type="http://schemas.openxmlformats.org/officeDocument/2006/relationships/hyperlink" Target="https://olivierraven.github.io/NCE_Koura_catfish/" TargetMode="External"/><Relationship Id="rId50" Type="http://schemas.openxmlformats.org/officeDocument/2006/relationships/hyperlink" Target="https://doi.org/10.1080/00288330.2011.559661" TargetMode="External"/><Relationship Id="rId55" Type="http://schemas.openxmlformats.org/officeDocument/2006/relationships/hyperlink" Target="https://doi.org/10.3390/ani1408114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doi.org/10.1016/j.aquaculture.2005.05.032" TargetMode="External"/><Relationship Id="rId11" Type="http://schemas.microsoft.com/office/2018/08/relationships/commentsExtensible" Target="commentsExtensible.xml"/><Relationship Id="rId24" Type="http://schemas.openxmlformats.org/officeDocument/2006/relationships/hyperlink" Target="https://doi.org/10.32614/cran.package.xnomial" TargetMode="External"/><Relationship Id="rId32" Type="http://schemas.openxmlformats.org/officeDocument/2006/relationships/hyperlink" Target="https://doi.org/10.1016/j.ecoleng.2020.105994" TargetMode="External"/><Relationship Id="rId37" Type="http://schemas.openxmlformats.org/officeDocument/2006/relationships/hyperlink" Target="https://doi.org/10.1007/s10530-026-03852-0" TargetMode="External"/><Relationship Id="rId40" Type="http://schemas.openxmlformats.org/officeDocument/2006/relationships/hyperlink" Target="https://doi.org/10.1080/10641269509388566" TargetMode="External"/><Relationship Id="rId45" Type="http://schemas.openxmlformats.org/officeDocument/2006/relationships/hyperlink" Target="https://doi.org/10.1163/000579509x12512685881053" TargetMode="External"/><Relationship Id="rId53" Type="http://schemas.openxmlformats.org/officeDocument/2006/relationships/hyperlink" Target="https://doi.org/10.1080/00288330.2000.9516957"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yperlink" Target="https://cran.r-project.org/web/packages/brms/index.html"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https://doi.org/10.1139/facets-2022-0210" TargetMode="External"/><Relationship Id="rId27" Type="http://schemas.openxmlformats.org/officeDocument/2006/relationships/hyperlink" Target="https://doi.org/10.1002/aqc.4152" TargetMode="External"/><Relationship Id="rId30" Type="http://schemas.openxmlformats.org/officeDocument/2006/relationships/hyperlink" Target="https://doi.org/10.1080/10236240701562412" TargetMode="External"/><Relationship Id="rId35" Type="http://schemas.openxmlformats.org/officeDocument/2006/relationships/hyperlink" Target="https://doi.org/10.1016/j.fishres.2015.03.015" TargetMode="External"/><Relationship Id="rId43" Type="http://schemas.openxmlformats.org/officeDocument/2006/relationships/hyperlink" Target="https://doi.org/10.1046/j.1365-2427.2001.00702.x" TargetMode="External"/><Relationship Id="rId48" Type="http://schemas.openxmlformats.org/officeDocument/2006/relationships/hyperlink" Target="https://doi.org/doi:%252010.5869/fc.2013.v19-2.197" TargetMode="External"/><Relationship Id="rId56" Type="http://schemas.openxmlformats.org/officeDocument/2006/relationships/footer" Target="footer1.xml"/><Relationship Id="rId8" Type="http://schemas.openxmlformats.org/officeDocument/2006/relationships/comments" Target="comments.xml"/><Relationship Id="rId51" Type="http://schemas.openxmlformats.org/officeDocument/2006/relationships/hyperlink" Target="https://doi.org/10.1023/A:1021094309738"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oi.org/10.1674/0003-0031(2007)158%5b85:daieoc%5d2.0.co;2" TargetMode="External"/><Relationship Id="rId25" Type="http://schemas.openxmlformats.org/officeDocument/2006/relationships/hyperlink" Target="https://doi.org/10.1080/10236240500376477" TargetMode="External"/><Relationship Id="rId33" Type="http://schemas.openxmlformats.org/officeDocument/2006/relationships/hyperlink" Target="https://doi.org/10.1007/s10750-007-9108-z" TargetMode="External"/><Relationship Id="rId38" Type="http://schemas.openxmlformats.org/officeDocument/2006/relationships/hyperlink" Target="https://doi.org/10.5194/we-25-221-2025" TargetMode="External"/><Relationship Id="rId46" Type="http://schemas.openxmlformats.org/officeDocument/2006/relationships/hyperlink" Target="https://olivierraven.github.io/Koura_shoreline_habitats/" TargetMode="External"/><Relationship Id="rId59" Type="http://schemas.openxmlformats.org/officeDocument/2006/relationships/theme" Target="theme/theme1.xml"/><Relationship Id="rId20" Type="http://schemas.openxmlformats.org/officeDocument/2006/relationships/hyperlink" Target="https://doi.org/10.1080/00288330.2018.1539404" TargetMode="External"/><Relationship Id="rId41" Type="http://schemas.openxmlformats.org/officeDocument/2006/relationships/hyperlink" Target="https://doi.org/10.1111/j.1365-2427.2008.02089.x" TargetMode="External"/><Relationship Id="rId54" Type="http://schemas.openxmlformats.org/officeDocument/2006/relationships/hyperlink" Target="https://doi.org/10.1111/cobi.1291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3389/fmars.2023.1213790" TargetMode="External"/><Relationship Id="rId28" Type="http://schemas.openxmlformats.org/officeDocument/2006/relationships/hyperlink" Target="https://doi.org/10.1214/ss/1177011136" TargetMode="External"/><Relationship Id="rId36" Type="http://schemas.openxmlformats.org/officeDocument/2006/relationships/hyperlink" Target="https://doi.org/10.1071/mf14148" TargetMode="External"/><Relationship Id="rId49" Type="http://schemas.openxmlformats.org/officeDocument/2006/relationships/hyperlink" Target="https://doi.org/10.1098/rstb.2014.0060" TargetMode="External"/><Relationship Id="rId57" Type="http://schemas.openxmlformats.org/officeDocument/2006/relationships/fontTable" Target="fontTable.xml"/><Relationship Id="rId10" Type="http://schemas.microsoft.com/office/2016/09/relationships/commentsIds" Target="commentsIds.xml"/><Relationship Id="rId31" Type="http://schemas.openxmlformats.org/officeDocument/2006/relationships/hyperlink" Target="https://doi.org/10.1016/s0165-7836(97)00046-5" TargetMode="External"/><Relationship Id="rId44" Type="http://schemas.openxmlformats.org/officeDocument/2006/relationships/hyperlink" Target="https://doi.org/10.1080/00288330909510034" TargetMode="External"/><Relationship Id="rId52" Type="http://schemas.openxmlformats.org/officeDocument/2006/relationships/hyperlink" Target="https://doi.org/10.1242/jeb.1973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DD68A-8E0E-4DB4-B969-E1C1B304D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21</Pages>
  <Words>7542</Words>
  <Characters>42995</Characters>
  <Application>Microsoft Office Word</Application>
  <DocSecurity>0</DocSecurity>
  <Lines>358</Lines>
  <Paragraphs>100</Paragraphs>
  <ScaleCrop>false</ScaleCrop>
  <Company/>
  <LinksUpToDate>false</LinksUpToDate>
  <CharactersWithSpaces>50437</CharactersWithSpaces>
  <SharedDoc>false</SharedDoc>
  <HLinks>
    <vt:vector size="306" baseType="variant">
      <vt:variant>
        <vt:i4>7471212</vt:i4>
      </vt:variant>
      <vt:variant>
        <vt:i4>150</vt:i4>
      </vt:variant>
      <vt:variant>
        <vt:i4>0</vt:i4>
      </vt:variant>
      <vt:variant>
        <vt:i4>5</vt:i4>
      </vt:variant>
      <vt:variant>
        <vt:lpwstr>https://doi.org/10.3390/ani14081147</vt:lpwstr>
      </vt:variant>
      <vt:variant>
        <vt:lpwstr/>
      </vt:variant>
      <vt:variant>
        <vt:i4>2687094</vt:i4>
      </vt:variant>
      <vt:variant>
        <vt:i4>147</vt:i4>
      </vt:variant>
      <vt:variant>
        <vt:i4>0</vt:i4>
      </vt:variant>
      <vt:variant>
        <vt:i4>5</vt:i4>
      </vt:variant>
      <vt:variant>
        <vt:lpwstr>https://doi.org/10.1111/cobi.12915</vt:lpwstr>
      </vt:variant>
      <vt:variant>
        <vt:lpwstr/>
      </vt:variant>
      <vt:variant>
        <vt:i4>655436</vt:i4>
      </vt:variant>
      <vt:variant>
        <vt:i4>144</vt:i4>
      </vt:variant>
      <vt:variant>
        <vt:i4>0</vt:i4>
      </vt:variant>
      <vt:variant>
        <vt:i4>5</vt:i4>
      </vt:variant>
      <vt:variant>
        <vt:lpwstr>https://doi.org/10.1080/00288330.2000.9516957</vt:lpwstr>
      </vt:variant>
      <vt:variant>
        <vt:lpwstr/>
      </vt:variant>
      <vt:variant>
        <vt:i4>6750308</vt:i4>
      </vt:variant>
      <vt:variant>
        <vt:i4>141</vt:i4>
      </vt:variant>
      <vt:variant>
        <vt:i4>0</vt:i4>
      </vt:variant>
      <vt:variant>
        <vt:i4>5</vt:i4>
      </vt:variant>
      <vt:variant>
        <vt:lpwstr>https://doi.org/10.1242/jeb.197301</vt:lpwstr>
      </vt:variant>
      <vt:variant>
        <vt:lpwstr/>
      </vt:variant>
      <vt:variant>
        <vt:i4>2752568</vt:i4>
      </vt:variant>
      <vt:variant>
        <vt:i4>138</vt:i4>
      </vt:variant>
      <vt:variant>
        <vt:i4>0</vt:i4>
      </vt:variant>
      <vt:variant>
        <vt:i4>5</vt:i4>
      </vt:variant>
      <vt:variant>
        <vt:lpwstr>https://doi.org/10.1023/A:1021094309738</vt:lpwstr>
      </vt:variant>
      <vt:variant>
        <vt:lpwstr/>
      </vt:variant>
      <vt:variant>
        <vt:i4>983110</vt:i4>
      </vt:variant>
      <vt:variant>
        <vt:i4>135</vt:i4>
      </vt:variant>
      <vt:variant>
        <vt:i4>0</vt:i4>
      </vt:variant>
      <vt:variant>
        <vt:i4>5</vt:i4>
      </vt:variant>
      <vt:variant>
        <vt:lpwstr>https://doi.org/10.1080/00288330.2011.559661</vt:lpwstr>
      </vt:variant>
      <vt:variant>
        <vt:lpwstr/>
      </vt:variant>
      <vt:variant>
        <vt:i4>2490488</vt:i4>
      </vt:variant>
      <vt:variant>
        <vt:i4>132</vt:i4>
      </vt:variant>
      <vt:variant>
        <vt:i4>0</vt:i4>
      </vt:variant>
      <vt:variant>
        <vt:i4>5</vt:i4>
      </vt:variant>
      <vt:variant>
        <vt:lpwstr>https://doi.org/10.1098/rstb.2014.0060</vt:lpwstr>
      </vt:variant>
      <vt:variant>
        <vt:lpwstr/>
      </vt:variant>
      <vt:variant>
        <vt:i4>7733297</vt:i4>
      </vt:variant>
      <vt:variant>
        <vt:i4>129</vt:i4>
      </vt:variant>
      <vt:variant>
        <vt:i4>0</vt:i4>
      </vt:variant>
      <vt:variant>
        <vt:i4>5</vt:i4>
      </vt:variant>
      <vt:variant>
        <vt:lpwstr>https://doi.org/doi:%252010.5869/fc.2013.v19-2.197</vt:lpwstr>
      </vt:variant>
      <vt:variant>
        <vt:lpwstr/>
      </vt:variant>
      <vt:variant>
        <vt:i4>4259928</vt:i4>
      </vt:variant>
      <vt:variant>
        <vt:i4>126</vt:i4>
      </vt:variant>
      <vt:variant>
        <vt:i4>0</vt:i4>
      </vt:variant>
      <vt:variant>
        <vt:i4>5</vt:i4>
      </vt:variant>
      <vt:variant>
        <vt:lpwstr>https://olivierraven.github.io/NCE_Koura_catfish/</vt:lpwstr>
      </vt:variant>
      <vt:variant>
        <vt:lpwstr/>
      </vt:variant>
      <vt:variant>
        <vt:i4>786509</vt:i4>
      </vt:variant>
      <vt:variant>
        <vt:i4>123</vt:i4>
      </vt:variant>
      <vt:variant>
        <vt:i4>0</vt:i4>
      </vt:variant>
      <vt:variant>
        <vt:i4>5</vt:i4>
      </vt:variant>
      <vt:variant>
        <vt:lpwstr>https://olivierraven.github.io/Koura_shoreline_habitats/</vt:lpwstr>
      </vt:variant>
      <vt:variant>
        <vt:lpwstr/>
      </vt:variant>
      <vt:variant>
        <vt:i4>5898321</vt:i4>
      </vt:variant>
      <vt:variant>
        <vt:i4>120</vt:i4>
      </vt:variant>
      <vt:variant>
        <vt:i4>0</vt:i4>
      </vt:variant>
      <vt:variant>
        <vt:i4>5</vt:i4>
      </vt:variant>
      <vt:variant>
        <vt:lpwstr>https://doi.org/10.1163/000579509x12512685881053</vt:lpwstr>
      </vt:variant>
      <vt:variant>
        <vt:lpwstr/>
      </vt:variant>
      <vt:variant>
        <vt:i4>1441874</vt:i4>
      </vt:variant>
      <vt:variant>
        <vt:i4>117</vt:i4>
      </vt:variant>
      <vt:variant>
        <vt:i4>0</vt:i4>
      </vt:variant>
      <vt:variant>
        <vt:i4>5</vt:i4>
      </vt:variant>
      <vt:variant>
        <vt:lpwstr>https://doi.org/10.1080/00288330909510034</vt:lpwstr>
      </vt:variant>
      <vt:variant>
        <vt:lpwstr/>
      </vt:variant>
      <vt:variant>
        <vt:i4>6094877</vt:i4>
      </vt:variant>
      <vt:variant>
        <vt:i4>114</vt:i4>
      </vt:variant>
      <vt:variant>
        <vt:i4>0</vt:i4>
      </vt:variant>
      <vt:variant>
        <vt:i4>5</vt:i4>
      </vt:variant>
      <vt:variant>
        <vt:lpwstr>https://doi.org/10.1046/j.1365-2427.2001.00702.x</vt:lpwstr>
      </vt:variant>
      <vt:variant>
        <vt:lpwstr/>
      </vt:variant>
      <vt:variant>
        <vt:i4>5177425</vt:i4>
      </vt:variant>
      <vt:variant>
        <vt:i4>111</vt:i4>
      </vt:variant>
      <vt:variant>
        <vt:i4>0</vt:i4>
      </vt:variant>
      <vt:variant>
        <vt:i4>5</vt:i4>
      </vt:variant>
      <vt:variant>
        <vt:lpwstr>https://doi.org/10.1016/j.biocon.2005.12.019</vt:lpwstr>
      </vt:variant>
      <vt:variant>
        <vt:lpwstr/>
      </vt:variant>
      <vt:variant>
        <vt:i4>6094865</vt:i4>
      </vt:variant>
      <vt:variant>
        <vt:i4>108</vt:i4>
      </vt:variant>
      <vt:variant>
        <vt:i4>0</vt:i4>
      </vt:variant>
      <vt:variant>
        <vt:i4>5</vt:i4>
      </vt:variant>
      <vt:variant>
        <vt:lpwstr>https://doi.org/10.1111/j.1365-2427.2008.02089.x</vt:lpwstr>
      </vt:variant>
      <vt:variant>
        <vt:lpwstr/>
      </vt:variant>
      <vt:variant>
        <vt:i4>1638491</vt:i4>
      </vt:variant>
      <vt:variant>
        <vt:i4>105</vt:i4>
      </vt:variant>
      <vt:variant>
        <vt:i4>0</vt:i4>
      </vt:variant>
      <vt:variant>
        <vt:i4>5</vt:i4>
      </vt:variant>
      <vt:variant>
        <vt:lpwstr>https://doi.org/10.1080/10641269509388566</vt:lpwstr>
      </vt:variant>
      <vt:variant>
        <vt:lpwstr/>
      </vt:variant>
      <vt:variant>
        <vt:i4>1966144</vt:i4>
      </vt:variant>
      <vt:variant>
        <vt:i4>102</vt:i4>
      </vt:variant>
      <vt:variant>
        <vt:i4>0</vt:i4>
      </vt:variant>
      <vt:variant>
        <vt:i4>5</vt:i4>
      </vt:variant>
      <vt:variant>
        <vt:lpwstr>https://doi.org/10.1163/15685403-00003724</vt:lpwstr>
      </vt:variant>
      <vt:variant>
        <vt:lpwstr/>
      </vt:variant>
      <vt:variant>
        <vt:i4>8257587</vt:i4>
      </vt:variant>
      <vt:variant>
        <vt:i4>99</vt:i4>
      </vt:variant>
      <vt:variant>
        <vt:i4>0</vt:i4>
      </vt:variant>
      <vt:variant>
        <vt:i4>5</vt:i4>
      </vt:variant>
      <vt:variant>
        <vt:lpwstr>https://doi.org/10.5194/we-25-221-2025</vt:lpwstr>
      </vt:variant>
      <vt:variant>
        <vt:lpwstr/>
      </vt:variant>
      <vt:variant>
        <vt:i4>7471158</vt:i4>
      </vt:variant>
      <vt:variant>
        <vt:i4>96</vt:i4>
      </vt:variant>
      <vt:variant>
        <vt:i4>0</vt:i4>
      </vt:variant>
      <vt:variant>
        <vt:i4>5</vt:i4>
      </vt:variant>
      <vt:variant>
        <vt:lpwstr>https://doi.org/10.1071/mf14148</vt:lpwstr>
      </vt:variant>
      <vt:variant>
        <vt:lpwstr/>
      </vt:variant>
      <vt:variant>
        <vt:i4>1441874</vt:i4>
      </vt:variant>
      <vt:variant>
        <vt:i4>93</vt:i4>
      </vt:variant>
      <vt:variant>
        <vt:i4>0</vt:i4>
      </vt:variant>
      <vt:variant>
        <vt:i4>5</vt:i4>
      </vt:variant>
      <vt:variant>
        <vt:lpwstr>https://doi.org/10.1080/00288330909510036</vt:lpwstr>
      </vt:variant>
      <vt:variant>
        <vt:lpwstr/>
      </vt:variant>
      <vt:variant>
        <vt:i4>2818100</vt:i4>
      </vt:variant>
      <vt:variant>
        <vt:i4>90</vt:i4>
      </vt:variant>
      <vt:variant>
        <vt:i4>0</vt:i4>
      </vt:variant>
      <vt:variant>
        <vt:i4>5</vt:i4>
      </vt:variant>
      <vt:variant>
        <vt:lpwstr>https://doi.org/10.1007/s10530-026-03852-0</vt:lpwstr>
      </vt:variant>
      <vt:variant>
        <vt:lpwstr/>
      </vt:variant>
      <vt:variant>
        <vt:i4>393234</vt:i4>
      </vt:variant>
      <vt:variant>
        <vt:i4>87</vt:i4>
      </vt:variant>
      <vt:variant>
        <vt:i4>0</vt:i4>
      </vt:variant>
      <vt:variant>
        <vt:i4>5</vt:i4>
      </vt:variant>
      <vt:variant>
        <vt:lpwstr>https://doi.org/10.1007/s10750-007-9108-z</vt:lpwstr>
      </vt:variant>
      <vt:variant>
        <vt:lpwstr/>
      </vt:variant>
      <vt:variant>
        <vt:i4>5111833</vt:i4>
      </vt:variant>
      <vt:variant>
        <vt:i4>84</vt:i4>
      </vt:variant>
      <vt:variant>
        <vt:i4>0</vt:i4>
      </vt:variant>
      <vt:variant>
        <vt:i4>5</vt:i4>
      </vt:variant>
      <vt:variant>
        <vt:lpwstr>https://doi.org/10.1016/j.ecoleng.2020.105994</vt:lpwstr>
      </vt:variant>
      <vt:variant>
        <vt:lpwstr/>
      </vt:variant>
      <vt:variant>
        <vt:i4>917510</vt:i4>
      </vt:variant>
      <vt:variant>
        <vt:i4>78</vt:i4>
      </vt:variant>
      <vt:variant>
        <vt:i4>0</vt:i4>
      </vt:variant>
      <vt:variant>
        <vt:i4>5</vt:i4>
      </vt:variant>
      <vt:variant>
        <vt:lpwstr>https://doi.org/10.1016/s0165-7836(97)00046-5</vt:lpwstr>
      </vt:variant>
      <vt:variant>
        <vt:lpwstr/>
      </vt:variant>
      <vt:variant>
        <vt:i4>1835103</vt:i4>
      </vt:variant>
      <vt:variant>
        <vt:i4>75</vt:i4>
      </vt:variant>
      <vt:variant>
        <vt:i4>0</vt:i4>
      </vt:variant>
      <vt:variant>
        <vt:i4>5</vt:i4>
      </vt:variant>
      <vt:variant>
        <vt:lpwstr>https://doi.org/10.1080/10236240701562412</vt:lpwstr>
      </vt:variant>
      <vt:variant>
        <vt:lpwstr/>
      </vt:variant>
      <vt:variant>
        <vt:i4>5832724</vt:i4>
      </vt:variant>
      <vt:variant>
        <vt:i4>72</vt:i4>
      </vt:variant>
      <vt:variant>
        <vt:i4>0</vt:i4>
      </vt:variant>
      <vt:variant>
        <vt:i4>5</vt:i4>
      </vt:variant>
      <vt:variant>
        <vt:lpwstr>https://doi.org/10.1016/j.aquaculture.2005.05.032</vt:lpwstr>
      </vt:variant>
      <vt:variant>
        <vt:lpwstr/>
      </vt:variant>
      <vt:variant>
        <vt:i4>5570566</vt:i4>
      </vt:variant>
      <vt:variant>
        <vt:i4>69</vt:i4>
      </vt:variant>
      <vt:variant>
        <vt:i4>0</vt:i4>
      </vt:variant>
      <vt:variant>
        <vt:i4>5</vt:i4>
      </vt:variant>
      <vt:variant>
        <vt:lpwstr>https://doi.org/10.1214/ss/1177011136</vt:lpwstr>
      </vt:variant>
      <vt:variant>
        <vt:lpwstr/>
      </vt:variant>
      <vt:variant>
        <vt:i4>5177435</vt:i4>
      </vt:variant>
      <vt:variant>
        <vt:i4>66</vt:i4>
      </vt:variant>
      <vt:variant>
        <vt:i4>0</vt:i4>
      </vt:variant>
      <vt:variant>
        <vt:i4>5</vt:i4>
      </vt:variant>
      <vt:variant>
        <vt:lpwstr>https://doi.org/10.1002/aqc.4152</vt:lpwstr>
      </vt:variant>
      <vt:variant>
        <vt:lpwstr/>
      </vt:variant>
      <vt:variant>
        <vt:i4>2949177</vt:i4>
      </vt:variant>
      <vt:variant>
        <vt:i4>63</vt:i4>
      </vt:variant>
      <vt:variant>
        <vt:i4>0</vt:i4>
      </vt:variant>
      <vt:variant>
        <vt:i4>5</vt:i4>
      </vt:variant>
      <vt:variant>
        <vt:lpwstr>https://doi.org/10.1007/s10750-024-05589-0</vt:lpwstr>
      </vt:variant>
      <vt:variant>
        <vt:lpwstr/>
      </vt:variant>
      <vt:variant>
        <vt:i4>327695</vt:i4>
      </vt:variant>
      <vt:variant>
        <vt:i4>60</vt:i4>
      </vt:variant>
      <vt:variant>
        <vt:i4>0</vt:i4>
      </vt:variant>
      <vt:variant>
        <vt:i4>5</vt:i4>
      </vt:variant>
      <vt:variant>
        <vt:lpwstr>https://doi.org/10.1016/s0044-8486(99)00114-3</vt:lpwstr>
      </vt:variant>
      <vt:variant>
        <vt:lpwstr/>
      </vt:variant>
      <vt:variant>
        <vt:i4>1572957</vt:i4>
      </vt:variant>
      <vt:variant>
        <vt:i4>57</vt:i4>
      </vt:variant>
      <vt:variant>
        <vt:i4>0</vt:i4>
      </vt:variant>
      <vt:variant>
        <vt:i4>5</vt:i4>
      </vt:variant>
      <vt:variant>
        <vt:lpwstr>https://doi.org/10.1080/10236240500376477</vt:lpwstr>
      </vt:variant>
      <vt:variant>
        <vt:lpwstr/>
      </vt:variant>
      <vt:variant>
        <vt:i4>65539</vt:i4>
      </vt:variant>
      <vt:variant>
        <vt:i4>54</vt:i4>
      </vt:variant>
      <vt:variant>
        <vt:i4>0</vt:i4>
      </vt:variant>
      <vt:variant>
        <vt:i4>5</vt:i4>
      </vt:variant>
      <vt:variant>
        <vt:lpwstr>https://doi.org/10.32614/cran.package.xnomial</vt:lpwstr>
      </vt:variant>
      <vt:variant>
        <vt:lpwstr/>
      </vt:variant>
      <vt:variant>
        <vt:i4>2883634</vt:i4>
      </vt:variant>
      <vt:variant>
        <vt:i4>51</vt:i4>
      </vt:variant>
      <vt:variant>
        <vt:i4>0</vt:i4>
      </vt:variant>
      <vt:variant>
        <vt:i4>5</vt:i4>
      </vt:variant>
      <vt:variant>
        <vt:lpwstr>https://doi.org/10.3389/fmars.2023.1213790</vt:lpwstr>
      </vt:variant>
      <vt:variant>
        <vt:lpwstr/>
      </vt:variant>
      <vt:variant>
        <vt:i4>4718605</vt:i4>
      </vt:variant>
      <vt:variant>
        <vt:i4>48</vt:i4>
      </vt:variant>
      <vt:variant>
        <vt:i4>0</vt:i4>
      </vt:variant>
      <vt:variant>
        <vt:i4>5</vt:i4>
      </vt:variant>
      <vt:variant>
        <vt:lpwstr>https://doi.org/10.1139/facets-2022-0210</vt:lpwstr>
      </vt:variant>
      <vt:variant>
        <vt:lpwstr/>
      </vt:variant>
      <vt:variant>
        <vt:i4>5636170</vt:i4>
      </vt:variant>
      <vt:variant>
        <vt:i4>45</vt:i4>
      </vt:variant>
      <vt:variant>
        <vt:i4>0</vt:i4>
      </vt:variant>
      <vt:variant>
        <vt:i4>5</vt:i4>
      </vt:variant>
      <vt:variant>
        <vt:lpwstr>https://doi.org/10.1163/1568539X-00003463</vt:lpwstr>
      </vt:variant>
      <vt:variant>
        <vt:lpwstr/>
      </vt:variant>
      <vt:variant>
        <vt:i4>65603</vt:i4>
      </vt:variant>
      <vt:variant>
        <vt:i4>42</vt:i4>
      </vt:variant>
      <vt:variant>
        <vt:i4>0</vt:i4>
      </vt:variant>
      <vt:variant>
        <vt:i4>5</vt:i4>
      </vt:variant>
      <vt:variant>
        <vt:lpwstr>https://doi.org/10.1080/00288330.2018.1539404</vt:lpwstr>
      </vt:variant>
      <vt:variant>
        <vt:lpwstr/>
      </vt:variant>
      <vt:variant>
        <vt:i4>2424940</vt:i4>
      </vt:variant>
      <vt:variant>
        <vt:i4>39</vt:i4>
      </vt:variant>
      <vt:variant>
        <vt:i4>0</vt:i4>
      </vt:variant>
      <vt:variant>
        <vt:i4>5</vt:i4>
      </vt:variant>
      <vt:variant>
        <vt:lpwstr>https://cran.r-project.org/web/packages/brms/index.html</vt:lpwstr>
      </vt:variant>
      <vt:variant>
        <vt:lpwstr/>
      </vt:variant>
      <vt:variant>
        <vt:i4>4128814</vt:i4>
      </vt:variant>
      <vt:variant>
        <vt:i4>36</vt:i4>
      </vt:variant>
      <vt:variant>
        <vt:i4>0</vt:i4>
      </vt:variant>
      <vt:variant>
        <vt:i4>5</vt:i4>
      </vt:variant>
      <vt:variant>
        <vt:lpwstr>https://doi.org/10.1016/j.tree.2008.10.008</vt:lpwstr>
      </vt:variant>
      <vt:variant>
        <vt:lpwstr/>
      </vt:variant>
      <vt:variant>
        <vt:i4>4849741</vt:i4>
      </vt:variant>
      <vt:variant>
        <vt:i4>30</vt:i4>
      </vt:variant>
      <vt:variant>
        <vt:i4>0</vt:i4>
      </vt:variant>
      <vt:variant>
        <vt:i4>5</vt:i4>
      </vt:variant>
      <vt:variant>
        <vt:lpwstr>https://doi.org/10.18637/jss.v067.i01</vt:lpwstr>
      </vt:variant>
      <vt:variant>
        <vt:lpwstr/>
      </vt:variant>
      <vt:variant>
        <vt:i4>65567</vt:i4>
      </vt:variant>
      <vt:variant>
        <vt:i4>27</vt:i4>
      </vt:variant>
      <vt:variant>
        <vt:i4>0</vt:i4>
      </vt:variant>
      <vt:variant>
        <vt:i4>5</vt:i4>
      </vt:variant>
      <vt:variant>
        <vt:lpwstr>https://doi.org/10.1007/s00267-013-0197-3</vt:lpwstr>
      </vt:variant>
      <vt:variant>
        <vt:lpwstr/>
      </vt:variant>
      <vt:variant>
        <vt:i4>852052</vt:i4>
      </vt:variant>
      <vt:variant>
        <vt:i4>24</vt:i4>
      </vt:variant>
      <vt:variant>
        <vt:i4>0</vt:i4>
      </vt:variant>
      <vt:variant>
        <vt:i4>5</vt:i4>
      </vt:variant>
      <vt:variant>
        <vt:lpwstr>https://doi.org/10.1674/0003-0031(2007)158%5b85:daieoc%5d2.0.co;2</vt:lpwstr>
      </vt:variant>
      <vt:variant>
        <vt:lpwstr/>
      </vt:variant>
      <vt:variant>
        <vt:i4>6619193</vt:i4>
      </vt:variant>
      <vt:variant>
        <vt:i4>21</vt:i4>
      </vt:variant>
      <vt:variant>
        <vt:i4>0</vt:i4>
      </vt:variant>
      <vt:variant>
        <vt:i4>5</vt:i4>
      </vt:variant>
      <vt:variant>
        <vt:lpwstr/>
      </vt:variant>
      <vt:variant>
        <vt:lpwstr>fig-exp4-ms</vt:lpwstr>
      </vt:variant>
      <vt:variant>
        <vt:i4>6422585</vt:i4>
      </vt:variant>
      <vt:variant>
        <vt:i4>18</vt:i4>
      </vt:variant>
      <vt:variant>
        <vt:i4>0</vt:i4>
      </vt:variant>
      <vt:variant>
        <vt:i4>5</vt:i4>
      </vt:variant>
      <vt:variant>
        <vt:lpwstr/>
      </vt:variant>
      <vt:variant>
        <vt:lpwstr>fig-exp3-ms</vt:lpwstr>
      </vt:variant>
      <vt:variant>
        <vt:i4>6488121</vt:i4>
      </vt:variant>
      <vt:variant>
        <vt:i4>15</vt:i4>
      </vt:variant>
      <vt:variant>
        <vt:i4>0</vt:i4>
      </vt:variant>
      <vt:variant>
        <vt:i4>5</vt:i4>
      </vt:variant>
      <vt:variant>
        <vt:lpwstr/>
      </vt:variant>
      <vt:variant>
        <vt:lpwstr>fig-exp2-ms</vt:lpwstr>
      </vt:variant>
      <vt:variant>
        <vt:i4>6291513</vt:i4>
      </vt:variant>
      <vt:variant>
        <vt:i4>12</vt:i4>
      </vt:variant>
      <vt:variant>
        <vt:i4>0</vt:i4>
      </vt:variant>
      <vt:variant>
        <vt:i4>5</vt:i4>
      </vt:variant>
      <vt:variant>
        <vt:lpwstr/>
      </vt:variant>
      <vt:variant>
        <vt:lpwstr>fig-exp1-ms</vt:lpwstr>
      </vt:variant>
      <vt:variant>
        <vt:i4>65555</vt:i4>
      </vt:variant>
      <vt:variant>
        <vt:i4>9</vt:i4>
      </vt:variant>
      <vt:variant>
        <vt:i4>0</vt:i4>
      </vt:variant>
      <vt:variant>
        <vt:i4>5</vt:i4>
      </vt:variant>
      <vt:variant>
        <vt:lpwstr/>
      </vt:variant>
      <vt:variant>
        <vt:lpwstr>fig-exp-setup</vt:lpwstr>
      </vt:variant>
      <vt:variant>
        <vt:i4>65555</vt:i4>
      </vt:variant>
      <vt:variant>
        <vt:i4>6</vt:i4>
      </vt:variant>
      <vt:variant>
        <vt:i4>0</vt:i4>
      </vt:variant>
      <vt:variant>
        <vt:i4>5</vt:i4>
      </vt:variant>
      <vt:variant>
        <vt:lpwstr/>
      </vt:variant>
      <vt:variant>
        <vt:lpwstr>fig-exp-setup</vt:lpwstr>
      </vt:variant>
      <vt:variant>
        <vt:i4>65555</vt:i4>
      </vt:variant>
      <vt:variant>
        <vt:i4>3</vt:i4>
      </vt:variant>
      <vt:variant>
        <vt:i4>0</vt:i4>
      </vt:variant>
      <vt:variant>
        <vt:i4>5</vt:i4>
      </vt:variant>
      <vt:variant>
        <vt:lpwstr/>
      </vt:variant>
      <vt:variant>
        <vt:lpwstr>fig-exp-setup</vt:lpwstr>
      </vt:variant>
      <vt:variant>
        <vt:i4>65555</vt:i4>
      </vt:variant>
      <vt:variant>
        <vt:i4>0</vt:i4>
      </vt:variant>
      <vt:variant>
        <vt:i4>0</vt:i4>
      </vt:variant>
      <vt:variant>
        <vt:i4>5</vt:i4>
      </vt:variant>
      <vt:variant>
        <vt:lpwstr/>
      </vt:variant>
      <vt:variant>
        <vt:lpwstr>fig-exp-setup</vt:lpwstr>
      </vt:variant>
      <vt:variant>
        <vt:i4>720907</vt:i4>
      </vt:variant>
      <vt:variant>
        <vt:i4>3</vt:i4>
      </vt:variant>
      <vt:variant>
        <vt:i4>0</vt:i4>
      </vt:variant>
      <vt:variant>
        <vt:i4>5</vt:i4>
      </vt:variant>
      <vt:variant>
        <vt:lpwstr>https://doi.org/10.1016/S0022-0981(87)80029-1</vt:lpwstr>
      </vt:variant>
      <vt:variant>
        <vt:lpwstr/>
      </vt:variant>
      <vt:variant>
        <vt:i4>7733297</vt:i4>
      </vt:variant>
      <vt:variant>
        <vt:i4>0</vt:i4>
      </vt:variant>
      <vt:variant>
        <vt:i4>0</vt:i4>
      </vt:variant>
      <vt:variant>
        <vt:i4>5</vt:i4>
      </vt:variant>
      <vt:variant>
        <vt:lpwstr>https://doi.org/doi:%252010.5869/fc.2013.v19-2.197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subject/>
  <dc:creator>Olivier V. Raven;Robin Holmes;Ian A. K. Kusabs;Francis J. Burdon;Deniz Özkundakci</dc:creator>
  <cp:keywords>kōura, Paranephrops planifrons, refuge selection, artificial reef, Aotearoa New Zealand</cp:keywords>
  <cp:lastModifiedBy>Raven, Olivier (Student)</cp:lastModifiedBy>
  <cp:revision>399</cp:revision>
  <dcterms:created xsi:type="dcterms:W3CDTF">2026-05-29T23:59:00Z</dcterms:created>
  <dcterms:modified xsi:type="dcterms:W3CDTF">2026-06-14T22:38:00Z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2026-05-29</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