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3.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2026-05-29</w:t>
      </w:r>
    </w:p>
    <w:p>
      <w:pPr>
        <w:pStyle w:val="AbstractTitle"/>
      </w:pPr>
      <w:r>
        <w:t xml:space="preserve">Abstract</w:t>
      </w:r>
    </w:p>
    <w:p>
      <w:pPr>
        <w:pStyle w:val="Abstract"/>
      </w:pPr>
      <w:r>
        <w:t xml:space="preserve">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 et al., 2015)</w:t>
      </w:r>
      <w:r>
        <w:t xml:space="preserve">. As keystone species and ecosystem engineers, crayfish play crucial roles in freshwater food webs through shredding of leaf litter, bioturbation of sediments, and nutrient cycling, and therefore their loss can have profound cascading effects on freshwater ecosystems</w:t>
      </w:r>
      <w:r>
        <w:t xml:space="preserve"> </w:t>
      </w:r>
      <w:r>
        <w:t xml:space="preserve">(Collier et al., 1997; Momot, 1995; Parkyn et al.,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 et al.,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(Adams, 2014; Parkyn et al., 2009)</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 et al., 1997; Johnsen &amp; Taugbøl, 2008)</w:t>
      </w:r>
      <w:r>
        <w:t xml:space="preserve">, and the availability of coarser substrate has also been shown to improve juvenile survival rates</w:t>
      </w:r>
      <w:r>
        <w:t xml:space="preserve"> </w:t>
      </w:r>
      <w:r>
        <w:t xml:space="preserve">(Mazlum et al.,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(Frehse et al., 2025)</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&amp;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&amp;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 et al., 2005)</w:t>
      </w:r>
      <w:r>
        <w:t xml:space="preserve">. Body weight ratio between contestants is a strong predictor of shelter takeover success, although prior ownership can offset size disadvantages</w:t>
      </w:r>
      <w:r>
        <w:t xml:space="preserve"> </w:t>
      </w:r>
      <w:r>
        <w:t xml:space="preserve">(Ranta &amp; Lindström, 1993)</w:t>
      </w:r>
      <w:r>
        <w:t xml:space="preserve">, particularly when both individuals hold high-quality shelters</w:t>
      </w:r>
      <w:r>
        <w:t xml:space="preserve"> </w:t>
      </w:r>
      <w:r>
        <w:t xml:space="preserve">(Takahashi et al.,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&amp;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 et al., 2020)</w:t>
      </w:r>
      <w:r>
        <w:t xml:space="preserve">. Additionally, enclosed structures such as PVC pipes also provide greater protection against predatory fish than stone or vegetation structures, likely due to their consistent hole dimensions</w:t>
      </w:r>
      <w:r>
        <w:t xml:space="preserve"> </w:t>
      </w:r>
      <w:r>
        <w:t xml:space="preserve">(Zhao et al.,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(Cooke et al., 2023; Wehi &amp; Lord, 2017)</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(Kusabs et al., inpress; Lee et al., 2025)</w:t>
      </w:r>
      <w:r>
        <w:t xml:space="preserve">. Kōura are taonga (culturally treasured) species for Māori, the indigenous people of Aotearoa, and hold significant ecological and cultural value in freshwater ecosystems</w:t>
      </w:r>
      <w:r>
        <w:t xml:space="preserve"> </w:t>
      </w:r>
      <w:r>
        <w:t xml:space="preserve">(Kusabs &amp; Quinn, 2009)</w:t>
      </w:r>
      <w:r>
        <w:t xml:space="preserve">. In their natural habitat, kōura are positively associated with overhanging banks, coarse substrates, and woody debris</w:t>
      </w:r>
      <w:r>
        <w:t xml:space="preserve"> </w:t>
      </w:r>
      <w:r>
        <w:t xml:space="preserve">(Jowett et al., 2008; Parkyn et al., 2009; Raven et al., inreview; Usio &amp; Townsend, 2000)</w:t>
      </w:r>
      <w:r>
        <w:t xml:space="preserve">. Kōura have been shown to significantly increase refuge use in the presence of predators</w:t>
      </w:r>
      <w:r>
        <w:t xml:space="preserve"> </w:t>
      </w:r>
      <w:r>
        <w:t xml:space="preserve">(Raven et al., indraft; Shave et al., 1994)</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(Percival &amp; Moore, 2010; Streissl &amp; Hödl, 2002)</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 et al.,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 taonga (treasured)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w:t>
      </w:r>
      <w:r>
        <w:t xml:space="preserve"> </w:t>
      </w:r>
      <w:r>
        <w:t xml:space="preserve">(Bates et al., 2015)</w:t>
      </w:r>
      <w:r>
        <w:t xml:space="preserve"> </w:t>
      </w:r>
      <w:r>
        <w:t xml:space="preserve">do not support categorical outcomes with complex nested random effects structures, making Bayesian estimation the appropriate choice for this design</w:t>
      </w:r>
      <w:r>
        <w:t xml:space="preserve"> </w:t>
      </w:r>
      <w:r>
        <w:t xml:space="preserve">(Bolker et al., 2009; McCarthy, 2007)</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&amp;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 et al.,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was fitted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Structure preference did not differ significantly between sexes (Fisher’s exact test:</w:t>
      </w:r>
      <w:r>
        <w:t xml:space="preserve"> </w:t>
      </w:r>
      <w:r>
        <w:rPr>
          <w:i/>
          <w:iCs/>
        </w:rPr>
        <w:t xml:space="preserve">p</w:t>
      </w:r>
      <w:r>
        <w:t xml:space="preserve"> </w:t>
      </w:r>
      <w:r>
        <w:t xml:space="preserve">= 0.458). The symmetry test indicated that structure type use shifted between L0 and L1 (</w:t>
      </w:r>
      <w:r>
        <w:rPr>
          <w:i/>
          <w:iCs/>
        </w:rPr>
        <w:t xml:space="preserve">p</w:t>
      </w:r>
      <w:r>
        <w:t xml:space="preserve"> </w:t>
      </w:r>
      <w:r>
        <w:t xml:space="preserve">= 0.001), suggesting kōura actively relocated to preferred structure types overnight rather than remaining at their initial location. The GoPro footage also shows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 et al., 2016)</w:t>
      </w:r>
      <w:r>
        <w:t xml:space="preserve">, and the drilled holes in the WoodLog offered most protection similar to what has been found for perforated brick and PVC tube shelters under catfish predation</w:t>
      </w:r>
      <w:r>
        <w:t xml:space="preserve"> </w:t>
      </w:r>
      <w:r>
        <w:t xml:space="preserve">(Adams, 2007; Zhao et al.,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(Hurlbert, 1984)</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(Percival &amp; Moore, 2010; Streissl &amp; Hödl, 2002)</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(Figler et al., 2005; Ranta &amp; Lindström, 1993; Stewart &amp;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&amp;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w:t>
      </w:r>
      <w:r>
        <w:rPr>
          <w:b/>
          <w:bCs/>
        </w:rPr>
        <w:t xml:space="preserve">Frigler1999?</w:t>
      </w:r>
      <w:r>
        <w:t xml:space="preserve">)</w:t>
      </w:r>
      <w:r>
        <w:t xml:space="preserve">. When refuge availability is limited, competitive hierarchies displace smaller and recently moulted individuals from preferred refugia, leaving them exposed</w:t>
      </w:r>
      <w:r>
        <w:t xml:space="preserve"> </w:t>
      </w:r>
      <w:r>
        <w:t xml:space="preserve">(Figler et al., 2005; Ranta &amp; Lindström, 1993)</w:t>
      </w:r>
      <w:r>
        <w:t xml:space="preserve">. Providing sufficient refuge spaces with a range of crevice size can reduce agonistic interactions and benefit the whole population</w:t>
      </w:r>
      <w:r>
        <w:t xml:space="preserve"> </w:t>
      </w:r>
      <w:r>
        <w:t xml:space="preserve">(Olsson &amp;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 et al., 1997; Streissl &amp; Hödl, 2002)</w:t>
      </w:r>
      <w:r>
        <w:t xml:space="preserve">, but also for marine environments, as reef fish, marine shrimp, and lobsters benefit from habitat enhancement structures</w:t>
      </w:r>
      <w:r>
        <w:t xml:space="preserve"> </w:t>
      </w:r>
      <w:r>
        <w:t xml:space="preserve">(Dickson et al., 2023; Hylkema et al., 2020; Magnelia et al., 2008; Spanier, 1994)</w:t>
      </w:r>
      <w:r>
        <w:t xml:space="preserve">. Structures made from stone and wood have been shown to outperform synthetic alternatives and bare substrates</w:t>
      </w:r>
      <w:r>
        <w:t xml:space="preserve"> </w:t>
      </w:r>
      <w:r>
        <w:t xml:space="preserve">(Cooke et al., 2023; Dickson et al., 2023; Huolila et al., 1997; Magnelia et al., 2008)</w:t>
      </w:r>
      <w:r>
        <w:t xml:space="preserve">, and do not contribute to plastic pollution in the environment</w:t>
      </w:r>
      <w:r>
        <w:t xml:space="preserve"> </w:t>
      </w:r>
      <w:r>
        <w:t xml:space="preserve">(Cooke et al., 2023)</w:t>
      </w:r>
      <w:r>
        <w:t xml:space="preserve">. Locally sourced natural materials also align with kaitiakitanga, which is the Māori principle of environmental guardianship and preserves the natural character of culturally significant lake environments</w:t>
      </w:r>
      <w:r>
        <w:t xml:space="preserve"> </w:t>
      </w:r>
      <w:r>
        <w:t xml:space="preserve">(Clapcott et al., 2018)</w:t>
      </w:r>
      <w:r>
        <w:t xml:space="preserve">. For in-lake deployment, existing habitat surveys suggest that kōura are associated with coarser substrate</w:t>
      </w:r>
      <w:r>
        <w:t xml:space="preserve"> </w:t>
      </w:r>
      <w:r>
        <w:t xml:space="preserve">(Jowett et al., 2008; Kusabs et al., 2015; Olsson et al., 2006)</w:t>
      </w:r>
      <w:r>
        <w:t xml:space="preserve">, and cobbles of 50–400 mm have been previously used in stream and lake restoration</w:t>
      </w:r>
      <w:r>
        <w:t xml:space="preserve"> </w:t>
      </w:r>
      <w:r>
        <w:t xml:space="preserve">(Huolila et al., 1997; Johnsen &amp;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 et al., 2024)</w:t>
      </w:r>
      <w:r>
        <w:t xml:space="preserve">. With the threat from invasive predatory fish, like catfish preying on kōura</w:t>
      </w:r>
      <w:r>
        <w:t xml:space="preserve"> </w:t>
      </w:r>
      <w:r>
        <w:t xml:space="preserve">(Kusabs et al., inpress)</w:t>
      </w:r>
      <w:r>
        <w:t xml:space="preserve">, enhancing habitat complexity which provides enclosed crevices can be important for kōura as refuge availability directly influences predation survival</w:t>
      </w:r>
      <w:r>
        <w:t xml:space="preserve"> </w:t>
      </w:r>
      <w:r>
        <w:t xml:space="preserve">(Adams, 2007; Zhao et al.,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14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2" w:name="fig-exp-setup"/>
          <w:p>
            <w:pPr>
              <w:pStyle w:val="Compact"/>
              <w:jc w:val="center"/>
            </w:pPr>
            <w:r>
              <w:drawing>
                <wp:inline>
                  <wp:extent cx="5727700" cy="4293634"/>
                  <wp:effectExtent b="0" l="0" r="0" t="0"/>
                  <wp:docPr descr="" title="" id="40" name="Picture"/>
                  <a:graphic>
                    <a:graphicData uri="http://schemas.openxmlformats.org/drawingml/2006/picture">
                      <pic:pic>
                        <pic:nvPicPr>
                          <pic:cNvPr descr="images/Setup_exp_tanks.png" id="41" name="Picture"/>
                          <pic:cNvPicPr>
                            <a:picLocks noChangeArrowheads="1" noChangeAspect="1"/>
                          </pic:cNvPicPr>
                        </pic:nvPicPr>
                        <pic:blipFill>
                          <a:blip r:embed="rId39"/>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2"/>
        </w:tc>
      </w:tr>
    </w:tbl>
    <w:bookmarkStart w:id="48" w:name="cell-fig-exp1-ms"/>
    <w:tbl>
      <w:tblPr>
        <w:tblStyle w:val="Table"/>
        <w:tblW w:type="pct" w:w="5000"/>
        <w:tblLayout w:type="fixed"/>
        <w:tblLook w:firstRow="0" w:lastRow="0" w:firstColumn="0" w:lastColumn="0" w:noHBand="0" w:noVBand="0" w:val="0000"/>
      </w:tblPr>
      <w:tblGrid>
        <w:gridCol w:w="7920"/>
      </w:tblGrid>
      <w:tr>
        <w:tc>
          <w:tcPr/>
          <w:bookmarkStart w:id="46" w:name="fig-exp1-ms"/>
          <w:p>
            <w:pPr>
              <w:pStyle w:val="Compact"/>
              <w:jc w:val="center"/>
            </w:pPr>
            <w:r>
              <w:drawing>
                <wp:inline>
                  <wp:extent cx="4587290" cy="3669832"/>
                  <wp:effectExtent b="0" l="0" r="0" t="0"/>
                  <wp:docPr descr="" title="" id="44" name="Picture"/>
                  <a:graphic>
                    <a:graphicData uri="http://schemas.openxmlformats.org/drawingml/2006/picture">
                      <pic:pic>
                        <pic:nvPicPr>
                          <pic:cNvPr descr="outputs/fig-exp1.png" id="45" name="Picture"/>
                          <pic:cNvPicPr>
                            <a:picLocks noChangeArrowheads="1" noChangeAspect="1"/>
                          </pic:cNvPicPr>
                        </pic:nvPicPr>
                        <pic:blipFill>
                          <a:blip r:embed="rId43"/>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reef type at final observation (L1), shown separately for female and male kōura. Bars show observed proportions with sample sizes (n) shown in white. Letters above bars indicate significant pairwise differences (G-test, Bonferroni adjusted).</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48"/>
    <w:bookmarkStart w:id="53" w:name="cell-fig-exp2-ms"/>
    <w:tbl>
      <w:tblPr>
        <w:tblStyle w:val="Table"/>
        <w:tblW w:type="pct" w:w="5000"/>
        <w:tblLayout w:type="fixed"/>
        <w:tblLook w:firstRow="0" w:lastRow="0" w:firstColumn="0" w:lastColumn="0" w:noHBand="0" w:noVBand="0" w:val="0000"/>
      </w:tblPr>
      <w:tblGrid>
        <w:gridCol w:w="7920"/>
      </w:tblGrid>
      <w:tr>
        <w:tc>
          <w:tcPr/>
          <w:bookmarkStart w:id="52" w:name="fig-exp2-ms"/>
          <w:p>
            <w:pPr>
              <w:pStyle w:val="Compact"/>
              <w:jc w:val="center"/>
            </w:pPr>
            <w:r>
              <w:drawing>
                <wp:inline>
                  <wp:extent cx="5727700" cy="2863850"/>
                  <wp:effectExtent b="0" l="0" r="0" t="0"/>
                  <wp:docPr descr="" title="" id="50" name="Picture"/>
                  <a:graphic>
                    <a:graphicData uri="http://schemas.openxmlformats.org/drawingml/2006/picture">
                      <pic:pic>
                        <pic:nvPicPr>
                          <pic:cNvPr descr="outputs/fig-exp2.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Reef type preference of group kōura (Experiment 2). (A) Proportion of kōura found at each reef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reef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3"/>
    <w:bookmarkStart w:id="58" w:name="cell-fig-exp3-ms"/>
    <w:tbl>
      <w:tblPr>
        <w:tblStyle w:val="Table"/>
        <w:tblW w:type="pct" w:w="5000"/>
        <w:tblLayout w:type="fixed"/>
        <w:tblLook w:firstRow="0" w:lastRow="0" w:firstColumn="0" w:lastColumn="0" w:noHBand="0" w:noVBand="0" w:val="0000"/>
      </w:tblPr>
      <w:tblGrid>
        <w:gridCol w:w="7920"/>
      </w:tblGrid>
      <w:tr>
        <w:tc>
          <w:tcPr/>
          <w:bookmarkStart w:id="57" w:name="fig-exp3-ms"/>
          <w:p>
            <w:pPr>
              <w:pStyle w:val="Compact"/>
              <w:jc w:val="center"/>
            </w:pPr>
            <w:r>
              <w:drawing>
                <wp:inline>
                  <wp:extent cx="5727700" cy="2863850"/>
                  <wp:effectExtent b="0" l="0" r="0" t="0"/>
                  <wp:docPr descr="" title="" id="55" name="Picture"/>
                  <a:graphic>
                    <a:graphicData uri="http://schemas.openxmlformats.org/drawingml/2006/picture">
                      <pic:pic>
                        <pic:nvPicPr>
                          <pic:cNvPr descr="outputs/fig-exp3.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Reef type preference in stone versus wood comparison (Experiment 3). (A) Proportion of kōura found at each reef type at L1 across all groups and rounds. The dashed line indicates the null expectation of equal distribution (0.5). Significance symbols as in Figure 3. (B) Posterior predicted probability of reef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8"/>
    <w:bookmarkStart w:id="63" w:name="cell-fig-exp4-ms"/>
    <w:tbl>
      <w:tblPr>
        <w:tblStyle w:val="Table"/>
        <w:tblW w:type="pct" w:w="5000"/>
        <w:tblLayout w:type="fixed"/>
        <w:tblLook w:firstRow="0" w:lastRow="0" w:firstColumn="0" w:lastColumn="0" w:noHBand="0" w:noVBand="0" w:val="0000"/>
      </w:tblPr>
      <w:tblGrid>
        <w:gridCol w:w="7920"/>
      </w:tblGrid>
      <w:tr>
        <w:tc>
          <w:tcPr/>
          <w:bookmarkStart w:id="62" w:name="fig-exp4-ms"/>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reef type at L1 across all groups and rounds. The dashed line indicates the null expectation of equal distribution (0.5). (B) Posterior predicted probability of reef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63"/>
    <w:bookmarkStart w:id="148" w:name="refs"/>
    <w:bookmarkStart w:id="65"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4">
        <w:r>
          <w:rPr>
            <w:rStyle w:val="Hyperlink"/>
          </w:rPr>
          <w:t xml:space="preserve">https://doi.org/10.1674/0003-0031(2007)158[85:daieoc]2.0.co;2</w:t>
        </w:r>
      </w:hyperlink>
    </w:p>
    <w:bookmarkEnd w:id="65"/>
    <w:bookmarkStart w:id="67" w:name="ref-Adams2014"/>
    <w:p>
      <w:pPr>
        <w:pStyle w:val="Bibliography"/>
      </w:pPr>
      <w:r>
        <w:t xml:space="preserve">Adams, S. B. (2014). Crayfish use of trash versus natural cover in incised, sand-bed streams.</w:t>
      </w:r>
      <w:r>
        <w:t xml:space="preserve"> </w:t>
      </w:r>
      <w:r>
        <w:rPr>
          <w:i/>
          <w:iCs/>
        </w:rPr>
        <w:t xml:space="preserve">Environmental Management</w:t>
      </w:r>
      <w:r>
        <w:t xml:space="preserve">,</w:t>
      </w:r>
      <w:r>
        <w:t xml:space="preserve"> </w:t>
      </w:r>
      <w:r>
        <w:rPr>
          <w:i/>
          <w:iCs/>
        </w:rPr>
        <w:t xml:space="preserve">53</w:t>
      </w:r>
      <w:r>
        <w:t xml:space="preserve">(2), 382--392.</w:t>
      </w:r>
      <w:r>
        <w:t xml:space="preserve"> </w:t>
      </w:r>
      <w:hyperlink r:id="rId66">
        <w:r>
          <w:rPr>
            <w:rStyle w:val="Hyperlink"/>
          </w:rPr>
          <w:t xml:space="preserve">https://doi.org/10.1007/s00267-013-0197-3</w:t>
        </w:r>
      </w:hyperlink>
    </w:p>
    <w:bookmarkEnd w:id="67"/>
    <w:bookmarkStart w:id="69"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8">
        <w:r>
          <w:rPr>
            <w:rStyle w:val="Hyperlink"/>
          </w:rPr>
          <w:t xml:space="preserve">https://doi.org/10.18637/jss.v067.i01</w:t>
        </w:r>
      </w:hyperlink>
    </w:p>
    <w:bookmarkEnd w:id="69"/>
    <w:bookmarkStart w:id="71"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0">
        <w:r>
          <w:rPr>
            <w:rStyle w:val="Hyperlink"/>
          </w:rPr>
          <w:t xml:space="preserve">https://doi.org/10.1016/j.tree.2008.10.008</w:t>
        </w:r>
      </w:hyperlink>
    </w:p>
    <w:bookmarkEnd w:id="71"/>
    <w:bookmarkStart w:id="73" w:name="ref-Burkner2025"/>
    <w:p>
      <w:pPr>
        <w:pStyle w:val="Bibliography"/>
      </w:pPr>
      <w:r>
        <w:t xml:space="preserve">Bürkner, P.-C., Gabry, J., Weber, S., &amp; Johnson, A. (2025).</w:t>
      </w:r>
      <w:r>
        <w:t xml:space="preserve"> </w:t>
      </w:r>
      <w:r>
        <w:rPr>
          <w:i/>
          <w:iCs/>
        </w:rPr>
        <w:t xml:space="preserve">brms</w:t>
      </w:r>
      <w:r>
        <w:rPr>
          <w:i/>
          <w:iCs/>
        </w:rPr>
        <w:t xml:space="preserve">:</w:t>
      </w:r>
      <w:r>
        <w:rPr>
          <w:i/>
          <w:iCs/>
        </w:rPr>
        <w:t xml:space="preserve"> </w:t>
      </w:r>
      <w:r>
        <w:rPr>
          <w:i/>
          <w:iCs/>
        </w:rPr>
        <w:t xml:space="preserve">Bayesian</w:t>
      </w:r>
      <w:r>
        <w:rPr>
          <w:i/>
          <w:iCs/>
        </w:rPr>
        <w:t xml:space="preserve"> </w:t>
      </w:r>
      <w:r>
        <w:rPr>
          <w:i/>
          <w:iCs/>
        </w:rPr>
        <w:t xml:space="preserve">regression models using</w:t>
      </w:r>
      <w:r>
        <w:rPr>
          <w:i/>
          <w:iCs/>
        </w:rPr>
        <w:t xml:space="preserve"> </w:t>
      </w:r>
      <w:r>
        <w:rPr>
          <w:i/>
          <w:iCs/>
        </w:rPr>
        <w:t xml:space="preserve">Stan</w:t>
      </w:r>
      <w:r>
        <w:t xml:space="preserve"> </w:t>
      </w:r>
      <w:r>
        <w:t xml:space="preserve">(Version 2.23.0) [Computer software].</w:t>
      </w:r>
      <w:r>
        <w:t xml:space="preserve"> </w:t>
      </w:r>
      <w:hyperlink r:id="rId72">
        <w:r>
          <w:rPr>
            <w:rStyle w:val="Hyperlink"/>
          </w:rPr>
          <w:t xml:space="preserve">https://cran.r-project.org/web/packages/brms/index.html</w:t>
        </w:r>
      </w:hyperlink>
    </w:p>
    <w:bookmarkEnd w:id="73"/>
    <w:bookmarkStart w:id="75" w:name="ref-Clapcott2018"/>
    <w:p>
      <w:pPr>
        <w:pStyle w:val="Bibliography"/>
      </w:pPr>
      <w:r>
        <w:t xml:space="preserve">Clapcott, J., Ataria, J., Hepburn, C., Hikuroa, D., Jackson, A., Kirikiri, R., &amp; Williams, E. (2018). Mātauranga māori: Shaping marine and freshwater futures.</w:t>
      </w:r>
      <w:r>
        <w:t xml:space="preserve"> </w:t>
      </w:r>
      <w:r>
        <w:rPr>
          <w:i/>
          <w:iCs/>
        </w:rPr>
        <w:t xml:space="preserve">New Zealand Journal of Marine and Freshwater Research</w:t>
      </w:r>
      <w:r>
        <w:t xml:space="preserve">,</w:t>
      </w:r>
      <w:r>
        <w:t xml:space="preserve"> </w:t>
      </w:r>
      <w:r>
        <w:rPr>
          <w:i/>
          <w:iCs/>
        </w:rPr>
        <w:t xml:space="preserve">52</w:t>
      </w:r>
      <w:r>
        <w:t xml:space="preserve">(4), 457--466.</w:t>
      </w:r>
      <w:r>
        <w:t xml:space="preserve"> </w:t>
      </w:r>
      <w:hyperlink r:id="rId74">
        <w:r>
          <w:rPr>
            <w:rStyle w:val="Hyperlink"/>
          </w:rPr>
          <w:t xml:space="preserve">https://doi.org/10.1080/00288330.2018.1539404</w:t>
        </w:r>
      </w:hyperlink>
    </w:p>
    <w:bookmarkEnd w:id="75"/>
    <w:bookmarkStart w:id="76"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6"/>
    <w:bookmarkStart w:id="78" w:name="ref-Cooke2023"/>
    <w:p>
      <w:pPr>
        <w:pStyle w:val="Bibliography"/>
      </w:pPr>
      <w:r>
        <w:t xml:space="preserve">Cooke, S. J., Piczak, M. L., Vermaire, J. C., &amp; Kirkwood, A. E. (2023). On the troubling use of plastic</w:t>
      </w:r>
      <w:r>
        <w:t xml:space="preserve"> </w:t>
      </w:r>
      <w:r>
        <w:t xml:space="preserve">“habitat”</w:t>
      </w:r>
      <w:r>
        <w:t xml:space="preserve"> </w:t>
      </w:r>
      <w:r>
        <w:t xml:space="preserve">structures for fish in freshwater ecosystems – or – when restoration is just littering.</w:t>
      </w:r>
      <w:r>
        <w:t xml:space="preserve"> </w:t>
      </w:r>
      <w:r>
        <w:rPr>
          <w:i/>
          <w:iCs/>
        </w:rPr>
        <w:t xml:space="preserve">FACETS</w:t>
      </w:r>
      <w:r>
        <w:t xml:space="preserve">,</w:t>
      </w:r>
      <w:r>
        <w:t xml:space="preserve"> </w:t>
      </w:r>
      <w:r>
        <w:rPr>
          <w:i/>
          <w:iCs/>
        </w:rPr>
        <w:t xml:space="preserve">8</w:t>
      </w:r>
      <w:r>
        <w:t xml:space="preserve">, 1--19.</w:t>
      </w:r>
      <w:r>
        <w:t xml:space="preserve"> </w:t>
      </w:r>
      <w:hyperlink r:id="rId77">
        <w:r>
          <w:rPr>
            <w:rStyle w:val="Hyperlink"/>
          </w:rPr>
          <w:t xml:space="preserve">https://doi.org/10.1139/facets-2022-0210</w:t>
        </w:r>
      </w:hyperlink>
    </w:p>
    <w:bookmarkEnd w:id="78"/>
    <w:bookmarkStart w:id="80" w:name="ref-Dickson2023"/>
    <w:p>
      <w:pPr>
        <w:pStyle w:val="Bibliography"/>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w:t>
      </w:r>
      <w:r>
        <w:t xml:space="preserve"> </w:t>
      </w:r>
      <w:r>
        <w:rPr>
          <w:i/>
          <w:iCs/>
        </w:rPr>
        <w:t xml:space="preserve">10</w:t>
      </w:r>
      <w:r>
        <w:t xml:space="preserve">, 1213790.</w:t>
      </w:r>
      <w:r>
        <w:t xml:space="preserve"> </w:t>
      </w:r>
      <w:hyperlink r:id="rId79">
        <w:r>
          <w:rPr>
            <w:rStyle w:val="Hyperlink"/>
          </w:rPr>
          <w:t xml:space="preserve">https://doi.org/10.3389/fmars.2023.1213790</w:t>
        </w:r>
      </w:hyperlink>
    </w:p>
    <w:bookmarkEnd w:id="80"/>
    <w:bookmarkStart w:id="82" w:name="ref-Engels2014"/>
    <w:p>
      <w:pPr>
        <w:pStyle w:val="Bibliography"/>
      </w:pPr>
      <w:r>
        <w:t xml:space="preserve">Engels, B. (2014). XNomial: Exact goodness-of-fit test for multinomial data with fixed probabilities. In</w:t>
      </w:r>
      <w:r>
        <w:t xml:space="preserve"> </w:t>
      </w:r>
      <w:r>
        <w:rPr>
          <w:i/>
          <w:iCs/>
        </w:rPr>
        <w:t xml:space="preserve">CRAN: Contributed Packages</w:t>
      </w:r>
      <w:r>
        <w:t xml:space="preserve">. The R Foundation.</w:t>
      </w:r>
      <w:r>
        <w:t xml:space="preserve"> </w:t>
      </w:r>
      <w:hyperlink r:id="rId81">
        <w:r>
          <w:rPr>
            <w:rStyle w:val="Hyperlink"/>
          </w:rPr>
          <w:t xml:space="preserve">https://doi.org/10.32614/cran.package.xnomial</w:t>
        </w:r>
      </w:hyperlink>
    </w:p>
    <w:bookmarkEnd w:id="82"/>
    <w:bookmarkStart w:id="84" w:name="ref-Figler2005"/>
    <w:p>
      <w:pPr>
        <w:pStyle w:val="Bibliography"/>
      </w:pPr>
      <w:r>
        <w:t xml:space="preserve">Figler, M. H., Blank, G. S., &amp; Peeke, H. V. 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3">
        <w:r>
          <w:rPr>
            <w:rStyle w:val="Hyperlink"/>
          </w:rPr>
          <w:t xml:space="preserve">https://doi.org/10.1080/10236240500376477</w:t>
        </w:r>
      </w:hyperlink>
    </w:p>
    <w:bookmarkEnd w:id="84"/>
    <w:bookmarkStart w:id="86" w:name="ref-Frehse2025"/>
    <w:p>
      <w:pPr>
        <w:pStyle w:val="Bibliography"/>
      </w:pPr>
      <w:r>
        <w:t xml:space="preserve">Frehse, F. de A., Derviche, P., Pereira, F. W., Hostim-Silva, M., &amp; Vitule, J. R. S. (2025). Artificial aquatic habitats: A systematic literature review and new perspectives.</w:t>
      </w:r>
      <w:r>
        <w:t xml:space="preserve"> </w:t>
      </w:r>
      <w:r>
        <w:rPr>
          <w:i/>
          <w:iCs/>
        </w:rPr>
        <w:t xml:space="preserve">Hydrobiologia</w:t>
      </w:r>
      <w:r>
        <w:t xml:space="preserve">,</w:t>
      </w:r>
      <w:r>
        <w:t xml:space="preserve"> </w:t>
      </w:r>
      <w:r>
        <w:rPr>
          <w:i/>
          <w:iCs/>
        </w:rPr>
        <w:t xml:space="preserve">852</w:t>
      </w:r>
      <w:r>
        <w:t xml:space="preserve">(8), 1997–2012.</w:t>
      </w:r>
      <w:r>
        <w:t xml:space="preserve"> </w:t>
      </w:r>
      <w:hyperlink r:id="rId85">
        <w:r>
          <w:rPr>
            <w:rStyle w:val="Hyperlink"/>
          </w:rPr>
          <w:t xml:space="preserve">https://doi.org/10.1007/s10750-024-05589-0</w:t>
        </w:r>
      </w:hyperlink>
    </w:p>
    <w:bookmarkEnd w:id="86"/>
    <w:bookmarkStart w:id="88" w:name="ref-Garron2024"/>
    <w:p>
      <w:pPr>
        <w:pStyle w:val="Bibliography"/>
      </w:pPr>
      <w:r>
        <w:t xml:space="preserve">Garron, C., Pangaud, A., Taubaty, M., Rolan‐Meynard, M., Argillier, C., Raymond, J., Dublon, J., &amp;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w:t>
      </w:r>
      <w:r>
        <w:t xml:space="preserve"> </w:t>
      </w:r>
      <w:r>
        <w:rPr>
          <w:i/>
          <w:iCs/>
        </w:rPr>
        <w:t xml:space="preserve">34</w:t>
      </w:r>
      <w:r>
        <w:t xml:space="preserve">(4).</w:t>
      </w:r>
      <w:r>
        <w:t xml:space="preserve"> </w:t>
      </w:r>
      <w:hyperlink r:id="rId87">
        <w:r>
          <w:rPr>
            <w:rStyle w:val="Hyperlink"/>
          </w:rPr>
          <w:t xml:space="preserve">https://doi.org/10.1002/aqc.4152</w:t>
        </w:r>
      </w:hyperlink>
    </w:p>
    <w:bookmarkEnd w:id="88"/>
    <w:bookmarkStart w:id="90" w:name="ref-Gelman1992"/>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89">
        <w:r>
          <w:rPr>
            <w:rStyle w:val="Hyperlink"/>
          </w:rPr>
          <w:t xml:space="preserve">https://doi.org/10.1214/ss/1177011136</w:t>
        </w:r>
      </w:hyperlink>
    </w:p>
    <w:bookmarkEnd w:id="90"/>
    <w:bookmarkStart w:id="92" w:name="ref-Hammond2006"/>
    <w:p>
      <w:pPr>
        <w:pStyle w:val="Bibliography"/>
      </w:pPr>
      <w:r>
        <w:t xml:space="preserve">Hammond, K. S., Hollows, J. W., Townsend, C. R., &amp; Lokman, P. M. (2006). Effects of temperature and water calcium concentration on growth, survival and moulting of freshwater crayfish, paranephrops zealandicus.</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91">
        <w:r>
          <w:rPr>
            <w:rStyle w:val="Hyperlink"/>
          </w:rPr>
          <w:t xml:space="preserve">https://doi.org/10.1016/j.aquaculture.2005.05.032</w:t>
        </w:r>
      </w:hyperlink>
    </w:p>
    <w:bookmarkEnd w:id="92"/>
    <w:bookmarkStart w:id="94"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93">
        <w:r>
          <w:rPr>
            <w:rStyle w:val="Hyperlink"/>
          </w:rPr>
          <w:t xml:space="preserve">https://doi.org/10.1016/s0165-7836(97)00046-5</w:t>
        </w:r>
      </w:hyperlink>
    </w:p>
    <w:bookmarkEnd w:id="94"/>
    <w:bookmarkStart w:id="96" w:name="ref-Hurlbert1984"/>
    <w:p>
      <w:pPr>
        <w:pStyle w:val="Bibliography"/>
      </w:pPr>
      <w:r>
        <w:t xml:space="preserve">Hurlbert, S. H. (1984). Pseudoreplication and the design of ecological field experiments.</w:t>
      </w:r>
      <w:r>
        <w:t xml:space="preserve"> </w:t>
      </w:r>
      <w:r>
        <w:rPr>
          <w:i/>
          <w:iCs/>
        </w:rPr>
        <w:t xml:space="preserve">Ecological Monographs</w:t>
      </w:r>
      <w:r>
        <w:t xml:space="preserve">,</w:t>
      </w:r>
      <w:r>
        <w:t xml:space="preserve"> </w:t>
      </w:r>
      <w:r>
        <w:rPr>
          <w:i/>
          <w:iCs/>
        </w:rPr>
        <w:t xml:space="preserve">54</w:t>
      </w:r>
      <w:r>
        <w:t xml:space="preserve">(2), 187--211.</w:t>
      </w:r>
      <w:r>
        <w:t xml:space="preserve"> </w:t>
      </w:r>
      <w:hyperlink r:id="rId95">
        <w:r>
          <w:rPr>
            <w:rStyle w:val="Hyperlink"/>
          </w:rPr>
          <w:t xml:space="preserve">https://doi.org/10.2307/1942661</w:t>
        </w:r>
      </w:hyperlink>
    </w:p>
    <w:bookmarkEnd w:id="96"/>
    <w:bookmarkStart w:id="98" w:name="ref-Hylkema2020"/>
    <w:p>
      <w:pPr>
        <w:pStyle w:val="Bibliography"/>
      </w:pPr>
      <w:r>
        <w:t xml:space="preserve">Hylkema, A., Debrot, A. O., Osinga, R., Bron, P. S., Heesink, D. B., Izioka, A. K., Reid, C. B., Rippen, J. C., Treibitz, T., Yuval, M., &amp; Murk, A. J. (2020). Fish assemblages of three common artificial reef designs during early colonization.</w:t>
      </w:r>
      <w:r>
        <w:t xml:space="preserve"> </w:t>
      </w:r>
      <w:r>
        <w:rPr>
          <w:i/>
          <w:iCs/>
        </w:rPr>
        <w:t xml:space="preserve">Ecological Engineering</w:t>
      </w:r>
      <w:r>
        <w:t xml:space="preserve">,</w:t>
      </w:r>
      <w:r>
        <w:t xml:space="preserve"> </w:t>
      </w:r>
      <w:r>
        <w:rPr>
          <w:i/>
          <w:iCs/>
        </w:rPr>
        <w:t xml:space="preserve">157</w:t>
      </w:r>
      <w:r>
        <w:t xml:space="preserve">, 105994.</w:t>
      </w:r>
      <w:r>
        <w:t xml:space="preserve"> </w:t>
      </w:r>
      <w:hyperlink r:id="rId97">
        <w:r>
          <w:rPr>
            <w:rStyle w:val="Hyperlink"/>
          </w:rPr>
          <w:t xml:space="preserve">https://doi.org/10.1016/j.ecoleng.2020.105994</w:t>
        </w:r>
      </w:hyperlink>
    </w:p>
    <w:bookmarkEnd w:id="98"/>
    <w:bookmarkStart w:id="99"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99"/>
    <w:bookmarkStart w:id="101" w:name="ref-Jowett2008"/>
    <w:p>
      <w:pPr>
        <w:pStyle w:val="Bibliography"/>
      </w:pPr>
      <w:r>
        <w:t xml:space="preserve">Jowett, I. G., Parkyn, S. M., &amp; Richardson, J. (2008). Habitat characteristics of crayfish (paranephrops planifrons) in new zealand streams using generalised additive models (GAMs).</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00">
        <w:r>
          <w:rPr>
            <w:rStyle w:val="Hyperlink"/>
          </w:rPr>
          <w:t xml:space="preserve">https://doi.org/10.1007/s10750-007-9108-z</w:t>
        </w:r>
      </w:hyperlink>
    </w:p>
    <w:bookmarkEnd w:id="101"/>
    <w:bookmarkStart w:id="102" w:name="ref-Jurcak2016"/>
    <w:p>
      <w:pPr>
        <w:pStyle w:val="Bibliography"/>
      </w:pPr>
      <w:r>
        <w:t xml:space="preserve">Jurcak, A. M., Lahman, S. E., Wofford, S. J., &amp; Moore, P. A. (2016). Behavior of crayfish. In</w:t>
      </w:r>
      <w:r>
        <w:t xml:space="preserve"> </w:t>
      </w:r>
      <w:r>
        <w:rPr>
          <w:i/>
          <w:iCs/>
        </w:rPr>
        <w:t xml:space="preserve">Biology and ecology of crayfish</w:t>
      </w:r>
      <w:r>
        <w:t xml:space="preserve">. CRC Press.</w:t>
      </w:r>
    </w:p>
    <w:bookmarkEnd w:id="102"/>
    <w:bookmarkStart w:id="103" w:name="ref-Kusabsinpress"/>
    <w:p>
      <w:pPr>
        <w:pStyle w:val="Bibliography"/>
      </w:pPr>
      <w:r>
        <w:t xml:space="preserve">Kusabs, I. A., Duggan, I. C., Scholes, P., Bruere, A., Te Kurapa, T. W., Grant, T., &amp; Burdon, F. J. (inpress). Invasive catfish linked to the decline of freshwater crayfish in two aotearoa new zealand lakes.</w:t>
      </w:r>
      <w:r>
        <w:t xml:space="preserve"> </w:t>
      </w:r>
      <w:r>
        <w:rPr>
          <w:i/>
          <w:iCs/>
        </w:rPr>
        <w:t xml:space="preserve">Manuscript Submitted for Publication</w:t>
      </w:r>
      <w:r>
        <w:t xml:space="preserve">.</w:t>
      </w:r>
    </w:p>
    <w:bookmarkEnd w:id="103"/>
    <w:bookmarkStart w:id="105"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4">
        <w:r>
          <w:rPr>
            <w:rStyle w:val="Hyperlink"/>
          </w:rPr>
          <w:t xml:space="preserve">https://doi.org/10.1080/00288330909510036</w:t>
        </w:r>
      </w:hyperlink>
    </w:p>
    <w:bookmarkEnd w:id="105"/>
    <w:bookmarkStart w:id="107" w:name="ref-Kusabs2015"/>
    <w:p>
      <w:pPr>
        <w:pStyle w:val="Bibliography"/>
      </w:pPr>
      <w:r>
        <w:t xml:space="preserve">Kusabs, I. A., Quinn, J. M., &amp; Hamilton, D. P. (2015). Effects of benthic substrate, nutrient enrichment and predatory fish on freshwater crayfish (koura, paranephrops planifrons) population characteristics in seven te arawa (rotorua) lakes, north island, new zealand.</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06">
        <w:r>
          <w:rPr>
            <w:rStyle w:val="Hyperlink"/>
          </w:rPr>
          <w:t xml:space="preserve">https://doi.org/10.1071/mf14148</w:t>
        </w:r>
      </w:hyperlink>
    </w:p>
    <w:bookmarkEnd w:id="107"/>
    <w:bookmarkStart w:id="109"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8">
        <w:r>
          <w:rPr>
            <w:rStyle w:val="Hyperlink"/>
          </w:rPr>
          <w:t xml:space="preserve">https://doi.org/10.5194/we-25-221-2025</w:t>
        </w:r>
      </w:hyperlink>
    </w:p>
    <w:bookmarkEnd w:id="109"/>
    <w:bookmarkStart w:id="110" w:name="ref-Magnelia2008"/>
    <w:p>
      <w:pPr>
        <w:pStyle w:val="Bibliography"/>
      </w:pPr>
      <w:r>
        <w:t xml:space="preserve">Magnelia, S. J., Jesus, M. J. D., Schlechte, J. W., Cummings, G. C., &amp; Duty, J. L. (2008).</w:t>
      </w:r>
      <w:r>
        <w:t xml:space="preserve"> </w:t>
      </w:r>
      <w:r>
        <w:rPr>
          <w:i/>
          <w:iCs/>
        </w:rPr>
        <w:t xml:space="preserve">Comparison of plastic pipe and juniper tree fish attractors in a central texas reservoir</w:t>
      </w:r>
      <w:r>
        <w:t xml:space="preserve">.</w:t>
      </w:r>
    </w:p>
    <w:bookmarkEnd w:id="110"/>
    <w:bookmarkStart w:id="112" w:name="ref-Mazlum2017"/>
    <w:p>
      <w:pPr>
        <w:pStyle w:val="Bibliography"/>
      </w:pPr>
      <w:r>
        <w:t xml:space="preserve">Mazlum, Y., Guner Gurlek, O., &amp;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w:t>
      </w:r>
      <w:r>
        <w:t xml:space="preserve"> </w:t>
      </w:r>
      <w:r>
        <w:rPr>
          <w:i/>
          <w:iCs/>
        </w:rPr>
        <w:t xml:space="preserve">90</w:t>
      </w:r>
      <w:r>
        <w:t xml:space="preserve">(11-12), 1289--1302.</w:t>
      </w:r>
      <w:r>
        <w:t xml:space="preserve"> </w:t>
      </w:r>
      <w:hyperlink r:id="rId111">
        <w:r>
          <w:rPr>
            <w:rStyle w:val="Hyperlink"/>
          </w:rPr>
          <w:t xml:space="preserve">https://doi.org/10.1163/15685403-00003724</w:t>
        </w:r>
      </w:hyperlink>
    </w:p>
    <w:bookmarkEnd w:id="112"/>
    <w:bookmarkStart w:id="113" w:name="ref-McCarthy2007"/>
    <w:p>
      <w:pPr>
        <w:pStyle w:val="Bibliography"/>
      </w:pPr>
      <w:r>
        <w:t xml:space="preserve">McCarthy, M. A. (2007).</w:t>
      </w:r>
      <w:r>
        <w:t xml:space="preserve"> </w:t>
      </w:r>
      <w:r>
        <w:rPr>
          <w:i/>
          <w:iCs/>
        </w:rPr>
        <w:t xml:space="preserve">Bayesian methods for ecology</w:t>
      </w:r>
      <w:r>
        <w:t xml:space="preserve">. Cambridge University Press.</w:t>
      </w:r>
    </w:p>
    <w:bookmarkEnd w:id="113"/>
    <w:bookmarkStart w:id="115"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14">
        <w:r>
          <w:rPr>
            <w:rStyle w:val="Hyperlink"/>
          </w:rPr>
          <w:t xml:space="preserve">https://doi.org/10.1080/10641269509388566</w:t>
        </w:r>
      </w:hyperlink>
    </w:p>
    <w:bookmarkEnd w:id="115"/>
    <w:bookmarkStart w:id="117" w:name="ref-Olsson2009"/>
    <w:p>
      <w:pPr>
        <w:pStyle w:val="Bibliography"/>
      </w:pPr>
      <w:r>
        <w:t xml:space="preserve">Olsson, K., &amp;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w:t>
      </w:r>
      <w:r>
        <w:t xml:space="preserve"> </w:t>
      </w:r>
      <w:r>
        <w:rPr>
          <w:i/>
          <w:iCs/>
        </w:rPr>
        <w:t xml:space="preserve">54</w:t>
      </w:r>
      <w:r>
        <w:t xml:space="preserve">(1), 35--46.</w:t>
      </w:r>
      <w:r>
        <w:t xml:space="preserve"> </w:t>
      </w:r>
      <w:hyperlink r:id="rId116">
        <w:r>
          <w:rPr>
            <w:rStyle w:val="Hyperlink"/>
          </w:rPr>
          <w:t xml:space="preserve">https://doi.org/10.1111/j.1365-2427.2008.02089.x</w:t>
        </w:r>
      </w:hyperlink>
    </w:p>
    <w:bookmarkEnd w:id="117"/>
    <w:bookmarkStart w:id="119"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18">
        <w:r>
          <w:rPr>
            <w:rStyle w:val="Hyperlink"/>
          </w:rPr>
          <w:t xml:space="preserve">https://doi.org/10.1016/j.biocon.2005.12.019</w:t>
        </w:r>
      </w:hyperlink>
    </w:p>
    <w:bookmarkEnd w:id="119"/>
    <w:bookmarkStart w:id="121"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20">
        <w:r>
          <w:rPr>
            <w:rStyle w:val="Hyperlink"/>
          </w:rPr>
          <w:t xml:space="preserve">https://doi.org/10.1046/j.1365-2427.2001.00702.x</w:t>
        </w:r>
      </w:hyperlink>
    </w:p>
    <w:bookmarkEnd w:id="121"/>
    <w:bookmarkStart w:id="123"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22">
        <w:r>
          <w:rPr>
            <w:rStyle w:val="Hyperlink"/>
          </w:rPr>
          <w:t xml:space="preserve">https://doi.org/10.1080/00288330909510034</w:t>
        </w:r>
      </w:hyperlink>
    </w:p>
    <w:bookmarkEnd w:id="123"/>
    <w:bookmarkStart w:id="125" w:name="ref-Percival2010"/>
    <w:p>
      <w:pPr>
        <w:pStyle w:val="Bibliography"/>
      </w:pPr>
      <w:r>
        <w:t xml:space="preserve">Percival, D., &amp; Moore, P. (2010). Shelter size influences self-assessment of size in crayfish, orconectes rusticus: Consequences for agonistic fights.</w:t>
      </w:r>
      <w:r>
        <w:t xml:space="preserve"> </w:t>
      </w:r>
      <w:r>
        <w:rPr>
          <w:i/>
          <w:iCs/>
        </w:rPr>
        <w:t xml:space="preserve">Behaviour</w:t>
      </w:r>
      <w:r>
        <w:t xml:space="preserve">,</w:t>
      </w:r>
      <w:r>
        <w:t xml:space="preserve"> </w:t>
      </w:r>
      <w:r>
        <w:rPr>
          <w:i/>
          <w:iCs/>
        </w:rPr>
        <w:t xml:space="preserve">147</w:t>
      </w:r>
      <w:r>
        <w:t xml:space="preserve">(1), 103--119.</w:t>
      </w:r>
      <w:r>
        <w:t xml:space="preserve"> </w:t>
      </w:r>
      <w:hyperlink r:id="rId124">
        <w:r>
          <w:rPr>
            <w:rStyle w:val="Hyperlink"/>
          </w:rPr>
          <w:t xml:space="preserve">https://doi.org/10.1163/000579509x12512685881053</w:t>
        </w:r>
      </w:hyperlink>
    </w:p>
    <w:bookmarkEnd w:id="125"/>
    <w:bookmarkStart w:id="126" w:name="ref-Ramalho2010"/>
    <w:p>
      <w:pPr>
        <w:pStyle w:val="Bibliography"/>
      </w:pPr>
      <w:r>
        <w:t xml:space="preserve">Ramalho, R. O., McClain, W. R., &amp; Anastacio, P. M. (2010). An effective and simple method of temporarily marking crayfish.</w:t>
      </w:r>
      <w:r>
        <w:t xml:space="preserve"> </w:t>
      </w:r>
      <w:r>
        <w:rPr>
          <w:i/>
          <w:iCs/>
        </w:rPr>
        <w:t xml:space="preserve">Freshwater Crayfish</w:t>
      </w:r>
      <w:r>
        <w:t xml:space="preserve">,</w:t>
      </w:r>
      <w:r>
        <w:t xml:space="preserve"> </w:t>
      </w:r>
      <w:r>
        <w:rPr>
          <w:i/>
          <w:iCs/>
        </w:rPr>
        <w:t xml:space="preserve">17</w:t>
      </w:r>
      <w:r>
        <w:t xml:space="preserve">(1), 57–60.</w:t>
      </w:r>
    </w:p>
    <w:bookmarkEnd w:id="126"/>
    <w:bookmarkStart w:id="127" w:name="ref-Ranta1993"/>
    <w:p>
      <w:pPr>
        <w:pStyle w:val="Bibliography"/>
      </w:pPr>
      <w:r>
        <w:t xml:space="preserve">Ranta, E., &amp;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w:t>
      </w:r>
      <w:r>
        <w:t xml:space="preserve"> </w:t>
      </w:r>
      <w:r>
        <w:rPr>
          <w:i/>
          <w:iCs/>
        </w:rPr>
        <w:t xml:space="preserve">30</w:t>
      </w:r>
      <w:r>
        <w:t xml:space="preserve">(2), 125–132.</w:t>
      </w:r>
    </w:p>
    <w:bookmarkEnd w:id="127"/>
    <w:bookmarkStart w:id="129" w:name="ref-Raveninreview"/>
    <w:p>
      <w:pPr>
        <w:pStyle w:val="Bibliography"/>
      </w:pPr>
      <w:r>
        <w:t xml:space="preserve">Raven, O. V., Burdon, F. J., Kusabs, I. A. K., Holmes, R., &amp; Özkundakci, D. (inreview).</w:t>
      </w:r>
      <w:r>
        <w:t xml:space="preserve"> </w:t>
      </w:r>
      <w:r>
        <w:rPr>
          <w:i/>
          <w:iCs/>
        </w:rPr>
        <w:t xml:space="preserve">Littoral habitat structure influences freshwater crayfish populations in five volcanic lakes of aotearoa new zealand</w:t>
      </w:r>
      <w:r>
        <w:t xml:space="preserve">.</w:t>
      </w:r>
      <w:r>
        <w:t xml:space="preserve"> </w:t>
      </w:r>
      <w:hyperlink r:id="rId128">
        <w:r>
          <w:rPr>
            <w:rStyle w:val="Hyperlink"/>
          </w:rPr>
          <w:t xml:space="preserve">https://olivierraven.github.io/Koura_shoreline_habitats/</w:t>
        </w:r>
      </w:hyperlink>
    </w:p>
    <w:bookmarkEnd w:id="129"/>
    <w:bookmarkStart w:id="131" w:name="ref-Ravenindraft"/>
    <w:p>
      <w:pPr>
        <w:pStyle w:val="Bibliography"/>
      </w:pPr>
      <w:r>
        <w:t xml:space="preserve">Raven, O. V., MacNeil, C., Lee, F., Holmes, R., Kusabs, I. A. K., Burdon, F. J., &amp; Özkundakci, D. (indraft).</w:t>
      </w:r>
      <w:r>
        <w:t xml:space="preserve"> </w:t>
      </w:r>
      <w:r>
        <w:rPr>
          <w:i/>
          <w:iCs/>
        </w:rPr>
        <w:t xml:space="preserve">Fear of the invader: A predatory invader may provoke stronger non-consumptive effects on a keystone native prey than a native predator</w:t>
      </w:r>
      <w:r>
        <w:t xml:space="preserve">.</w:t>
      </w:r>
      <w:r>
        <w:t xml:space="preserve"> </w:t>
      </w:r>
      <w:hyperlink r:id="rId130">
        <w:r>
          <w:rPr>
            <w:rStyle w:val="Hyperlink"/>
          </w:rPr>
          <w:t xml:space="preserve">https://olivierraven.github.io/NCE_Koura_catfish/</w:t>
        </w:r>
      </w:hyperlink>
    </w:p>
    <w:bookmarkEnd w:id="131"/>
    <w:bookmarkStart w:id="133"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32">
        <w:r>
          <w:rPr>
            <w:rStyle w:val="Hyperlink"/>
          </w:rPr>
          <w:t xml:space="preserve">https://doi.org/10.1098/rstb.2014.0060</w:t>
        </w:r>
      </w:hyperlink>
    </w:p>
    <w:bookmarkEnd w:id="133"/>
    <w:bookmarkStart w:id="134" w:name="ref-Shave1994"/>
    <w:p>
      <w:pPr>
        <w:pStyle w:val="Bibliography"/>
      </w:pPr>
      <w:r>
        <w:t xml:space="preserve">Shave, C. R., Townsend, C. R., &amp; Crowl, T. 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34"/>
    <w:bookmarkStart w:id="135" w:name="ref-Spanier1994"/>
    <w:p>
      <w:pPr>
        <w:pStyle w:val="Bibliography"/>
      </w:pPr>
      <w:r>
        <w:t xml:space="preserve">Spanier, E. (1994). What are the characteristics of a good artificial reef for lobsters?</w:t>
      </w:r>
      <w:r>
        <w:t xml:space="preserve"> </w:t>
      </w:r>
      <w:r>
        <w:rPr>
          <w:i/>
          <w:iCs/>
        </w:rPr>
        <w:t xml:space="preserve">Crustaceana</w:t>
      </w:r>
      <w:r>
        <w:t xml:space="preserve">,</w:t>
      </w:r>
      <w:r>
        <w:t xml:space="preserve"> </w:t>
      </w:r>
      <w:r>
        <w:rPr>
          <w:i/>
          <w:iCs/>
        </w:rPr>
        <w:t xml:space="preserve">67</w:t>
      </w:r>
      <w:r>
        <w:t xml:space="preserve">(2), 173--186.</w:t>
      </w:r>
    </w:p>
    <w:bookmarkEnd w:id="135"/>
    <w:bookmarkStart w:id="137" w:name="ref-Stewart2011"/>
    <w:p>
      <w:pPr>
        <w:pStyle w:val="Bibliography"/>
      </w:pPr>
      <w:r>
        <w:t xml:space="preserve">Stewart, C., &amp;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w:t>
      </w:r>
      <w:r>
        <w:t xml:space="preserve"> </w:t>
      </w:r>
      <w:r>
        <w:rPr>
          <w:i/>
          <w:iCs/>
        </w:rPr>
        <w:t xml:space="preserve">45</w:t>
      </w:r>
      <w:r>
        <w:t xml:space="preserve">(2), 281–285.</w:t>
      </w:r>
      <w:r>
        <w:t xml:space="preserve"> </w:t>
      </w:r>
      <w:hyperlink r:id="rId136">
        <w:r>
          <w:rPr>
            <w:rStyle w:val="Hyperlink"/>
          </w:rPr>
          <w:t xml:space="preserve">https://doi.org/10.1080/00288330.2011.559661</w:t>
        </w:r>
      </w:hyperlink>
    </w:p>
    <w:bookmarkEnd w:id="137"/>
    <w:bookmarkStart w:id="139" w:name="ref-Streissl2002"/>
    <w:p>
      <w:pPr>
        <w:pStyle w:val="Bibliography"/>
      </w:pPr>
      <w:r>
        <w:t xml:space="preserve">Streissl, F., &amp;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38">
        <w:r>
          <w:rPr>
            <w:rStyle w:val="Hyperlink"/>
          </w:rPr>
          <w:t xml:space="preserve">https://doi.org/10.1023/A:1021094309738</w:t>
        </w:r>
      </w:hyperlink>
    </w:p>
    <w:bookmarkEnd w:id="139"/>
    <w:bookmarkStart w:id="141" w:name="ref-Takahashi2019"/>
    <w:p>
      <w:pPr>
        <w:pStyle w:val="Bibliography"/>
      </w:pPr>
      <w:r>
        <w:t xml:space="preserve">Takahashi, K., Yamaguchi, E., Fujiyama, N., &amp; Nagayama, T. (2019). The effects of quality of shelters and prior residence on marmorkrebs (marbled crayfish).</w:t>
      </w:r>
      <w:r>
        <w:t xml:space="preserve"> </w:t>
      </w:r>
      <w:r>
        <w:rPr>
          <w:i/>
          <w:iCs/>
        </w:rPr>
        <w:t xml:space="preserve">Journal of Experimental Biology</w:t>
      </w:r>
      <w:r>
        <w:t xml:space="preserve">.</w:t>
      </w:r>
      <w:r>
        <w:t xml:space="preserve"> </w:t>
      </w:r>
      <w:hyperlink r:id="rId140">
        <w:r>
          <w:rPr>
            <w:rStyle w:val="Hyperlink"/>
          </w:rPr>
          <w:t xml:space="preserve">https://doi.org/10.1242/jeb.197301</w:t>
        </w:r>
      </w:hyperlink>
    </w:p>
    <w:bookmarkEnd w:id="141"/>
    <w:bookmarkStart w:id="143" w:name="ref-Usio2000"/>
    <w:p>
      <w:pPr>
        <w:pStyle w:val="Bibliography"/>
      </w:pPr>
      <w:r>
        <w:t xml:space="preserve">Usio, N., &amp; Townsend, C. 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42">
        <w:r>
          <w:rPr>
            <w:rStyle w:val="Hyperlink"/>
          </w:rPr>
          <w:t xml:space="preserve">https://doi.org/10.1080/00288330.2000.9516957</w:t>
        </w:r>
      </w:hyperlink>
    </w:p>
    <w:bookmarkEnd w:id="143"/>
    <w:bookmarkStart w:id="145" w:name="ref-Wehi2017"/>
    <w:p>
      <w:pPr>
        <w:pStyle w:val="Bibliography"/>
      </w:pPr>
      <w:r>
        <w:t xml:space="preserve">Wehi, P. M., &amp; Lord, J. M. (2017). Importance of including cultural practices in ecological restoration.</w:t>
      </w:r>
      <w:r>
        <w:t xml:space="preserve"> </w:t>
      </w:r>
      <w:r>
        <w:rPr>
          <w:i/>
          <w:iCs/>
        </w:rPr>
        <w:t xml:space="preserve">Conservation Biology</w:t>
      </w:r>
      <w:r>
        <w:t xml:space="preserve">,</w:t>
      </w:r>
      <w:r>
        <w:t xml:space="preserve"> </w:t>
      </w:r>
      <w:r>
        <w:rPr>
          <w:i/>
          <w:iCs/>
        </w:rPr>
        <w:t xml:space="preserve">31</w:t>
      </w:r>
      <w:r>
        <w:t xml:space="preserve">(5), 1109--1118.</w:t>
      </w:r>
      <w:r>
        <w:t xml:space="preserve"> </w:t>
      </w:r>
      <w:hyperlink r:id="rId144">
        <w:r>
          <w:rPr>
            <w:rStyle w:val="Hyperlink"/>
          </w:rPr>
          <w:t xml:space="preserve">https://doi.org/10.1111/cobi.12915</w:t>
        </w:r>
      </w:hyperlink>
    </w:p>
    <w:bookmarkEnd w:id="145"/>
    <w:bookmarkStart w:id="147"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6">
        <w:r>
          <w:rPr>
            <w:rStyle w:val="Hyperlink"/>
          </w:rPr>
          <w:t xml:space="preserve">https://doi.org/10.3390/ani14081147</w:t>
        </w:r>
      </w:hyperlink>
    </w:p>
    <w:bookmarkEnd w:id="147"/>
    <w:bookmarkEnd w:id="148"/>
    <w:bookmarkEnd w:id="149"/>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7" Target="https://OlivierRaven.github.io/4.Mesocosm_study/index.qmd.html" TargetMode="External" /><Relationship Type="http://schemas.openxmlformats.org/officeDocument/2006/relationships/hyperlink" Id="rId72" Target="https://cran.r-project.org/web/packages/brms/index.html" TargetMode="External" /><Relationship Type="http://schemas.openxmlformats.org/officeDocument/2006/relationships/hyperlink" Id="rId87"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100" Target="https://doi.org/10.1007/s10750-007-9108-z" TargetMode="External" /><Relationship Type="http://schemas.openxmlformats.org/officeDocument/2006/relationships/hyperlink" Id="rId85" Target="https://doi.org/10.1007/s10750-024-05589-0" TargetMode="External" /><Relationship Type="http://schemas.openxmlformats.org/officeDocument/2006/relationships/hyperlink" Id="rId91" Target="https://doi.org/10.1016/j.aquaculture.2005.05.032" TargetMode="External" /><Relationship Type="http://schemas.openxmlformats.org/officeDocument/2006/relationships/hyperlink" Id="rId118" Target="https://doi.org/10.1016/j.biocon.2005.12.019" TargetMode="External" /><Relationship Type="http://schemas.openxmlformats.org/officeDocument/2006/relationships/hyperlink" Id="rId97"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93" Target="https://doi.org/10.1016/s0165-7836(97)00046-5" TargetMode="External" /><Relationship Type="http://schemas.openxmlformats.org/officeDocument/2006/relationships/hyperlink" Id="rId138" Target="https://doi.org/10.1023/A:1021094309738" TargetMode="External" /><Relationship Type="http://schemas.openxmlformats.org/officeDocument/2006/relationships/hyperlink" Id="rId120" Target="https://doi.org/10.1046/j.1365-2427.2001.00702.x" TargetMode="External" /><Relationship Type="http://schemas.openxmlformats.org/officeDocument/2006/relationships/hyperlink" Id="rId106" Target="https://doi.org/10.1071/mf14148" TargetMode="External" /><Relationship Type="http://schemas.openxmlformats.org/officeDocument/2006/relationships/hyperlink" Id="rId142" Target="https://doi.org/10.1080/00288330.2000.9516957" TargetMode="External" /><Relationship Type="http://schemas.openxmlformats.org/officeDocument/2006/relationships/hyperlink" Id="rId136" Target="https://doi.org/10.1080/00288330.2011.559661" TargetMode="External" /><Relationship Type="http://schemas.openxmlformats.org/officeDocument/2006/relationships/hyperlink" Id="rId74" Target="https://doi.org/10.1080/00288330.2018.1539404" TargetMode="External" /><Relationship Type="http://schemas.openxmlformats.org/officeDocument/2006/relationships/hyperlink" Id="rId122" Target="https://doi.org/10.1080/00288330909510034" TargetMode="External" /><Relationship Type="http://schemas.openxmlformats.org/officeDocument/2006/relationships/hyperlink" Id="rId104" Target="https://doi.org/10.1080/00288330909510036" TargetMode="External" /><Relationship Type="http://schemas.openxmlformats.org/officeDocument/2006/relationships/hyperlink" Id="rId83" Target="https://doi.org/10.1080/10236240500376477" TargetMode="External" /><Relationship Type="http://schemas.openxmlformats.org/officeDocument/2006/relationships/hyperlink" Id="rId114" Target="https://doi.org/10.1080/10641269509388566" TargetMode="External" /><Relationship Type="http://schemas.openxmlformats.org/officeDocument/2006/relationships/hyperlink" Id="rId132" Target="https://doi.org/10.1098/rstb.2014.0060" TargetMode="External" /><Relationship Type="http://schemas.openxmlformats.org/officeDocument/2006/relationships/hyperlink" Id="rId144" Target="https://doi.org/10.1111/cobi.12915" TargetMode="External" /><Relationship Type="http://schemas.openxmlformats.org/officeDocument/2006/relationships/hyperlink" Id="rId116" Target="https://doi.org/10.1111/j.1365-2427.2008.02089.x" TargetMode="External" /><Relationship Type="http://schemas.openxmlformats.org/officeDocument/2006/relationships/hyperlink" Id="rId77" Target="https://doi.org/10.1139/facets-2022-0210" TargetMode="External" /><Relationship Type="http://schemas.openxmlformats.org/officeDocument/2006/relationships/hyperlink" Id="rId124" Target="https://doi.org/10.1163/000579509x12512685881053" TargetMode="External" /><Relationship Type="http://schemas.openxmlformats.org/officeDocument/2006/relationships/hyperlink" Id="rId111" Target="https://doi.org/10.1163/15685403-00003724" TargetMode="External" /><Relationship Type="http://schemas.openxmlformats.org/officeDocument/2006/relationships/hyperlink" Id="rId89" Target="https://doi.org/10.1214/ss/1177011136" TargetMode="External" /><Relationship Type="http://schemas.openxmlformats.org/officeDocument/2006/relationships/hyperlink" Id="rId140"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5" Target="https://doi.org/10.2307/1942661" TargetMode="External" /><Relationship Type="http://schemas.openxmlformats.org/officeDocument/2006/relationships/hyperlink" Id="rId81" Target="https://doi.org/10.32614/cran.package.xnomial" TargetMode="External" /><Relationship Type="http://schemas.openxmlformats.org/officeDocument/2006/relationships/hyperlink" Id="rId79" Target="https://doi.org/10.3389/fmars.2023.1213790" TargetMode="External" /><Relationship Type="http://schemas.openxmlformats.org/officeDocument/2006/relationships/hyperlink" Id="rId146" Target="https://doi.org/10.3390/ani14081147" TargetMode="External" /><Relationship Type="http://schemas.openxmlformats.org/officeDocument/2006/relationships/hyperlink" Id="rId108" Target="https://doi.org/10.5194/we-25-221-2025" TargetMode="External" /><Relationship Type="http://schemas.openxmlformats.org/officeDocument/2006/relationships/hyperlink" Id="rId128" Target="https://olivierraven.github.io/Koura_shoreline_habitats/" TargetMode="External" /><Relationship Type="http://schemas.openxmlformats.org/officeDocument/2006/relationships/hyperlink" Id="rId130"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7" Target="https://OlivierRaven.github.io/4.Mesocosm_study/index.qmd.html" TargetMode="External" /><Relationship Type="http://schemas.openxmlformats.org/officeDocument/2006/relationships/hyperlink" Id="rId72" Target="https://cran.r-project.org/web/packages/brms/index.html" TargetMode="External" /><Relationship Type="http://schemas.openxmlformats.org/officeDocument/2006/relationships/hyperlink" Id="rId87"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100" Target="https://doi.org/10.1007/s10750-007-9108-z" TargetMode="External" /><Relationship Type="http://schemas.openxmlformats.org/officeDocument/2006/relationships/hyperlink" Id="rId85" Target="https://doi.org/10.1007/s10750-024-05589-0" TargetMode="External" /><Relationship Type="http://schemas.openxmlformats.org/officeDocument/2006/relationships/hyperlink" Id="rId91" Target="https://doi.org/10.1016/j.aquaculture.2005.05.032" TargetMode="External" /><Relationship Type="http://schemas.openxmlformats.org/officeDocument/2006/relationships/hyperlink" Id="rId118" Target="https://doi.org/10.1016/j.biocon.2005.12.019" TargetMode="External" /><Relationship Type="http://schemas.openxmlformats.org/officeDocument/2006/relationships/hyperlink" Id="rId97"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93" Target="https://doi.org/10.1016/s0165-7836(97)00046-5" TargetMode="External" /><Relationship Type="http://schemas.openxmlformats.org/officeDocument/2006/relationships/hyperlink" Id="rId138" Target="https://doi.org/10.1023/A:1021094309738" TargetMode="External" /><Relationship Type="http://schemas.openxmlformats.org/officeDocument/2006/relationships/hyperlink" Id="rId120" Target="https://doi.org/10.1046/j.1365-2427.2001.00702.x" TargetMode="External" /><Relationship Type="http://schemas.openxmlformats.org/officeDocument/2006/relationships/hyperlink" Id="rId106" Target="https://doi.org/10.1071/mf14148" TargetMode="External" /><Relationship Type="http://schemas.openxmlformats.org/officeDocument/2006/relationships/hyperlink" Id="rId142" Target="https://doi.org/10.1080/00288330.2000.9516957" TargetMode="External" /><Relationship Type="http://schemas.openxmlformats.org/officeDocument/2006/relationships/hyperlink" Id="rId136" Target="https://doi.org/10.1080/00288330.2011.559661" TargetMode="External" /><Relationship Type="http://schemas.openxmlformats.org/officeDocument/2006/relationships/hyperlink" Id="rId74" Target="https://doi.org/10.1080/00288330.2018.1539404" TargetMode="External" /><Relationship Type="http://schemas.openxmlformats.org/officeDocument/2006/relationships/hyperlink" Id="rId122" Target="https://doi.org/10.1080/00288330909510034" TargetMode="External" /><Relationship Type="http://schemas.openxmlformats.org/officeDocument/2006/relationships/hyperlink" Id="rId104" Target="https://doi.org/10.1080/00288330909510036" TargetMode="External" /><Relationship Type="http://schemas.openxmlformats.org/officeDocument/2006/relationships/hyperlink" Id="rId83" Target="https://doi.org/10.1080/10236240500376477" TargetMode="External" /><Relationship Type="http://schemas.openxmlformats.org/officeDocument/2006/relationships/hyperlink" Id="rId114" Target="https://doi.org/10.1080/10641269509388566" TargetMode="External" /><Relationship Type="http://schemas.openxmlformats.org/officeDocument/2006/relationships/hyperlink" Id="rId132" Target="https://doi.org/10.1098/rstb.2014.0060" TargetMode="External" /><Relationship Type="http://schemas.openxmlformats.org/officeDocument/2006/relationships/hyperlink" Id="rId144" Target="https://doi.org/10.1111/cobi.12915" TargetMode="External" /><Relationship Type="http://schemas.openxmlformats.org/officeDocument/2006/relationships/hyperlink" Id="rId116" Target="https://doi.org/10.1111/j.1365-2427.2008.02089.x" TargetMode="External" /><Relationship Type="http://schemas.openxmlformats.org/officeDocument/2006/relationships/hyperlink" Id="rId77" Target="https://doi.org/10.1139/facets-2022-0210" TargetMode="External" /><Relationship Type="http://schemas.openxmlformats.org/officeDocument/2006/relationships/hyperlink" Id="rId124" Target="https://doi.org/10.1163/000579509x12512685881053" TargetMode="External" /><Relationship Type="http://schemas.openxmlformats.org/officeDocument/2006/relationships/hyperlink" Id="rId111" Target="https://doi.org/10.1163/15685403-00003724" TargetMode="External" /><Relationship Type="http://schemas.openxmlformats.org/officeDocument/2006/relationships/hyperlink" Id="rId89" Target="https://doi.org/10.1214/ss/1177011136" TargetMode="External" /><Relationship Type="http://schemas.openxmlformats.org/officeDocument/2006/relationships/hyperlink" Id="rId140"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5" Target="https://doi.org/10.2307/1942661" TargetMode="External" /><Relationship Type="http://schemas.openxmlformats.org/officeDocument/2006/relationships/hyperlink" Id="rId81" Target="https://doi.org/10.32614/cran.package.xnomial" TargetMode="External" /><Relationship Type="http://schemas.openxmlformats.org/officeDocument/2006/relationships/hyperlink" Id="rId79" Target="https://doi.org/10.3389/fmars.2023.1213790" TargetMode="External" /><Relationship Type="http://schemas.openxmlformats.org/officeDocument/2006/relationships/hyperlink" Id="rId146" Target="https://doi.org/10.3390/ani14081147" TargetMode="External" /><Relationship Type="http://schemas.openxmlformats.org/officeDocument/2006/relationships/hyperlink" Id="rId108" Target="https://doi.org/10.5194/we-25-221-2025" TargetMode="External" /><Relationship Type="http://schemas.openxmlformats.org/officeDocument/2006/relationships/hyperlink" Id="rId128" Target="https://olivierraven.github.io/Koura_shoreline_habitats/" TargetMode="External" /><Relationship Type="http://schemas.openxmlformats.org/officeDocument/2006/relationships/hyperlink" Id="rId130"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2026-05-29T02:32:06Z</dcterms:created>
  <dcterms:modified xsi:type="dcterms:W3CDTF">2026-05-29T02:32:06Z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