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p>
      <w:pPr>
        <w:pStyle w:val="BodyText"/>
      </w:pPr>
      <w:r>
        <w:rPr>
          <w:b/>
          <w:bCs/>
        </w:rPr>
        <w:t xml:space="preserve">Key words:</w:t>
      </w:r>
      <w:r>
        <w:t xml:space="preserve"> </w:t>
      </w:r>
      <w:r>
        <w:t xml:space="preserve">Paranephrops planifrons</w:t>
      </w:r>
      <w:r>
        <w:t xml:space="preserve">; </w:t>
      </w:r>
      <w:r>
        <w:t xml:space="preserve">Behaviour</w:t>
      </w:r>
      <w:r>
        <w:t xml:space="preserve">; </w:t>
      </w:r>
      <w:r>
        <w:t xml:space="preserve">Habitat preference</w:t>
      </w:r>
      <w:r>
        <w:t xml:space="preserve">; </w:t>
      </w:r>
      <w:r>
        <w:t xml:space="preserve">Aotearoa New Zealand</w:t>
      </w:r>
      <w:r>
        <w:t xml:space="preserve">; </w:t>
      </w:r>
      <w:r>
        <w:t xml:space="preserve">Artificial reef</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While artificial aquatic habitats have received attention in marine systems [</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and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weight ratio between contestants is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w:t>
      </w:r>
      <w:r>
        <w:t xml:space="preserve"> </w:t>
      </w:r>
      <w:r>
        <w:rPr>
          <w:i/>
          <w:iCs/>
        </w:rPr>
        <w:t xml:space="preserve">taonga</w:t>
      </w:r>
      <w:r>
        <w:t xml:space="preserve"> </w:t>
      </w:r>
      <w:r>
        <w:t xml:space="preserve">(treasured)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 [</w:t>
      </w:r>
      <w:r>
        <w:t xml:space="preserve">] do not support categorical outcomes with complex nested random effects structures, making Bayesian estimation the appropriate choice for this design [</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w:t>
      </w:r>
      <w:r>
        <w:t xml:space="preserve"> </w:t>
      </w:r>
      <w:r>
        <w:rPr>
          <w:i/>
          <w:iCs/>
        </w:rPr>
        <w:t xml:space="preserve">et al.</w:t>
      </w:r>
      <w:r>
        <w:t xml:space="preserve">,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Sex had no credible effect on structure preference (β = 3.32, 95% CI: -1.09 to 9.3; posterior probability = 0.92), with credible intervals spanning zero for all structure types.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(β = -2.55, 95% CI: -4.7 to -0.9;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-1.24 to 0.84; posterior probability = 0.65),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w:t>
      </w:r>
      <w:r>
        <w:t xml:space="preserve"> </w:t>
      </w:r>
      <w:r>
        <w:rPr>
          <w:i/>
          <w:iCs/>
        </w:rPr>
        <w:t xml:space="preserve">et al.</w:t>
      </w:r>
      <w:r>
        <w:t xml:space="preserve">, 2016)</w:t>
      </w:r>
      <w:r>
        <w:t xml:space="preserve">, and the drilled holes in the WoodLog offered most protection similar to what has been found for perforated brick and PVC tube shelters under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 [</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For in-lake deployment, existing habitat surveys suggest that kōura are associated with coarser substrate</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w:t>
      </w:r>
      <w:r>
        <w:t xml:space="preserve"> </w:t>
      </w:r>
      <w:r>
        <w:rPr>
          <w:i/>
          <w:iCs/>
        </w:rPr>
        <w:t xml:space="preserve">et al.</w:t>
      </w:r>
      <w:r>
        <w:t xml:space="preserve">, 2024)</w:t>
      </w:r>
      <w:r>
        <w:t xml:space="preserve">. With the threat from invasive predatory fish, like catfish preying on kōura</w:t>
      </w:r>
      <w:r>
        <w:t xml:space="preserve"> </w:t>
      </w:r>
      <w:r>
        <w:t xml:space="preserve">(Kusabs</w:t>
      </w:r>
      <w:r>
        <w:t xml:space="preserve"> </w:t>
      </w:r>
      <w:r>
        <w:rPr>
          <w:i/>
          <w:iCs/>
        </w:rPr>
        <w:t xml:space="preserve">et al.</w:t>
      </w:r>
      <w:r>
        <w:t xml:space="preserve">, 2026)</w:t>
      </w:r>
      <w:r>
        <w:t xml:space="preserve">, enhancing habitat complexity which provides enclosed crevices can be important for kōura as refuge availability directly influences predation survival</w:t>
      </w:r>
      <w:r>
        <w:t xml:space="preserve"> </w:t>
      </w:r>
      <w:r>
        <w:t xml:space="preserve">(Adams, 2007; Zhao</w:t>
      </w:r>
      <w:r>
        <w:t xml:space="preserve"> </w:t>
      </w:r>
      <w:r>
        <w:rPr>
          <w:i/>
          <w:iCs/>
        </w:rPr>
        <w:t xml:space="preserve">et al.</w:t>
      </w:r>
      <w:r>
        <w:t xml:space="preserve">,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14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45" w:name="refs"/>
    <w:bookmarkStart w:id="66" w:name="ref-Adams2007"/>
    <w:p>
      <w:pPr>
        <w:pStyle w:val="Bibliography"/>
      </w:pPr>
      <w:r>
        <w:t xml:space="preserve">Adams SB. 2007. Direct and indirect effects of channel catfish (ictalurus punctatus) on native crayfishes (cambaridae) in experimental tanks.</w:t>
      </w:r>
      <w:r>
        <w:t xml:space="preserve"> </w:t>
      </w:r>
      <w:r>
        <w:rPr>
          <w:i/>
          <w:iCs/>
        </w:rPr>
        <w:t xml:space="preserve">The American Midland Naturalist</w:t>
      </w:r>
      <w:r>
        <w:t xml:space="preserve"> </w:t>
      </w:r>
      <w:r>
        <w:rPr>
          <w:b/>
          <w:bCs/>
        </w:rPr>
        <w:t xml:space="preserve">158</w:t>
      </w:r>
      <w:r>
        <w:t xml:space="preserve">: 85--96. https://doi.org/</w:t>
      </w:r>
      <w:hyperlink r:id="rId65">
        <w:r>
          <w:rPr>
            <w:rStyle w:val="Hyperlink"/>
          </w:rPr>
          <w:t xml:space="preserve">10.1674/0003-0031(2007)158[85:daieoc]2.0.co;2</w:t>
        </w:r>
      </w:hyperlink>
    </w:p>
    <w:bookmarkEnd w:id="66"/>
    <w:bookmarkStart w:id="68"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7">
        <w:r>
          <w:rPr>
            <w:rStyle w:val="Hyperlink"/>
          </w:rPr>
          <w:t xml:space="preserve">10.1007/s00267-013-0197-3</w:t>
        </w:r>
      </w:hyperlink>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Clapcott2018"/>
    <w:p>
      <w:pPr>
        <w:pStyle w:val="Bibliography"/>
      </w:pPr>
      <w:r>
        <w:t xml:space="preserve">Clapcott J, Ataria J, Hepburn C, Hikuroa D, Jackson A, Kirikiri R, Williams E. 2018. Mātauranga māori: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1">
        <w:r>
          <w:rPr>
            <w:rStyle w:val="Hyperlink"/>
          </w:rPr>
          <w:t xml:space="preserve">10.1080/00288330.2018.1539404</w:t>
        </w:r>
      </w:hyperlink>
    </w:p>
    <w:bookmarkEnd w:id="72"/>
    <w:bookmarkStart w:id="73"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3"/>
    <w:bookmarkStart w:id="75"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74">
        <w:r>
          <w:rPr>
            <w:rStyle w:val="Hyperlink"/>
          </w:rPr>
          <w:t xml:space="preserve">10.1139/facets-2022-0210</w:t>
        </w:r>
      </w:hyperlink>
    </w:p>
    <w:bookmarkEnd w:id="75"/>
    <w:bookmarkStart w:id="77"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76">
        <w:r>
          <w:rPr>
            <w:rStyle w:val="Hyperlink"/>
          </w:rPr>
          <w:t xml:space="preserve">10.3389/fmars.2023.1213790</w:t>
        </w:r>
      </w:hyperlink>
    </w:p>
    <w:bookmarkEnd w:id="77"/>
    <w:bookmarkStart w:id="79" w:name="ref-Engels2014"/>
    <w:p>
      <w:pPr>
        <w:pStyle w:val="Bibliography"/>
      </w:pPr>
      <w:r>
        <w:t xml:space="preserve">Engels B. 2014. XNomial: Exact goodness-of-fit test for multinomial data with fixed probabilities.</w:t>
      </w:r>
      <w:r>
        <w:t xml:space="preserve"> </w:t>
      </w:r>
      <w:r>
        <w:rPr>
          <w:i/>
          <w:iCs/>
        </w:rPr>
        <w:t xml:space="preserve">CRAN: Contributed Packages</w:t>
      </w:r>
      <w:r>
        <w:t xml:space="preserve">. https://doi.org/</w:t>
      </w:r>
      <w:hyperlink r:id="rId78">
        <w:r>
          <w:rPr>
            <w:rStyle w:val="Hyperlink"/>
          </w:rPr>
          <w:t xml:space="preserve">10.32614/cran.package.xnomial</w:t>
        </w:r>
      </w:hyperlink>
    </w:p>
    <w:bookmarkEnd w:id="79"/>
    <w:bookmarkStart w:id="8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0">
        <w:r>
          <w:rPr>
            <w:rStyle w:val="Hyperlink"/>
          </w:rPr>
          <w:t xml:space="preserve">10.1080/10236240500376477</w:t>
        </w:r>
      </w:hyperlink>
    </w:p>
    <w:bookmarkEnd w:id="81"/>
    <w:bookmarkStart w:id="83" w:name="ref-Figler1999"/>
    <w:p>
      <w:pPr>
        <w:pStyle w:val="Bibliography"/>
      </w:pPr>
      <w:r>
        <w:t xml:space="preserve">Figler MH, Cheverton HM, Blank GS. 1999. Shelter competition in juvenile red swamp crayfish (procambarus clarkii):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82">
        <w:r>
          <w:rPr>
            <w:rStyle w:val="Hyperlink"/>
          </w:rPr>
          <w:t xml:space="preserve">10.1016/s0044-8486(99)00114-3</w:t>
        </w:r>
      </w:hyperlink>
    </w:p>
    <w:bookmarkEnd w:id="83"/>
    <w:bookmarkStart w:id="8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84">
        <w:r>
          <w:rPr>
            <w:rStyle w:val="Hyperlink"/>
          </w:rPr>
          <w:t xml:space="preserve">10.1002/aqc.4152</w:t>
        </w:r>
      </w:hyperlink>
    </w:p>
    <w:bookmarkEnd w:id="85"/>
    <w:bookmarkStart w:id="8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86">
        <w:r>
          <w:rPr>
            <w:rStyle w:val="Hyperlink"/>
          </w:rPr>
          <w:t xml:space="preserve">10.1214/ss/1177011136</w:t>
        </w:r>
      </w:hyperlink>
    </w:p>
    <w:bookmarkEnd w:id="87"/>
    <w:bookmarkStart w:id="89" w:name="ref-Hammond2006"/>
    <w:p>
      <w:pPr>
        <w:pStyle w:val="Bibliography"/>
      </w:pPr>
      <w:r>
        <w:t xml:space="preserve">Hammond KS, Hollows JW, Townsend CR, Lokman PM. 2006. Effects of temperature and water calcium concentration on growth, survival and moulting of freshwater crayfish, paranephrops zealandicus.</w:t>
      </w:r>
      <w:r>
        <w:t xml:space="preserve"> </w:t>
      </w:r>
      <w:r>
        <w:rPr>
          <w:i/>
          <w:iCs/>
        </w:rPr>
        <w:t xml:space="preserve">Aquaculture</w:t>
      </w:r>
      <w:r>
        <w:t xml:space="preserve"> </w:t>
      </w:r>
      <w:r>
        <w:rPr>
          <w:b/>
          <w:bCs/>
        </w:rPr>
        <w:t xml:space="preserve">251</w:t>
      </w:r>
      <w:r>
        <w:t xml:space="preserve">: 271--279. https://doi.org/</w:t>
      </w:r>
      <w:hyperlink r:id="rId88">
        <w:r>
          <w:rPr>
            <w:rStyle w:val="Hyperlink"/>
          </w:rPr>
          <w:t xml:space="preserve">10.1016/j.aquaculture.2005.05.032</w:t>
        </w:r>
      </w:hyperlink>
    </w:p>
    <w:bookmarkEnd w:id="89"/>
    <w:bookmarkStart w:id="91"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90">
        <w:r>
          <w:rPr>
            <w:rStyle w:val="Hyperlink"/>
          </w:rPr>
          <w:t xml:space="preserve">10.1016/s0165-7836(97)00046-5</w:t>
        </w:r>
      </w:hyperlink>
    </w:p>
    <w:bookmarkEnd w:id="91"/>
    <w:bookmarkStart w:id="93"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92">
        <w:r>
          <w:rPr>
            <w:rStyle w:val="Hyperlink"/>
          </w:rPr>
          <w:t xml:space="preserve">10.1016/j.ecoleng.2020.105994</w:t>
        </w:r>
      </w:hyperlink>
    </w:p>
    <w:bookmarkEnd w:id="93"/>
    <w:bookmarkStart w:id="9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94"/>
    <w:bookmarkStart w:id="96" w:name="ref-Jowett2008"/>
    <w:p>
      <w:pPr>
        <w:pStyle w:val="Bibliography"/>
      </w:pPr>
      <w:r>
        <w:t xml:space="preserve">Jowett IG, Parkyn SM, Richardson J. 2008. Habitat characteristics of crayfish (paranephrops planifrons) in new zealand streams using generalised additive models (GAMs).</w:t>
      </w:r>
      <w:r>
        <w:t xml:space="preserve"> </w:t>
      </w:r>
      <w:r>
        <w:rPr>
          <w:i/>
          <w:iCs/>
        </w:rPr>
        <w:t xml:space="preserve">Hydrobiologia</w:t>
      </w:r>
      <w:r>
        <w:t xml:space="preserve"> </w:t>
      </w:r>
      <w:r>
        <w:rPr>
          <w:b/>
          <w:bCs/>
        </w:rPr>
        <w:t xml:space="preserve">596</w:t>
      </w:r>
      <w:r>
        <w:t xml:space="preserve">: 353–365. https://doi.org/</w:t>
      </w:r>
      <w:hyperlink r:id="rId95">
        <w:r>
          <w:rPr>
            <w:rStyle w:val="Hyperlink"/>
          </w:rPr>
          <w:t xml:space="preserve">10.1007/s10750-007-9108-z</w:t>
        </w:r>
      </w:hyperlink>
    </w:p>
    <w:bookmarkEnd w:id="96"/>
    <w:bookmarkStart w:id="9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97"/>
    <w:bookmarkStart w:id="99"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98">
        <w:r>
          <w:rPr>
            <w:rStyle w:val="Hyperlink"/>
          </w:rPr>
          <w:t xml:space="preserve">10.1016/j.fishres.2015.03.015</w:t>
        </w:r>
      </w:hyperlink>
    </w:p>
    <w:bookmarkEnd w:id="99"/>
    <w:bookmarkStart w:id="101" w:name="ref-Kusabs2026"/>
    <w:p>
      <w:pPr>
        <w:pStyle w:val="Bibliography"/>
      </w:pPr>
      <w:r>
        <w:t xml:space="preserve">Kusabs IAK, Duggan IC, Bruere AC, Scholes P, Te Kurapa TW, Grant TM, Burdon FJ. 2026. Invasive catfish linked to the decline of freshwater crayfish in two aotearoa new zealand lakes.</w:t>
      </w:r>
      <w:r>
        <w:t xml:space="preserve"> </w:t>
      </w:r>
      <w:r>
        <w:rPr>
          <w:i/>
          <w:iCs/>
        </w:rPr>
        <w:t xml:space="preserve">Biological Invasions</w:t>
      </w:r>
      <w:r>
        <w:t xml:space="preserve"> </w:t>
      </w:r>
      <w:r>
        <w:rPr>
          <w:b/>
          <w:bCs/>
        </w:rPr>
        <w:t xml:space="preserve">28</w:t>
      </w:r>
      <w:r>
        <w:t xml:space="preserve">. https://doi.org/</w:t>
      </w:r>
      <w:hyperlink r:id="rId100">
        <w:r>
          <w:rPr>
            <w:rStyle w:val="Hyperlink"/>
          </w:rPr>
          <w:t xml:space="preserve">10.1007/s10530-026-03852-0</w:t>
        </w:r>
      </w:hyperlink>
    </w:p>
    <w:bookmarkEnd w:id="101"/>
    <w:bookmarkStart w:id="103" w:name="ref-Kusabs2009"/>
    <w:p>
      <w:pPr>
        <w:pStyle w:val="Bibliography"/>
      </w:pPr>
      <w:r>
        <w:t xml:space="preserve">Kusabs IA, Quinn JM.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 </w:t>
      </w:r>
      <w:r>
        <w:rPr>
          <w:b/>
          <w:bCs/>
        </w:rPr>
        <w:t xml:space="preserve">43</w:t>
      </w:r>
      <w:r>
        <w:t xml:space="preserve">: 713–722. https://doi.org/</w:t>
      </w:r>
      <w:hyperlink r:id="rId102">
        <w:r>
          <w:rPr>
            <w:rStyle w:val="Hyperlink"/>
          </w:rPr>
          <w:t xml:space="preserve">10.1080/00288330909510036</w:t>
        </w:r>
      </w:hyperlink>
    </w:p>
    <w:bookmarkEnd w:id="103"/>
    <w:bookmarkStart w:id="105"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04">
        <w:r>
          <w:rPr>
            <w:rStyle w:val="Hyperlink"/>
          </w:rPr>
          <w:t xml:space="preserve">10.1071/MF14148</w:t>
        </w:r>
      </w:hyperlink>
    </w:p>
    <w:bookmarkEnd w:id="105"/>
    <w:bookmarkStart w:id="107"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06">
        <w:r>
          <w:rPr>
            <w:rStyle w:val="Hyperlink"/>
          </w:rPr>
          <w:t xml:space="preserve">10.5194/we-25-221-2025</w:t>
        </w:r>
      </w:hyperlink>
    </w:p>
    <w:bookmarkEnd w:id="107"/>
    <w:bookmarkStart w:id="108" w:name="ref-Magnelia2008"/>
    <w:p>
      <w:pPr>
        <w:pStyle w:val="Bibliography"/>
      </w:pPr>
      <w:r>
        <w:t xml:space="preserve">Magnelia SJ, Jesus MJD, Schlechte JW, Cummings GC, Duty JL. 2008. Comparison of plastic pipe and juniper tree fish attractors in a central texas reservoir.</w:t>
      </w:r>
    </w:p>
    <w:bookmarkEnd w:id="108"/>
    <w:bookmarkStart w:id="110" w:name="ref-Mazlum2017"/>
    <w:p>
      <w:pPr>
        <w:pStyle w:val="Bibliography"/>
      </w:pPr>
      <w:r>
        <w:t xml:space="preserve">Mazlum Y, Guner Gurlek O,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 </w:t>
      </w:r>
      <w:r>
        <w:rPr>
          <w:b/>
          <w:bCs/>
        </w:rPr>
        <w:t xml:space="preserve">90</w:t>
      </w:r>
      <w:r>
        <w:t xml:space="preserve">: 1289--1302. https://doi.org/</w:t>
      </w:r>
      <w:hyperlink r:id="rId109">
        <w:r>
          <w:rPr>
            <w:rStyle w:val="Hyperlink"/>
          </w:rPr>
          <w:t xml:space="preserve">10.1163/15685403-00003724</w:t>
        </w:r>
      </w:hyperlink>
    </w:p>
    <w:bookmarkEnd w:id="110"/>
    <w:bookmarkStart w:id="112"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11">
        <w:r>
          <w:rPr>
            <w:rStyle w:val="Hyperlink"/>
          </w:rPr>
          <w:t xml:space="preserve">10.1080/10641269509388566</w:t>
        </w:r>
      </w:hyperlink>
    </w:p>
    <w:bookmarkEnd w:id="112"/>
    <w:bookmarkStart w:id="114"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13">
        <w:r>
          <w:rPr>
            <w:rStyle w:val="Hyperlink"/>
          </w:rPr>
          <w:t xml:space="preserve">10.1111/j.1365-2427.2008.02089.x</w:t>
        </w:r>
      </w:hyperlink>
    </w:p>
    <w:bookmarkEnd w:id="114"/>
    <w:bookmarkStart w:id="116" w:name="ref-Olsson2006"/>
    <w:p>
      <w:pPr>
        <w:pStyle w:val="Bibliography"/>
      </w:pPr>
      <w:r>
        <w:t xml:space="preserve">Olsson K, Stenroth P, Nyström P, Holmqvist N, McIntosh AR, Winterbourn MJ.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 </w:t>
      </w:r>
      <w:r>
        <w:rPr>
          <w:b/>
          <w:bCs/>
        </w:rPr>
        <w:t xml:space="preserve">130</w:t>
      </w:r>
      <w:r>
        <w:t xml:space="preserve">: 255–267. https://doi.org/</w:t>
      </w:r>
      <w:hyperlink r:id="rId115">
        <w:r>
          <w:rPr>
            <w:rStyle w:val="Hyperlink"/>
          </w:rPr>
          <w:t xml:space="preserve">10.1016/j.biocon.2005.12.019</w:t>
        </w:r>
      </w:hyperlink>
    </w:p>
    <w:bookmarkEnd w:id="116"/>
    <w:bookmarkStart w:id="118" w:name="ref-Parkyn2001"/>
    <w:p>
      <w:pPr>
        <w:pStyle w:val="Bibliography"/>
      </w:pPr>
      <w:r>
        <w:t xml:space="preserve">Parkyn SM, Collier KJ, Hicks BJ. 2001. New zealand 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17">
        <w:r>
          <w:rPr>
            <w:rStyle w:val="Hyperlink"/>
          </w:rPr>
          <w:t xml:space="preserve">10.1046/j.1365-2427.2001.00702.x</w:t>
        </w:r>
      </w:hyperlink>
    </w:p>
    <w:bookmarkEnd w:id="118"/>
    <w:bookmarkStart w:id="120"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19">
        <w:r>
          <w:rPr>
            <w:rStyle w:val="Hyperlink"/>
          </w:rPr>
          <w:t xml:space="preserve">10.1080/00288330909510034</w:t>
        </w:r>
      </w:hyperlink>
    </w:p>
    <w:bookmarkEnd w:id="120"/>
    <w:bookmarkStart w:id="122" w:name="ref-Percival2010"/>
    <w:p>
      <w:pPr>
        <w:pStyle w:val="Bibliography"/>
      </w:pPr>
      <w:r>
        <w:t xml:space="preserve">Percival D, Moore P. 2010. Shelter size influences self-assessment of size in crayfish, orconectes rusticus: Consequences for agonistic fights.</w:t>
      </w:r>
      <w:r>
        <w:t xml:space="preserve"> </w:t>
      </w:r>
      <w:r>
        <w:rPr>
          <w:i/>
          <w:iCs/>
        </w:rPr>
        <w:t xml:space="preserve">Behaviour</w:t>
      </w:r>
      <w:r>
        <w:t xml:space="preserve"> </w:t>
      </w:r>
      <w:r>
        <w:rPr>
          <w:b/>
          <w:bCs/>
        </w:rPr>
        <w:t xml:space="preserve">147</w:t>
      </w:r>
      <w:r>
        <w:t xml:space="preserve">: 103–119. https://doi.org/</w:t>
      </w:r>
      <w:hyperlink r:id="rId121">
        <w:r>
          <w:rPr>
            <w:rStyle w:val="Hyperlink"/>
          </w:rPr>
          <w:t xml:space="preserve">10.1163/000579509x12512685881053</w:t>
        </w:r>
      </w:hyperlink>
    </w:p>
    <w:bookmarkEnd w:id="122"/>
    <w:bookmarkStart w:id="123"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23"/>
    <w:bookmarkStart w:id="124"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24"/>
    <w:bookmarkStart w:id="126" w:name="ref-Raveninreviewa"/>
    <w:p>
      <w:pPr>
        <w:pStyle w:val="Bibliography"/>
      </w:pPr>
      <w:r>
        <w:t xml:space="preserve">Raven OV, Burdon FJ, Kusabs IAK, Holmes R, Özkundakci D. (a) in review.</w:t>
      </w:r>
      <w:r>
        <w:t xml:space="preserve"> </w:t>
      </w:r>
      <w:hyperlink r:id="rId125">
        <w:r>
          <w:rPr>
            <w:rStyle w:val="Hyperlink"/>
          </w:rPr>
          <w:t xml:space="preserve">Littoral habitat structure influences freshwater crayfish populations in five volcanic lakes of aotearoa new zealand</w:t>
        </w:r>
      </w:hyperlink>
      <w:r>
        <w:t xml:space="preserve">.</w:t>
      </w:r>
    </w:p>
    <w:bookmarkEnd w:id="126"/>
    <w:bookmarkStart w:id="128" w:name="ref-Raveninreviewb"/>
    <w:p>
      <w:pPr>
        <w:pStyle w:val="Bibliography"/>
      </w:pPr>
      <w:r>
        <w:t xml:space="preserve">Raven OV, MacNeil C, Lee F, Holmes R, Kusabs IAK, Burdon FJ, Özkundakci D. (b) in review.</w:t>
      </w:r>
      <w:r>
        <w:t xml:space="preserve"> </w:t>
      </w:r>
      <w:hyperlink r:id="rId127">
        <w:r>
          <w:rPr>
            <w:rStyle w:val="Hyperlink"/>
          </w:rPr>
          <w:t xml:space="preserve">Fear of the new: A predatory invader may provoke stronger non-consumptive effects on a keystone native prey than a native predator</w:t>
        </w:r>
      </w:hyperlink>
      <w:r>
        <w:t xml:space="preserve">.</w:t>
      </w:r>
    </w:p>
    <w:bookmarkEnd w:id="128"/>
    <w:bookmarkStart w:id="130"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29">
        <w:r>
          <w:rPr>
            <w:rStyle w:val="Hyperlink"/>
          </w:rPr>
          <w:t xml:space="preserve">10.1098/rstb.2014.0060</w:t>
        </w:r>
      </w:hyperlink>
    </w:p>
    <w:bookmarkEnd w:id="130"/>
    <w:bookmarkStart w:id="131"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31"/>
    <w:bookmarkStart w:id="132"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32"/>
    <w:bookmarkStart w:id="134" w:name="ref-Stewart2011"/>
    <w:p>
      <w:pPr>
        <w:pStyle w:val="Bibliography"/>
      </w:pPr>
      <w:r>
        <w:t xml:space="preserve">Stewart C,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33">
        <w:r>
          <w:rPr>
            <w:rStyle w:val="Hyperlink"/>
          </w:rPr>
          <w:t xml:space="preserve">10.1080/00288330.2011.559661</w:t>
        </w:r>
      </w:hyperlink>
    </w:p>
    <w:bookmarkEnd w:id="134"/>
    <w:bookmarkStart w:id="136" w:name="ref-Streissl2002"/>
    <w:p>
      <w:pPr>
        <w:pStyle w:val="Bibliography"/>
      </w:pPr>
      <w:r>
        <w:t xml:space="preserve">Streissl F,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35">
        <w:r>
          <w:rPr>
            <w:rStyle w:val="Hyperlink"/>
          </w:rPr>
          <w:t xml:space="preserve">10.1023/A:1021094309738</w:t>
        </w:r>
      </w:hyperlink>
    </w:p>
    <w:bookmarkEnd w:id="136"/>
    <w:bookmarkStart w:id="138"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37">
        <w:r>
          <w:rPr>
            <w:rStyle w:val="Hyperlink"/>
          </w:rPr>
          <w:t xml:space="preserve">10.1242/jeb.197301</w:t>
        </w:r>
      </w:hyperlink>
    </w:p>
    <w:bookmarkEnd w:id="138"/>
    <w:bookmarkStart w:id="140" w:name="ref-Usio2000"/>
    <w:p>
      <w:pPr>
        <w:pStyle w:val="Bibliography"/>
      </w:pPr>
      <w:r>
        <w:t xml:space="preserve">Usio N, Townsend CR.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39">
        <w:r>
          <w:rPr>
            <w:rStyle w:val="Hyperlink"/>
          </w:rPr>
          <w:t xml:space="preserve">10.1080/00288330.2000.9516957</w:t>
        </w:r>
      </w:hyperlink>
    </w:p>
    <w:bookmarkEnd w:id="140"/>
    <w:bookmarkStart w:id="14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41">
        <w:r>
          <w:rPr>
            <w:rStyle w:val="Hyperlink"/>
          </w:rPr>
          <w:t xml:space="preserve">10.1111/cobi.12915</w:t>
        </w:r>
      </w:hyperlink>
    </w:p>
    <w:bookmarkEnd w:id="142"/>
    <w:bookmarkStart w:id="144" w:name="ref-Zhao2024"/>
    <w:p>
      <w:pPr>
        <w:pStyle w:val="Bibliography"/>
      </w:pPr>
      <w:r>
        <w:t xml:space="preserve">Zhao M, Feng G, Wang H, Shen C, Fu Y, Zhang Y, Zhang H, Yao Y, Chen J, Xu W. 2024. The influence of shelter type and coverage on crayfish (procambarus clarkii) predation by catfish (silurus asotus): A controlled environment study.</w:t>
      </w:r>
      <w:r>
        <w:t xml:space="preserve"> </w:t>
      </w:r>
      <w:r>
        <w:rPr>
          <w:i/>
          <w:iCs/>
        </w:rPr>
        <w:t xml:space="preserve">Animals</w:t>
      </w:r>
      <w:r>
        <w:t xml:space="preserve"> </w:t>
      </w:r>
      <w:r>
        <w:rPr>
          <w:b/>
          <w:bCs/>
        </w:rPr>
        <w:t xml:space="preserve">14</w:t>
      </w:r>
      <w:r>
        <w:t xml:space="preserve">: 1147. https://doi.org/</w:t>
      </w:r>
      <w:hyperlink r:id="rId143">
        <w:r>
          <w:rPr>
            <w:rStyle w:val="Hyperlink"/>
          </w:rPr>
          <w:t xml:space="preserve">10.3390/ani14081147</w:t>
        </w:r>
      </w:hyperlink>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
  <cp:keywords>Paranephrops planifrons, Behaviour, Habitat preference, Aotearoa New Zealand, Artificial reef</cp:keywords>
  <dcterms:created xsi:type="dcterms:W3CDTF">2026-06-18T03:56:22Z</dcterms:created>
  <dcterms:modified xsi:type="dcterms:W3CDTF">2026-06-18T03:56:22Z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