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A8448" w14:textId="6D7054EC" w:rsidR="00AB1399" w:rsidRPr="00671C03" w:rsidRDefault="00AB1399" w:rsidP="00AB1399">
      <w:pPr>
        <w:rPr>
          <w:b/>
          <w:bCs/>
          <w:sz w:val="32"/>
          <w:szCs w:val="32"/>
        </w:rPr>
      </w:pPr>
      <w:r w:rsidRPr="00671C03">
        <w:rPr>
          <w:b/>
          <w:bCs/>
          <w:sz w:val="32"/>
          <w:szCs w:val="32"/>
        </w:rPr>
        <w:t>Response to reviewer</w:t>
      </w:r>
      <w:r w:rsidR="00671C03" w:rsidRPr="00671C03">
        <w:rPr>
          <w:b/>
          <w:bCs/>
          <w:sz w:val="32"/>
          <w:szCs w:val="32"/>
        </w:rPr>
        <w:t xml:space="preserve"> comments</w:t>
      </w:r>
    </w:p>
    <w:p w14:paraId="3B6BB798" w14:textId="0BEC7EF5" w:rsidR="00422A8E" w:rsidRPr="00422A8E" w:rsidRDefault="00422A8E" w:rsidP="00422A8E">
      <w:r w:rsidRPr="00422A8E">
        <w:rPr>
          <w:b/>
          <w:bCs/>
        </w:rPr>
        <w:t>Manuscript title:</w:t>
      </w:r>
      <w:r w:rsidRPr="00422A8E">
        <w:t xml:space="preserve"> </w:t>
      </w:r>
      <w:r w:rsidR="00681CA7" w:rsidRPr="00681CA7">
        <w:t>Littoral habitat structure influences freshwater crayfish populations in five volcanic lakes of Aotearoa New Zealand</w:t>
      </w:r>
    </w:p>
    <w:p w14:paraId="2E6F14A4" w14:textId="77777777" w:rsidR="00422A8E" w:rsidRPr="00422A8E" w:rsidRDefault="00422A8E" w:rsidP="00422A8E">
      <w:r w:rsidRPr="00422A8E">
        <w:rPr>
          <w:b/>
          <w:bCs/>
        </w:rPr>
        <w:t>Journal:</w:t>
      </w:r>
      <w:r w:rsidRPr="00422A8E">
        <w:t xml:space="preserve"> Hydrobiologia</w:t>
      </w:r>
    </w:p>
    <w:p w14:paraId="7A4744B3" w14:textId="697CAE15" w:rsidR="00422A8E" w:rsidRPr="00C76932" w:rsidRDefault="00C76932" w:rsidP="00AB1399">
      <w:r w:rsidRPr="00C76932">
        <w:rPr>
          <w:b/>
          <w:bCs/>
        </w:rPr>
        <w:t xml:space="preserve">Authors: </w:t>
      </w:r>
      <w:r w:rsidRPr="00C76932">
        <w:t>Olivier V. Raven, Francis J. Burdon, Ian A.</w:t>
      </w:r>
      <w:r w:rsidR="00F92387">
        <w:t xml:space="preserve"> K.</w:t>
      </w:r>
      <w:r w:rsidRPr="00C76932">
        <w:t xml:space="preserve"> Kusabs, Robin Holmes, Deniz Özkundakci</w:t>
      </w:r>
    </w:p>
    <w:p w14:paraId="1E7B6D2E" w14:textId="7DEEEFA0" w:rsidR="00CA22EF" w:rsidRPr="00E47D18" w:rsidRDefault="3E2C1E92" w:rsidP="143B9836">
      <w:pPr>
        <w:rPr>
          <w:color w:val="0070C0"/>
        </w:rPr>
      </w:pPr>
      <w:r w:rsidRPr="590736D4">
        <w:rPr>
          <w:color w:val="0070C0"/>
        </w:rPr>
        <w:t>We thank the Associate Editor and all three reviewers for their thorough and constructive comments, which have substantially improved the manuscript. We have carefully addressed all comments below, with changes clearly indicated in the revised manuscript using tracked changes.</w:t>
      </w:r>
      <w:r w:rsidR="00604498">
        <w:rPr>
          <w:color w:val="0070C0"/>
        </w:rPr>
        <w:t xml:space="preserve"> The line numbers given in this document follow the</w:t>
      </w:r>
      <w:r w:rsidR="00D04B07">
        <w:rPr>
          <w:color w:val="0070C0"/>
        </w:rPr>
        <w:t xml:space="preserve"> manuscript with</w:t>
      </w:r>
      <w:r w:rsidR="00604498">
        <w:rPr>
          <w:color w:val="0070C0"/>
        </w:rPr>
        <w:t xml:space="preserve"> </w:t>
      </w:r>
      <w:r w:rsidR="00D04B07">
        <w:rPr>
          <w:color w:val="0070C0"/>
        </w:rPr>
        <w:t>track and changes.</w:t>
      </w:r>
    </w:p>
    <w:p w14:paraId="11EA7BCC" w14:textId="55F3304E" w:rsidR="00AB1399" w:rsidRPr="00671C03" w:rsidRDefault="003E0AC3" w:rsidP="00AB1399">
      <w:pPr>
        <w:rPr>
          <w:b/>
          <w:bCs/>
          <w:sz w:val="24"/>
          <w:szCs w:val="24"/>
        </w:rPr>
      </w:pPr>
      <w:r w:rsidRPr="00671C03">
        <w:rPr>
          <w:b/>
          <w:bCs/>
          <w:sz w:val="24"/>
          <w:szCs w:val="24"/>
        </w:rPr>
        <w:t>Comments to the author:</w:t>
      </w:r>
    </w:p>
    <w:p w14:paraId="28521418" w14:textId="7C820645" w:rsidR="00AB1399" w:rsidRPr="00AB1399" w:rsidRDefault="003E0AC3" w:rsidP="00AB1399">
      <w:r w:rsidRPr="00AB1399">
        <w:t>P</w:t>
      </w:r>
      <w:r w:rsidR="00AB1399" w:rsidRPr="00AB1399">
        <w:t xml:space="preserve">lease rescale Fig. 2 as it can easily fit one panel of a printed paper (i.e., make boxplots thinner) and please present raw data for relationships modelled in Figures 4-5, even if Supplemental Information. </w:t>
      </w:r>
      <w:r w:rsidR="00AB1399" w:rsidRPr="00AD54AA">
        <w:t xml:space="preserve">Also, expanding the discussion of the role of habitat complexity would make this </w:t>
      </w:r>
      <w:proofErr w:type="spellStart"/>
      <w:r w:rsidR="00AB1399" w:rsidRPr="00AD54AA">
        <w:t>ms</w:t>
      </w:r>
      <w:proofErr w:type="spellEnd"/>
      <w:r w:rsidR="00AB1399" w:rsidRPr="00AD54AA">
        <w:t xml:space="preserve"> more relevant to the current theme.</w:t>
      </w:r>
    </w:p>
    <w:p w14:paraId="70A19885" w14:textId="29301914" w:rsidR="003F46EF" w:rsidRPr="00707EE5" w:rsidRDefault="00141FC2" w:rsidP="00AB1399">
      <w:pPr>
        <w:rPr>
          <w:i/>
          <w:iCs/>
        </w:rPr>
      </w:pPr>
      <w:r w:rsidRPr="590736D4">
        <w:rPr>
          <w:color w:val="0070C0"/>
        </w:rPr>
        <w:t xml:space="preserve">Response: </w:t>
      </w:r>
      <w:r w:rsidR="00B50FCF" w:rsidRPr="590736D4">
        <w:rPr>
          <w:color w:val="0070C0"/>
        </w:rPr>
        <w:t xml:space="preserve">Fig 2 has been </w:t>
      </w:r>
      <w:r w:rsidR="00707EE5" w:rsidRPr="590736D4">
        <w:rPr>
          <w:color w:val="0070C0"/>
        </w:rPr>
        <w:t>refitted, and</w:t>
      </w:r>
      <w:r w:rsidR="00926014" w:rsidRPr="590736D4">
        <w:rPr>
          <w:color w:val="0070C0"/>
        </w:rPr>
        <w:t xml:space="preserve"> raw data figures are added to the Supplemental Information</w:t>
      </w:r>
      <w:r w:rsidR="00D10961" w:rsidRPr="590736D4">
        <w:rPr>
          <w:color w:val="0070C0"/>
        </w:rPr>
        <w:t>:</w:t>
      </w:r>
      <w:r w:rsidR="00926014" w:rsidRPr="590736D4">
        <w:rPr>
          <w:color w:val="0070C0"/>
        </w:rPr>
        <w:t xml:space="preserve"> Fig</w:t>
      </w:r>
      <w:r w:rsidR="00C51BF7" w:rsidRPr="590736D4">
        <w:rPr>
          <w:color w:val="0070C0"/>
        </w:rPr>
        <w:t xml:space="preserve">. S2 showing the raw data </w:t>
      </w:r>
      <w:r w:rsidR="00920F0D" w:rsidRPr="590736D4">
        <w:rPr>
          <w:color w:val="0070C0"/>
        </w:rPr>
        <w:t xml:space="preserve">of </w:t>
      </w:r>
      <w:r w:rsidR="00707EE5" w:rsidRPr="590736D4">
        <w:rPr>
          <w:color w:val="0070C0"/>
        </w:rPr>
        <w:t xml:space="preserve">CPUE and BPUE. </w:t>
      </w:r>
      <w:r w:rsidR="00481616" w:rsidRPr="590736D4">
        <w:rPr>
          <w:color w:val="0070C0"/>
        </w:rPr>
        <w:t>In the discussion the role of complex habitat</w:t>
      </w:r>
      <w:r w:rsidR="00AD54AA" w:rsidRPr="590736D4">
        <w:rPr>
          <w:color w:val="0070C0"/>
        </w:rPr>
        <w:t>s has been extended to be more relevant for the theme of the special issue.</w:t>
      </w:r>
      <w:r w:rsidR="00222C5D">
        <w:rPr>
          <w:color w:val="0070C0"/>
        </w:rPr>
        <w:t xml:space="preserve"> </w:t>
      </w:r>
      <w:r w:rsidR="00ED0C8A" w:rsidRPr="590736D4">
        <w:rPr>
          <w:color w:val="0070C0"/>
        </w:rPr>
        <w:t xml:space="preserve">Which now reads (lines </w:t>
      </w:r>
      <w:r w:rsidR="00C2693D">
        <w:rPr>
          <w:color w:val="0070C0"/>
        </w:rPr>
        <w:t>466</w:t>
      </w:r>
      <w:r w:rsidR="00ED0C8A" w:rsidRPr="590736D4">
        <w:rPr>
          <w:color w:val="0070C0"/>
        </w:rPr>
        <w:t>-</w:t>
      </w:r>
      <w:r w:rsidR="00F536C9">
        <w:rPr>
          <w:color w:val="0070C0"/>
        </w:rPr>
        <w:t>473</w:t>
      </w:r>
      <w:r w:rsidR="00ED0C8A" w:rsidRPr="590736D4">
        <w:rPr>
          <w:color w:val="0070C0"/>
        </w:rPr>
        <w:t>): “</w:t>
      </w:r>
      <w:r w:rsidR="00DF6C81" w:rsidRPr="00DF6C81">
        <w:rPr>
          <w:color w:val="0070C0"/>
        </w:rPr>
        <w:t>This study contributes to understanding of how habitat complexity structures</w:t>
      </w:r>
      <w:r w:rsidR="0070446D">
        <w:rPr>
          <w:color w:val="0070C0"/>
        </w:rPr>
        <w:t xml:space="preserve"> influence</w:t>
      </w:r>
      <w:r w:rsidR="00DF6C81" w:rsidRPr="00DF6C81">
        <w:rPr>
          <w:color w:val="0070C0"/>
        </w:rPr>
        <w:t xml:space="preserve"> freshwater crayfish populations and demonstrates that not all forms of structural complexity equally support biodiversity. Different forms of structural complexity likely support different species and ecological functions, meaning that maintaining diversity of habitat types within the littoral zone is important for broader biodiversity conservation (</w:t>
      </w:r>
      <w:proofErr w:type="spellStart"/>
      <w:r w:rsidR="00DF6C81" w:rsidRPr="00DF6C81">
        <w:rPr>
          <w:color w:val="0070C0"/>
        </w:rPr>
        <w:t>Meerhoff</w:t>
      </w:r>
      <w:proofErr w:type="spellEnd"/>
      <w:r w:rsidR="00DF6C81" w:rsidRPr="00DF6C81">
        <w:rPr>
          <w:color w:val="0070C0"/>
        </w:rPr>
        <w:t xml:space="preserve"> &amp; de </w:t>
      </w:r>
      <w:proofErr w:type="spellStart"/>
      <w:r w:rsidR="00DF6C81" w:rsidRPr="00DF6C81">
        <w:rPr>
          <w:color w:val="0070C0"/>
        </w:rPr>
        <w:t>los</w:t>
      </w:r>
      <w:proofErr w:type="spellEnd"/>
      <w:r w:rsidR="00DF6C81" w:rsidRPr="00DF6C81">
        <w:rPr>
          <w:color w:val="0070C0"/>
        </w:rPr>
        <w:t xml:space="preserve"> Ángeles González-Sagrario, 2022). As shoreline modification, sedimentation, and invasive macrophyte expansion continue to reduce variation and structural diversity in littoral habitats, understanding which components of habitat complexity are functionally important for target species becomes critical for effective restoration planning.</w:t>
      </w:r>
      <w:r w:rsidR="00ED0C8A">
        <w:rPr>
          <w:color w:val="0070C0"/>
        </w:rPr>
        <w:t>”</w:t>
      </w:r>
    </w:p>
    <w:p w14:paraId="4D3A6D9A" w14:textId="19069DFD" w:rsidR="00AB1399" w:rsidRPr="00AB1399" w:rsidRDefault="00AB1399" w:rsidP="00AB1399">
      <w:pPr>
        <w:rPr>
          <w:b/>
          <w:bCs/>
        </w:rPr>
      </w:pPr>
      <w:r w:rsidRPr="00671C03">
        <w:rPr>
          <w:b/>
          <w:bCs/>
          <w:sz w:val="24"/>
          <w:szCs w:val="24"/>
        </w:rPr>
        <w:t xml:space="preserve">Reviewer #1: </w:t>
      </w:r>
      <w:r w:rsidRPr="00AB1399">
        <w:rPr>
          <w:b/>
          <w:bCs/>
        </w:rPr>
        <w:t>Summary:</w:t>
      </w:r>
    </w:p>
    <w:p w14:paraId="6556F7D6" w14:textId="77777777" w:rsidR="00AB1399" w:rsidRPr="00AB1399" w:rsidRDefault="00AB1399" w:rsidP="00AB1399">
      <w:r w:rsidRPr="00AB1399">
        <w:t xml:space="preserve">In this manuscript, the authors investigated the habitat characteristics that may be driving factors for Paranephrops planifrons (kōura) occurrence, biomass, and abundance. I found this to be a very thorough and interesting study. Crayfish are a very understudied group yet are critical to healthy habitats. Their findings supported their initial hypothesis that habitat complexity would be a key factor in kōura presence. Specifically, habitat complexity and summer temperatures are critical factors for kōura which highlights the importance of the conditions of the littoral habitat of these lakes. The authors' findings can be used to better understand what management actions should be taken to better protect these vulnerable species. It is my opinion that this paper should be accepted with few minor revisions. </w:t>
      </w:r>
    </w:p>
    <w:p w14:paraId="35AB8046" w14:textId="2DE7A7BC" w:rsidR="00AB1399" w:rsidRPr="00AB1399" w:rsidRDefault="00AB1399" w:rsidP="00AB1399">
      <w:pPr>
        <w:rPr>
          <w:b/>
          <w:bCs/>
        </w:rPr>
      </w:pPr>
      <w:r w:rsidRPr="00AB1399">
        <w:rPr>
          <w:b/>
          <w:bCs/>
        </w:rPr>
        <w:t>Overall Comments:</w:t>
      </w:r>
    </w:p>
    <w:p w14:paraId="294D3321" w14:textId="6ED1991B" w:rsidR="00AB1399" w:rsidRPr="00AB1399" w:rsidRDefault="00AB1399" w:rsidP="00AB1399">
      <w:r w:rsidRPr="00AB1399">
        <w:t>Overall, this was a very well-written paper. Their methods seem thoroughly thought out, and their conclusion well supported by their data and previous research.</w:t>
      </w:r>
    </w:p>
    <w:p w14:paraId="32A0B41F" w14:textId="2B1AB34F" w:rsidR="00AB1399" w:rsidRPr="00AB1399" w:rsidRDefault="00AB1399" w:rsidP="00AB1399">
      <w:pPr>
        <w:rPr>
          <w:b/>
          <w:bCs/>
        </w:rPr>
      </w:pPr>
      <w:r w:rsidRPr="00AB1399">
        <w:rPr>
          <w:b/>
          <w:bCs/>
        </w:rPr>
        <w:t>Specific Comments:</w:t>
      </w:r>
    </w:p>
    <w:p w14:paraId="10E68CE1" w14:textId="044CF5DD" w:rsidR="00AB1399" w:rsidRDefault="00AB1399" w:rsidP="00AB1399">
      <w:r w:rsidRPr="00AB1399">
        <w:lastRenderedPageBreak/>
        <w:t xml:space="preserve">-On line 72 there is a list of citations "(Usio &amp; Townsend, 73 2000; Parkyn et al., 2009; Parkyn &amp; Collier, 2004; Jowett et al., 2008)". From my understanding, the citations should be in chronological order, so Parkyn et al., 2009 should be at the end of the list.  </w:t>
      </w:r>
    </w:p>
    <w:p w14:paraId="033B28C1" w14:textId="5FE573EE" w:rsidR="00A5549A" w:rsidRPr="00E47D18" w:rsidRDefault="00A5549A" w:rsidP="00AB1399">
      <w:pPr>
        <w:rPr>
          <w:color w:val="0070C0"/>
        </w:rPr>
      </w:pPr>
      <w:r w:rsidRPr="00E47D18">
        <w:rPr>
          <w:color w:val="0070C0"/>
        </w:rPr>
        <w:t>Response: Updated the order of citations</w:t>
      </w:r>
      <w:r w:rsidR="009766C1" w:rsidRPr="00E47D18">
        <w:rPr>
          <w:color w:val="0070C0"/>
        </w:rPr>
        <w:t>.</w:t>
      </w:r>
    </w:p>
    <w:p w14:paraId="589991D0" w14:textId="511EB817" w:rsidR="00AB1399" w:rsidRDefault="00AB1399" w:rsidP="00AB1399">
      <w:r w:rsidRPr="00AB1399">
        <w:t>-The sentence starting on line 111 ". Within each habitat type, site locations were generated using..." reads awkwardly. I would suggest rewriting it.</w:t>
      </w:r>
    </w:p>
    <w:p w14:paraId="68F33EB4" w14:textId="194EC67D" w:rsidR="00A5549A" w:rsidRPr="00E47D18" w:rsidRDefault="00A5549A" w:rsidP="590736D4">
      <w:pPr>
        <w:rPr>
          <w:color w:val="0070C0"/>
        </w:rPr>
      </w:pPr>
      <w:r w:rsidRPr="590736D4">
        <w:rPr>
          <w:color w:val="0070C0"/>
        </w:rPr>
        <w:t>Response:</w:t>
      </w:r>
      <w:r w:rsidR="00943D10" w:rsidRPr="590736D4">
        <w:rPr>
          <w:color w:val="0070C0"/>
        </w:rPr>
        <w:t xml:space="preserve"> </w:t>
      </w:r>
      <w:r w:rsidR="77C6EEBB" w:rsidRPr="590736D4">
        <w:rPr>
          <w:color w:val="0070C0"/>
        </w:rPr>
        <w:t xml:space="preserve">We have </w:t>
      </w:r>
      <w:r w:rsidR="27F22C7C" w:rsidRPr="590736D4">
        <w:rPr>
          <w:color w:val="0070C0"/>
        </w:rPr>
        <w:t>rewritten</w:t>
      </w:r>
      <w:r w:rsidR="77C6EEBB" w:rsidRPr="590736D4">
        <w:rPr>
          <w:color w:val="0070C0"/>
        </w:rPr>
        <w:t xml:space="preserve"> this sent</w:t>
      </w:r>
      <w:r w:rsidR="19888DE2" w:rsidRPr="590736D4">
        <w:rPr>
          <w:color w:val="0070C0"/>
        </w:rPr>
        <w:t xml:space="preserve">ence to improve clarity, which now reads (lines </w:t>
      </w:r>
      <w:r w:rsidR="00E83C00">
        <w:rPr>
          <w:color w:val="0070C0"/>
        </w:rPr>
        <w:t>125</w:t>
      </w:r>
      <w:r w:rsidR="19888DE2" w:rsidRPr="590736D4">
        <w:rPr>
          <w:color w:val="0070C0"/>
        </w:rPr>
        <w:t>-</w:t>
      </w:r>
      <w:r w:rsidR="00E83C00">
        <w:rPr>
          <w:color w:val="0070C0"/>
        </w:rPr>
        <w:t>130</w:t>
      </w:r>
      <w:r w:rsidR="19888DE2" w:rsidRPr="590736D4">
        <w:rPr>
          <w:color w:val="0070C0"/>
        </w:rPr>
        <w:t>): “</w:t>
      </w:r>
      <w:r w:rsidR="00F7689A" w:rsidRPr="00F7689A">
        <w:rPr>
          <w:color w:val="0070C0"/>
        </w:rPr>
        <w:t>Within each habitat type, site locations were generated using the Generalized Random Tessellation Stratified (GRTS) design (Stevens &amp; Olsen, 2004) executed using the “spsurvey” package in R (Dumelle et al., 2023; R Core Team, 2025), producing unbiased random coordinates without enforcing fixed spacing between sites. The final coordinates of the 12 random survey sites per lake were extracted directly from the GRTS output (Fig. 1).</w:t>
      </w:r>
      <w:r w:rsidR="19888DE2" w:rsidRPr="590736D4">
        <w:rPr>
          <w:color w:val="0070C0"/>
        </w:rPr>
        <w:t>”</w:t>
      </w:r>
    </w:p>
    <w:p w14:paraId="27E20D96" w14:textId="7C9A22E8" w:rsidR="00AB1399" w:rsidRDefault="00AB1399" w:rsidP="00AB1399">
      <w:r w:rsidRPr="00AB1399">
        <w:t xml:space="preserve">-Change experiences to experience for the sentence starting on line 351 "Lake Rotoiti 352 and Ōkāreka, for example, experiences...". </w:t>
      </w:r>
    </w:p>
    <w:p w14:paraId="7252A0A2" w14:textId="09ECF132" w:rsidR="00A5549A" w:rsidRPr="00E47D18" w:rsidRDefault="00A5549A" w:rsidP="00AB1399">
      <w:pPr>
        <w:rPr>
          <w:color w:val="0070C0"/>
        </w:rPr>
      </w:pPr>
      <w:r w:rsidRPr="00E47D18">
        <w:rPr>
          <w:color w:val="0070C0"/>
        </w:rPr>
        <w:t>Response:</w:t>
      </w:r>
      <w:r w:rsidR="00C72CC4" w:rsidRPr="00E47D18">
        <w:rPr>
          <w:color w:val="0070C0"/>
        </w:rPr>
        <w:t xml:space="preserve"> Spelling has been updated.</w:t>
      </w:r>
    </w:p>
    <w:p w14:paraId="538EA2C2" w14:textId="18448C31" w:rsidR="00AB1399" w:rsidRPr="00AB1399" w:rsidRDefault="00AB1399" w:rsidP="00AB1399">
      <w:r w:rsidRPr="00AB1399">
        <w:t>-In the introduction you have a citation for White, 1842 on line 42 but it is not listed in your reference section.</w:t>
      </w:r>
    </w:p>
    <w:p w14:paraId="2206D7A0" w14:textId="1DD470EF" w:rsidR="00AB1399" w:rsidRPr="00E47D18" w:rsidRDefault="00A5549A" w:rsidP="00AB1399">
      <w:pPr>
        <w:rPr>
          <w:color w:val="0070C0"/>
        </w:rPr>
      </w:pPr>
      <w:r w:rsidRPr="590736D4">
        <w:rPr>
          <w:color w:val="0070C0"/>
        </w:rPr>
        <w:t>Response:</w:t>
      </w:r>
      <w:r w:rsidR="4A647792" w:rsidRPr="590736D4">
        <w:rPr>
          <w:color w:val="0070C0"/>
        </w:rPr>
        <w:t xml:space="preserve"> We have </w:t>
      </w:r>
      <w:r w:rsidR="60DF3DB8" w:rsidRPr="590736D4">
        <w:rPr>
          <w:color w:val="0070C0"/>
        </w:rPr>
        <w:t>r</w:t>
      </w:r>
      <w:r w:rsidRPr="590736D4">
        <w:rPr>
          <w:color w:val="0070C0"/>
        </w:rPr>
        <w:t>emove</w:t>
      </w:r>
      <w:r w:rsidR="778B14BC" w:rsidRPr="590736D4">
        <w:rPr>
          <w:color w:val="0070C0"/>
        </w:rPr>
        <w:t>d</w:t>
      </w:r>
      <w:r w:rsidRPr="590736D4">
        <w:rPr>
          <w:color w:val="0070C0"/>
        </w:rPr>
        <w:t xml:space="preserve"> the parentheses around White, 1842. It is not a reference but taxonomic authority and therefore not in the reference list.</w:t>
      </w:r>
    </w:p>
    <w:p w14:paraId="7B8AE538" w14:textId="77777777" w:rsidR="00AB1399" w:rsidRPr="00AB1399" w:rsidRDefault="00AB1399" w:rsidP="00AB1399"/>
    <w:p w14:paraId="2CE51501" w14:textId="77777777" w:rsidR="00A5549A" w:rsidRPr="00671C03" w:rsidRDefault="00AB1399" w:rsidP="00AB1399">
      <w:pPr>
        <w:rPr>
          <w:sz w:val="24"/>
          <w:szCs w:val="24"/>
        </w:rPr>
      </w:pPr>
      <w:r w:rsidRPr="00671C03">
        <w:rPr>
          <w:b/>
          <w:bCs/>
          <w:sz w:val="24"/>
          <w:szCs w:val="24"/>
        </w:rPr>
        <w:t>Reviewer #2:</w:t>
      </w:r>
    </w:p>
    <w:p w14:paraId="1A889C38" w14:textId="205D0DBF" w:rsidR="00AB1399" w:rsidRPr="00AB1399" w:rsidRDefault="00AB1399" w:rsidP="00AB1399">
      <w:r w:rsidRPr="00AB1399">
        <w:t>This paper sought the environmental associations with presence, abundance, and biomass of kōura using GAMM methods. The justification is that their habitat is declining substantially and is under threat due to climate change and invasive predators.</w:t>
      </w:r>
    </w:p>
    <w:p w14:paraId="27692411" w14:textId="77777777" w:rsidR="00AB1399" w:rsidRPr="00AB1399" w:rsidRDefault="00AB1399" w:rsidP="00AB1399">
      <w:r w:rsidRPr="00AB1399">
        <w:t>This study found that several habitat variables (biotic and abiotic) were associated with these metrics. When these other habitat variables were fitted, and the residual variation was categorized by lake, the effect was not significant, suggesting there was no "lake effect."</w:t>
      </w:r>
    </w:p>
    <w:p w14:paraId="236C99D6" w14:textId="77777777" w:rsidR="00AB1399" w:rsidRDefault="00AB1399" w:rsidP="00AB1399">
      <w:r w:rsidRPr="00AB1399">
        <w:t xml:space="preserve">I think this is a good and sophisticated study. </w:t>
      </w:r>
      <w:r w:rsidRPr="00A91BA4">
        <w:t>The authors interpret "lake effect" as "lake-scale processes," but this is not well explained. They should clarify what they mean by this term. In particular, it would be helpful to note that it is unlikely they overlooked a major factor operating at the scale of entire lakes, because lake identity was not significant once the other variables in the model were accounted for. They explained this in the methods in a way, but they should carry it over to the Discussion.</w:t>
      </w:r>
    </w:p>
    <w:p w14:paraId="1681D5D2" w14:textId="5EA2526D" w:rsidR="0094502C" w:rsidRPr="00E47D18" w:rsidRDefault="0094502C" w:rsidP="00AB1399">
      <w:pPr>
        <w:rPr>
          <w:color w:val="0070C0"/>
        </w:rPr>
      </w:pPr>
      <w:r w:rsidRPr="00E47D18">
        <w:rPr>
          <w:color w:val="0070C0"/>
        </w:rPr>
        <w:t xml:space="preserve">Response: </w:t>
      </w:r>
      <w:r w:rsidR="00AC1174" w:rsidRPr="00E47D18">
        <w:rPr>
          <w:color w:val="0070C0"/>
        </w:rPr>
        <w:t>Explanation of l</w:t>
      </w:r>
      <w:r w:rsidRPr="00E47D18">
        <w:rPr>
          <w:color w:val="0070C0"/>
        </w:rPr>
        <w:t xml:space="preserve">ake effect has been </w:t>
      </w:r>
      <w:r w:rsidR="00AC1174" w:rsidRPr="00E47D18">
        <w:rPr>
          <w:color w:val="0070C0"/>
        </w:rPr>
        <w:t>added to the discussion</w:t>
      </w:r>
      <w:r w:rsidR="00513A57" w:rsidRPr="590736D4">
        <w:rPr>
          <w:color w:val="0070C0"/>
        </w:rPr>
        <w:t xml:space="preserve">, which now reads (lines </w:t>
      </w:r>
      <w:r w:rsidR="00D45054">
        <w:rPr>
          <w:color w:val="0070C0"/>
        </w:rPr>
        <w:t>316</w:t>
      </w:r>
      <w:r w:rsidR="00513A57" w:rsidRPr="590736D4">
        <w:rPr>
          <w:color w:val="0070C0"/>
        </w:rPr>
        <w:t>-</w:t>
      </w:r>
      <w:r w:rsidR="00D45054">
        <w:rPr>
          <w:color w:val="0070C0"/>
        </w:rPr>
        <w:t>324</w:t>
      </w:r>
      <w:r w:rsidR="00513A57" w:rsidRPr="590736D4">
        <w:rPr>
          <w:color w:val="0070C0"/>
        </w:rPr>
        <w:t>): “</w:t>
      </w:r>
      <w:r w:rsidR="006D13E1" w:rsidRPr="006D13E1">
        <w:rPr>
          <w:color w:val="0070C0"/>
        </w:rPr>
        <w:t xml:space="preserve">In the final models, lake identity was retained as a random effect to account for spatial non-independence among sites, but was not statistically significant, indicating that it did not explain additional variation beyond that accounted for by littoral habitat characteristics and fish composition. This finding suggests that major lake-scale processes, are less important determinants of kōura distribution than local, within-lake variation in habitat quality. If lake-scale processes were primary drivers, lake identity would be expected to remain significant even after including local predictors. </w:t>
      </w:r>
      <w:r w:rsidR="006D13E1" w:rsidRPr="006D13E1">
        <w:rPr>
          <w:color w:val="0070C0"/>
        </w:rPr>
        <w:lastRenderedPageBreak/>
        <w:t>That it is not significant shows that the lake differences observed in the initial models reflect underlying variation in local habitat characteristics rather than processes at the scale of entire lakes. As predictors were often correlated at the site scale, the GAMMs are best interpreted as identifying habitat associations rather than mechanistic drivers of kōura distribution.</w:t>
      </w:r>
      <w:r w:rsidR="00513A57">
        <w:rPr>
          <w:color w:val="0070C0"/>
        </w:rPr>
        <w:t>”</w:t>
      </w:r>
    </w:p>
    <w:p w14:paraId="489E30AA" w14:textId="77777777" w:rsidR="00AB1399" w:rsidRPr="00AB1399" w:rsidRDefault="00AB1399" w:rsidP="00AB1399">
      <w:pPr>
        <w:rPr>
          <w:b/>
          <w:bCs/>
        </w:rPr>
      </w:pPr>
      <w:r w:rsidRPr="00AB1399">
        <w:rPr>
          <w:b/>
          <w:bCs/>
        </w:rPr>
        <w:t>Other comments:</w:t>
      </w:r>
    </w:p>
    <w:p w14:paraId="4616D57A" w14:textId="77777777" w:rsidR="00AB1399" w:rsidRDefault="00AB1399" w:rsidP="00AB1399">
      <w:r w:rsidRPr="00AB1399">
        <w:t>Lines 72 - 73: citations are out of order</w:t>
      </w:r>
    </w:p>
    <w:p w14:paraId="39E26C03" w14:textId="13D72CEE" w:rsidR="00A5549A" w:rsidRPr="00E47D18" w:rsidRDefault="00A5549A" w:rsidP="00AB1399">
      <w:pPr>
        <w:rPr>
          <w:color w:val="0070C0"/>
        </w:rPr>
      </w:pPr>
      <w:r w:rsidRPr="00E47D18">
        <w:rPr>
          <w:color w:val="0070C0"/>
        </w:rPr>
        <w:t>Response:</w:t>
      </w:r>
      <w:r w:rsidR="001E66C3" w:rsidRPr="00E47D18">
        <w:rPr>
          <w:color w:val="0070C0"/>
        </w:rPr>
        <w:t xml:space="preserve"> Updated the order of citations.</w:t>
      </w:r>
    </w:p>
    <w:p w14:paraId="649676CE" w14:textId="77777777" w:rsidR="00AB1399" w:rsidRDefault="00AB1399" w:rsidP="00AB1399">
      <w:r w:rsidRPr="00AB1399">
        <w:t>Lines 150 - 151: citations are needed for BPUE and CPUE</w:t>
      </w:r>
    </w:p>
    <w:p w14:paraId="56FC9985" w14:textId="5076E13D" w:rsidR="00A5549A" w:rsidRDefault="00A5549A" w:rsidP="00AB1399">
      <w:pPr>
        <w:rPr>
          <w:color w:val="0070C0"/>
        </w:rPr>
      </w:pPr>
      <w:r w:rsidRPr="00E47D18">
        <w:rPr>
          <w:color w:val="0070C0"/>
        </w:rPr>
        <w:t>Response:</w:t>
      </w:r>
      <w:r w:rsidR="00FC5103" w:rsidRPr="00E47D18">
        <w:rPr>
          <w:color w:val="0070C0"/>
        </w:rPr>
        <w:t xml:space="preserve"> </w:t>
      </w:r>
      <w:r w:rsidR="007350B2" w:rsidRPr="00E47D18">
        <w:rPr>
          <w:color w:val="0070C0"/>
        </w:rPr>
        <w:t>CPUE and BPUE are standard fisheries metrics. We have added a citation to Kusabs et al. (2015b) where these metrics are applied in a kōura context.</w:t>
      </w:r>
    </w:p>
    <w:p w14:paraId="6B83E965" w14:textId="7223A0B6" w:rsidR="00DE0AEE" w:rsidRPr="00E47D18" w:rsidRDefault="00DE0AEE" w:rsidP="00AB1399">
      <w:pPr>
        <w:rPr>
          <w:color w:val="0070C0"/>
        </w:rPr>
      </w:pPr>
      <w:r w:rsidRPr="590736D4">
        <w:rPr>
          <w:color w:val="0070C0"/>
        </w:rPr>
        <w:t xml:space="preserve">Citation: </w:t>
      </w:r>
      <w:r w:rsidR="00E516C7" w:rsidRPr="00E516C7">
        <w:rPr>
          <w:color w:val="0070C0"/>
        </w:rPr>
        <w:t>Kusabs, I. A., Quinn, J. M., &amp; Hamilton, D. P. (2015b). Effects of benthic substrate, nutrient enrichment and predatory fish on freshwater crayfish (kōura, Paranephrops planifrons) population characteristics in seven Te Arawa (Rotorua) lakes, North Island, New Zealand. Marine and Freshwater Research, 66(7), 631. https://doi.org/10.1071/MF14148</w:t>
      </w:r>
    </w:p>
    <w:p w14:paraId="1117B6D5" w14:textId="609A722D" w:rsidR="00AB1399" w:rsidRDefault="00AB1399" w:rsidP="00AB1399">
      <w:r w:rsidRPr="00AB1399">
        <w:t xml:space="preserve">Lines 166 - 167: citations are needed for GLMM and Tweedie GLMM. </w:t>
      </w:r>
      <w:r w:rsidR="00192BDE" w:rsidRPr="00AB1399">
        <w:t>Also,</w:t>
      </w:r>
      <w:r w:rsidRPr="00AB1399">
        <w:t xml:space="preserve"> Tweedie GLMM was mentioned out of the blue and not explained.</w:t>
      </w:r>
    </w:p>
    <w:p w14:paraId="30980728" w14:textId="65A061C7" w:rsidR="00A5549A" w:rsidRPr="00E47D18" w:rsidRDefault="00A5549A" w:rsidP="00AB1399">
      <w:pPr>
        <w:rPr>
          <w:color w:val="0070C0"/>
        </w:rPr>
      </w:pPr>
      <w:r w:rsidRPr="590736D4">
        <w:rPr>
          <w:color w:val="0070C0"/>
        </w:rPr>
        <w:t>Response:</w:t>
      </w:r>
      <w:r w:rsidR="008772D1" w:rsidRPr="590736D4">
        <w:rPr>
          <w:color w:val="0070C0"/>
        </w:rPr>
        <w:t xml:space="preserve"> </w:t>
      </w:r>
      <w:r w:rsidR="00DD2B45" w:rsidRPr="590736D4">
        <w:rPr>
          <w:color w:val="0070C0"/>
        </w:rPr>
        <w:t xml:space="preserve">Citations have been added for GLMM and Tweedie GLMM. </w:t>
      </w:r>
      <w:r w:rsidR="00192BDE" w:rsidRPr="590736D4">
        <w:rPr>
          <w:color w:val="0070C0"/>
        </w:rPr>
        <w:t>Also,</w:t>
      </w:r>
      <w:r w:rsidR="00DD2B45" w:rsidRPr="590736D4">
        <w:rPr>
          <w:color w:val="0070C0"/>
        </w:rPr>
        <w:t xml:space="preserve"> explanation of Tweedie was added</w:t>
      </w:r>
      <w:r w:rsidR="0022342D">
        <w:rPr>
          <w:color w:val="0070C0"/>
        </w:rPr>
        <w:t>, which now reads (</w:t>
      </w:r>
      <w:r w:rsidR="00F337A3">
        <w:rPr>
          <w:color w:val="0070C0"/>
        </w:rPr>
        <w:t xml:space="preserve">lines </w:t>
      </w:r>
      <w:r w:rsidR="001B4659">
        <w:rPr>
          <w:color w:val="0070C0"/>
        </w:rPr>
        <w:t>184</w:t>
      </w:r>
      <w:r w:rsidR="00F337A3">
        <w:rPr>
          <w:color w:val="0070C0"/>
        </w:rPr>
        <w:t>-</w:t>
      </w:r>
      <w:r w:rsidR="001B4659">
        <w:rPr>
          <w:color w:val="0070C0"/>
        </w:rPr>
        <w:t>190</w:t>
      </w:r>
      <w:r w:rsidR="0022342D">
        <w:rPr>
          <w:color w:val="0070C0"/>
        </w:rPr>
        <w:t>)</w:t>
      </w:r>
      <w:r w:rsidR="00F337A3">
        <w:rPr>
          <w:color w:val="0070C0"/>
        </w:rPr>
        <w:t>: “</w:t>
      </w:r>
      <w:r w:rsidR="00F337A3" w:rsidRPr="00F337A3">
        <w:rPr>
          <w:color w:val="0070C0"/>
        </w:rPr>
        <w:t>Kōura presence or absence, CPUE, and BPUE were analysed using mixed-effects models to account for non-independence among sampling sites (Bolker et al., 2009). To test for differences among lakes, kōura presence was modelled using a binomial generalised linear mixed model (GLMM; logit link). CPUE and BPUE were modelled using Tweedie GLMM (log link), which is appropriate for continuous non-negative data with high frequency of zeros, as common in ecological count and biomass data (Shono, 2008). These models were fitted using the glmmTMB package (Brooks et al., 2017), with habitat type included as a random intercept.</w:t>
      </w:r>
      <w:r w:rsidR="00F337A3">
        <w:rPr>
          <w:color w:val="0070C0"/>
        </w:rPr>
        <w:t>”</w:t>
      </w:r>
    </w:p>
    <w:p w14:paraId="2CEAA095" w14:textId="77777777" w:rsidR="00467F9B" w:rsidRPr="00467F9B" w:rsidRDefault="6CACBCF5" w:rsidP="00467F9B">
      <w:pPr>
        <w:rPr>
          <w:color w:val="0070C0"/>
        </w:rPr>
      </w:pPr>
      <w:r w:rsidRPr="590736D4">
        <w:rPr>
          <w:color w:val="0070C0"/>
        </w:rPr>
        <w:t xml:space="preserve">Citations: </w:t>
      </w:r>
      <w:r w:rsidR="00467F9B" w:rsidRPr="00467F9B">
        <w:rPr>
          <w:color w:val="0070C0"/>
        </w:rPr>
        <w:t xml:space="preserve">Bolker, B. M., Brooks, M. E., Clark, C. J., Geange, S. W., Poulsen, J. R., Stevens, M. H. H., &amp; White, J.-S. S. (2009). Generalized linear mixed models: A practical guide for ecology and evolution. </w:t>
      </w:r>
      <w:r w:rsidR="00467F9B" w:rsidRPr="00467F9B">
        <w:rPr>
          <w:i/>
          <w:iCs/>
          <w:color w:val="0070C0"/>
        </w:rPr>
        <w:t>Trends in Ecology &amp; Evolution</w:t>
      </w:r>
      <w:r w:rsidR="00467F9B" w:rsidRPr="00467F9B">
        <w:rPr>
          <w:color w:val="0070C0"/>
        </w:rPr>
        <w:t xml:space="preserve">, </w:t>
      </w:r>
      <w:r w:rsidR="00467F9B" w:rsidRPr="00467F9B">
        <w:rPr>
          <w:i/>
          <w:iCs/>
          <w:color w:val="0070C0"/>
        </w:rPr>
        <w:t>24</w:t>
      </w:r>
      <w:r w:rsidR="00467F9B" w:rsidRPr="00467F9B">
        <w:rPr>
          <w:color w:val="0070C0"/>
        </w:rPr>
        <w:t xml:space="preserve">(3), 127–135. </w:t>
      </w:r>
      <w:hyperlink r:id="rId4" w:history="1">
        <w:r w:rsidR="00467F9B" w:rsidRPr="00467F9B">
          <w:rPr>
            <w:rStyle w:val="Hyperlink"/>
          </w:rPr>
          <w:t>https://doi.org/10.1016/j.tree.2008.10.008</w:t>
        </w:r>
      </w:hyperlink>
    </w:p>
    <w:p w14:paraId="33B98AF0" w14:textId="77777777" w:rsidR="00467F9B" w:rsidRPr="00467F9B" w:rsidRDefault="00467F9B" w:rsidP="00467F9B">
      <w:pPr>
        <w:rPr>
          <w:color w:val="0070C0"/>
        </w:rPr>
      </w:pPr>
      <w:r w:rsidRPr="00467F9B">
        <w:rPr>
          <w:color w:val="0070C0"/>
        </w:rPr>
        <w:t xml:space="preserve">Shono, H. (2008). Application of the Tweedie distribution to zero-catch data in CPUE analysis. </w:t>
      </w:r>
      <w:r w:rsidRPr="00467F9B">
        <w:rPr>
          <w:i/>
          <w:iCs/>
          <w:color w:val="0070C0"/>
        </w:rPr>
        <w:t>Fisheries Research</w:t>
      </w:r>
      <w:r w:rsidRPr="00467F9B">
        <w:rPr>
          <w:color w:val="0070C0"/>
        </w:rPr>
        <w:t xml:space="preserve">, </w:t>
      </w:r>
      <w:r w:rsidRPr="00467F9B">
        <w:rPr>
          <w:i/>
          <w:iCs/>
          <w:color w:val="0070C0"/>
        </w:rPr>
        <w:t>93</w:t>
      </w:r>
      <w:r w:rsidRPr="00467F9B">
        <w:rPr>
          <w:color w:val="0070C0"/>
        </w:rPr>
        <w:t xml:space="preserve">(1–2), 154–162. </w:t>
      </w:r>
      <w:hyperlink r:id="rId5" w:history="1">
        <w:r w:rsidRPr="00467F9B">
          <w:rPr>
            <w:rStyle w:val="Hyperlink"/>
          </w:rPr>
          <w:t>https://doi.org/10.1016/j.fishres.2008.03.006</w:t>
        </w:r>
      </w:hyperlink>
    </w:p>
    <w:p w14:paraId="699DE737" w14:textId="2D87F3E5" w:rsidR="6CACBCF5" w:rsidRDefault="000F0301" w:rsidP="590736D4">
      <w:pPr>
        <w:rPr>
          <w:color w:val="0070C0"/>
        </w:rPr>
      </w:pPr>
      <w:r w:rsidRPr="000F0301">
        <w:rPr>
          <w:color w:val="0070C0"/>
        </w:rPr>
        <w:t xml:space="preserve">Brooks, M., E., Kristensen, K., Benthem, K., J. ,van, Magnusson, A., Berg, C., W., Nielsen, A., Skaug, H., J., Mächler, M., &amp; Bolker, B., M. (2017). glmmTMB Balances Speed and Flexibility Among Packages for Zero-inflated Generalized Linear Mixed Modeling. </w:t>
      </w:r>
      <w:r w:rsidRPr="000F0301">
        <w:rPr>
          <w:i/>
          <w:iCs/>
          <w:color w:val="0070C0"/>
        </w:rPr>
        <w:t>The R Journal</w:t>
      </w:r>
      <w:r w:rsidRPr="000F0301">
        <w:rPr>
          <w:color w:val="0070C0"/>
        </w:rPr>
        <w:t xml:space="preserve">, </w:t>
      </w:r>
      <w:r w:rsidRPr="000F0301">
        <w:rPr>
          <w:i/>
          <w:iCs/>
          <w:color w:val="0070C0"/>
        </w:rPr>
        <w:t>9</w:t>
      </w:r>
      <w:r w:rsidRPr="000F0301">
        <w:rPr>
          <w:color w:val="0070C0"/>
        </w:rPr>
        <w:t xml:space="preserve">(2), 378. </w:t>
      </w:r>
      <w:hyperlink r:id="rId6" w:history="1">
        <w:r w:rsidRPr="000F0301">
          <w:rPr>
            <w:rStyle w:val="Hyperlink"/>
          </w:rPr>
          <w:t>https://doi.org/10.32614/RJ-2017-066</w:t>
        </w:r>
      </w:hyperlink>
    </w:p>
    <w:p w14:paraId="5259DDA4" w14:textId="77777777" w:rsidR="00AB1399" w:rsidRPr="00AB1399" w:rsidRDefault="00AB1399" w:rsidP="00AB1399">
      <w:r w:rsidRPr="00AB1399">
        <w:t>Line 179: citation needed for GAMM with a logit link</w:t>
      </w:r>
    </w:p>
    <w:p w14:paraId="5C98C4F4" w14:textId="13807950" w:rsidR="00AB1399" w:rsidRDefault="00A5549A" w:rsidP="00AB1399">
      <w:pPr>
        <w:rPr>
          <w:color w:val="0070C0"/>
        </w:rPr>
      </w:pPr>
      <w:r w:rsidRPr="00E47D18">
        <w:rPr>
          <w:color w:val="0070C0"/>
        </w:rPr>
        <w:t>Response:</w:t>
      </w:r>
      <w:r w:rsidR="00DD2B45" w:rsidRPr="00E47D18">
        <w:rPr>
          <w:color w:val="0070C0"/>
        </w:rPr>
        <w:t xml:space="preserve"> </w:t>
      </w:r>
      <w:r w:rsidR="001B1BD0" w:rsidRPr="00E47D18">
        <w:rPr>
          <w:color w:val="0070C0"/>
        </w:rPr>
        <w:t>Citation has been added</w:t>
      </w:r>
      <w:r w:rsidR="00C80F3D" w:rsidRPr="00E47D18">
        <w:rPr>
          <w:color w:val="0070C0"/>
        </w:rPr>
        <w:t>.</w:t>
      </w:r>
    </w:p>
    <w:p w14:paraId="0858AC1A" w14:textId="77777777" w:rsidR="0028186A" w:rsidRPr="0028186A" w:rsidRDefault="00DE0AEE" w:rsidP="0028186A">
      <w:pPr>
        <w:rPr>
          <w:color w:val="0070C0"/>
        </w:rPr>
      </w:pPr>
      <w:r w:rsidRPr="590736D4">
        <w:rPr>
          <w:color w:val="0070C0"/>
        </w:rPr>
        <w:t xml:space="preserve">Citations: </w:t>
      </w:r>
      <w:r w:rsidR="0028186A" w:rsidRPr="0028186A">
        <w:rPr>
          <w:color w:val="0070C0"/>
        </w:rPr>
        <w:t xml:space="preserve">Zuur, A. F., </w:t>
      </w:r>
      <w:proofErr w:type="spellStart"/>
      <w:r w:rsidR="0028186A" w:rsidRPr="0028186A">
        <w:rPr>
          <w:color w:val="0070C0"/>
        </w:rPr>
        <w:t>Ieno</w:t>
      </w:r>
      <w:proofErr w:type="spellEnd"/>
      <w:r w:rsidR="0028186A" w:rsidRPr="0028186A">
        <w:rPr>
          <w:color w:val="0070C0"/>
        </w:rPr>
        <w:t xml:space="preserve">, E. N., Walker, N., Saveliev, A. A., &amp; Smith, G. M. (2009). </w:t>
      </w:r>
      <w:r w:rsidR="0028186A" w:rsidRPr="0028186A">
        <w:rPr>
          <w:i/>
          <w:iCs/>
          <w:color w:val="0070C0"/>
        </w:rPr>
        <w:t>Mixed effects models and extensions in ecology with R</w:t>
      </w:r>
      <w:r w:rsidR="0028186A" w:rsidRPr="0028186A">
        <w:rPr>
          <w:color w:val="0070C0"/>
        </w:rPr>
        <w:t xml:space="preserve">. Springer. </w:t>
      </w:r>
      <w:hyperlink r:id="rId7" w:history="1">
        <w:r w:rsidR="0028186A" w:rsidRPr="0028186A">
          <w:rPr>
            <w:rStyle w:val="Hyperlink"/>
          </w:rPr>
          <w:t>https://doi.org/10.1007/978-0-387-87458-6</w:t>
        </w:r>
      </w:hyperlink>
    </w:p>
    <w:p w14:paraId="1C21DF0A" w14:textId="1281BE70" w:rsidR="00DE0AEE" w:rsidRPr="00E47D18" w:rsidRDefault="0028186A" w:rsidP="00AB1399">
      <w:pPr>
        <w:rPr>
          <w:color w:val="0070C0"/>
        </w:rPr>
      </w:pPr>
      <w:r w:rsidRPr="0028186A">
        <w:rPr>
          <w:color w:val="0070C0"/>
        </w:rPr>
        <w:t xml:space="preserve">Wood, S. N. (2017). </w:t>
      </w:r>
      <w:r w:rsidRPr="0028186A">
        <w:rPr>
          <w:i/>
          <w:iCs/>
          <w:color w:val="0070C0"/>
        </w:rPr>
        <w:t>Generalized Additive Models: An Introduction with R, Second Edition</w:t>
      </w:r>
      <w:r w:rsidRPr="0028186A">
        <w:rPr>
          <w:color w:val="0070C0"/>
        </w:rPr>
        <w:t xml:space="preserve"> (2nd ed.). Chapman and Hall/CRC. </w:t>
      </w:r>
      <w:hyperlink r:id="rId8" w:history="1">
        <w:r w:rsidRPr="0028186A">
          <w:rPr>
            <w:rStyle w:val="Hyperlink"/>
          </w:rPr>
          <w:t>https://doi.org/10.1201/9781315370279</w:t>
        </w:r>
      </w:hyperlink>
    </w:p>
    <w:p w14:paraId="6BC89F74" w14:textId="77777777" w:rsidR="00AB1399" w:rsidRPr="00AB1399" w:rsidRDefault="00AB1399" w:rsidP="00AB1399">
      <w:r w:rsidRPr="00AB1399">
        <w:lastRenderedPageBreak/>
        <w:t>Line 198: citation needed.</w:t>
      </w:r>
    </w:p>
    <w:p w14:paraId="0A9A04AE" w14:textId="348D17A1" w:rsidR="00AB1399" w:rsidRDefault="00A5549A" w:rsidP="00AB1399">
      <w:pPr>
        <w:rPr>
          <w:color w:val="0070C0"/>
        </w:rPr>
      </w:pPr>
      <w:r w:rsidRPr="00E47D18">
        <w:rPr>
          <w:color w:val="0070C0"/>
        </w:rPr>
        <w:t>Response:</w:t>
      </w:r>
      <w:r w:rsidR="009C0D07" w:rsidRPr="00E47D18">
        <w:rPr>
          <w:color w:val="0070C0"/>
        </w:rPr>
        <w:t xml:space="preserve"> </w:t>
      </w:r>
      <w:r w:rsidR="00B72287" w:rsidRPr="00E47D18">
        <w:rPr>
          <w:color w:val="0070C0"/>
        </w:rPr>
        <w:t>Citation ha</w:t>
      </w:r>
      <w:r w:rsidR="009B3567" w:rsidRPr="00E47D18">
        <w:rPr>
          <w:color w:val="0070C0"/>
        </w:rPr>
        <w:t>s</w:t>
      </w:r>
      <w:r w:rsidR="00B72287" w:rsidRPr="00E47D18">
        <w:rPr>
          <w:color w:val="0070C0"/>
        </w:rPr>
        <w:t xml:space="preserve"> been added</w:t>
      </w:r>
      <w:r w:rsidR="00C80F3D" w:rsidRPr="00E47D18">
        <w:rPr>
          <w:color w:val="0070C0"/>
        </w:rPr>
        <w:t>.</w:t>
      </w:r>
    </w:p>
    <w:p w14:paraId="5E4A873C" w14:textId="70F7E131" w:rsidR="00DE0AEE" w:rsidRPr="00DE0AEE" w:rsidRDefault="00DE0AEE" w:rsidP="00AB1399">
      <w:pPr>
        <w:rPr>
          <w:color w:val="0070C0"/>
        </w:rPr>
      </w:pPr>
      <w:r w:rsidRPr="590736D4">
        <w:rPr>
          <w:color w:val="0070C0"/>
        </w:rPr>
        <w:t xml:space="preserve">Citations: </w:t>
      </w:r>
      <w:r w:rsidR="00513368" w:rsidRPr="0028186A">
        <w:rPr>
          <w:color w:val="0070C0"/>
        </w:rPr>
        <w:t xml:space="preserve">Zuur, A. F., </w:t>
      </w:r>
      <w:proofErr w:type="spellStart"/>
      <w:r w:rsidR="00513368" w:rsidRPr="0028186A">
        <w:rPr>
          <w:color w:val="0070C0"/>
        </w:rPr>
        <w:t>Ieno</w:t>
      </w:r>
      <w:proofErr w:type="spellEnd"/>
      <w:r w:rsidR="00513368" w:rsidRPr="0028186A">
        <w:rPr>
          <w:color w:val="0070C0"/>
        </w:rPr>
        <w:t xml:space="preserve">, E. N., Walker, N., Saveliev, A. A., &amp; Smith, G. M. (2009). </w:t>
      </w:r>
      <w:r w:rsidR="00513368" w:rsidRPr="0028186A">
        <w:rPr>
          <w:i/>
          <w:iCs/>
          <w:color w:val="0070C0"/>
        </w:rPr>
        <w:t>Mixed effects models and extensions in ecology with R</w:t>
      </w:r>
      <w:r w:rsidR="00513368" w:rsidRPr="0028186A">
        <w:rPr>
          <w:color w:val="0070C0"/>
        </w:rPr>
        <w:t xml:space="preserve">. Springer. </w:t>
      </w:r>
      <w:hyperlink r:id="rId9" w:history="1">
        <w:r w:rsidR="00513368" w:rsidRPr="0028186A">
          <w:rPr>
            <w:rStyle w:val="Hyperlink"/>
          </w:rPr>
          <w:t>https://doi.org/10.1007/978-0-387-87458-6</w:t>
        </w:r>
      </w:hyperlink>
    </w:p>
    <w:p w14:paraId="51B22B1A" w14:textId="77777777" w:rsidR="00AB1399" w:rsidRPr="00AB1399" w:rsidRDefault="00AB1399" w:rsidP="00AB1399">
      <w:r w:rsidRPr="00AB1399">
        <w:t>Lines 199 - 202: citations and explanations/descriptions needed for each metric. Why are you measuring these things, i.e., what do they tell you? Be specific about each one.</w:t>
      </w:r>
    </w:p>
    <w:p w14:paraId="3B2C5E82" w14:textId="22E1A603" w:rsidR="00AB1399" w:rsidRDefault="00A5549A" w:rsidP="00AB1399">
      <w:pPr>
        <w:rPr>
          <w:color w:val="0070C0"/>
        </w:rPr>
      </w:pPr>
      <w:r w:rsidRPr="00E47D18">
        <w:rPr>
          <w:color w:val="0070C0"/>
        </w:rPr>
        <w:t>Response:</w:t>
      </w:r>
      <w:r w:rsidR="00C972FC" w:rsidRPr="00E47D18">
        <w:rPr>
          <w:color w:val="0070C0"/>
        </w:rPr>
        <w:t xml:space="preserve"> </w:t>
      </w:r>
      <w:r w:rsidR="009973EC" w:rsidRPr="00E47D18">
        <w:rPr>
          <w:color w:val="0070C0"/>
        </w:rPr>
        <w:t>E</w:t>
      </w:r>
      <w:r w:rsidR="00C972FC" w:rsidRPr="00E47D18">
        <w:rPr>
          <w:color w:val="0070C0"/>
        </w:rPr>
        <w:t xml:space="preserve">xplanation and </w:t>
      </w:r>
      <w:r w:rsidR="009973EC" w:rsidRPr="00E47D18">
        <w:rPr>
          <w:color w:val="0070C0"/>
        </w:rPr>
        <w:t>citations for each matric have been added</w:t>
      </w:r>
      <w:r w:rsidR="006E31DE" w:rsidRPr="590736D4">
        <w:rPr>
          <w:color w:val="0070C0"/>
        </w:rPr>
        <w:t xml:space="preserve">, which now reads (lines </w:t>
      </w:r>
      <w:r w:rsidR="005424CC">
        <w:rPr>
          <w:color w:val="0070C0"/>
        </w:rPr>
        <w:t>226</w:t>
      </w:r>
      <w:r w:rsidR="006E31DE" w:rsidRPr="590736D4">
        <w:rPr>
          <w:color w:val="0070C0"/>
        </w:rPr>
        <w:t>-</w:t>
      </w:r>
      <w:r w:rsidR="005424CC">
        <w:rPr>
          <w:color w:val="0070C0"/>
        </w:rPr>
        <w:t>237</w:t>
      </w:r>
      <w:r w:rsidR="006E31DE" w:rsidRPr="590736D4">
        <w:rPr>
          <w:color w:val="0070C0"/>
        </w:rPr>
        <w:t>): “</w:t>
      </w:r>
      <w:r w:rsidR="00870946" w:rsidRPr="00870946">
        <w:rPr>
          <w:color w:val="0070C0"/>
        </w:rPr>
        <w:t>Model diagnostics were performed to evaluate model fit and assumptions. Residuals were inspected to assess homogeneity of variance and normality (Zuur et al., 2009). Concurvity, the degree to which smooth terms can be approximated by other smooths in the model, was assessed to identify potential instability in smooth term estimates (Wood, 2017). Basis dimension checks using effective degrees of freedom (edf) were performed to ensure smoothing terms had sufficient flexibility to capture underlying patterns without overfitting (Zuur et al., 2009). For binomial components, model discrimination was evaluated using Receiver Operating Characteristic and Area Under the Curve (ROC/AUC), where values approaching 1 indicate perfect discrimination between presences and absences (Fielding &amp; Bell, 1997). For positive-only abundance models, predicted versus observed values were compared to assess how well the model reproduces observed CPUE and BPUE values across the range of the data.</w:t>
      </w:r>
      <w:r w:rsidR="00870946">
        <w:rPr>
          <w:color w:val="0070C0"/>
        </w:rPr>
        <w:t>”</w:t>
      </w:r>
    </w:p>
    <w:p w14:paraId="451CA473" w14:textId="77777777" w:rsidR="00870946" w:rsidRPr="0028186A" w:rsidRDefault="00274C8F" w:rsidP="00870946">
      <w:pPr>
        <w:rPr>
          <w:color w:val="0070C0"/>
        </w:rPr>
      </w:pPr>
      <w:r w:rsidRPr="590736D4">
        <w:rPr>
          <w:color w:val="0070C0"/>
        </w:rPr>
        <w:t xml:space="preserve">Citations: </w:t>
      </w:r>
      <w:r w:rsidR="00870946" w:rsidRPr="0028186A">
        <w:rPr>
          <w:color w:val="0070C0"/>
        </w:rPr>
        <w:t xml:space="preserve">Zuur, A. F., </w:t>
      </w:r>
      <w:proofErr w:type="spellStart"/>
      <w:r w:rsidR="00870946" w:rsidRPr="0028186A">
        <w:rPr>
          <w:color w:val="0070C0"/>
        </w:rPr>
        <w:t>Ieno</w:t>
      </w:r>
      <w:proofErr w:type="spellEnd"/>
      <w:r w:rsidR="00870946" w:rsidRPr="0028186A">
        <w:rPr>
          <w:color w:val="0070C0"/>
        </w:rPr>
        <w:t xml:space="preserve">, E. N., Walker, N., Saveliev, A. A., &amp; Smith, G. M. (2009). </w:t>
      </w:r>
      <w:r w:rsidR="00870946" w:rsidRPr="0028186A">
        <w:rPr>
          <w:i/>
          <w:iCs/>
          <w:color w:val="0070C0"/>
        </w:rPr>
        <w:t>Mixed effects models and extensions in ecology with R</w:t>
      </w:r>
      <w:r w:rsidR="00870946" w:rsidRPr="0028186A">
        <w:rPr>
          <w:color w:val="0070C0"/>
        </w:rPr>
        <w:t xml:space="preserve">. Springer. </w:t>
      </w:r>
      <w:hyperlink r:id="rId10" w:history="1">
        <w:r w:rsidR="00870946" w:rsidRPr="0028186A">
          <w:rPr>
            <w:rStyle w:val="Hyperlink"/>
          </w:rPr>
          <w:t>https://doi.org/10.1007/978-0-387-87458-6</w:t>
        </w:r>
      </w:hyperlink>
    </w:p>
    <w:p w14:paraId="76DDA591" w14:textId="77777777" w:rsidR="00870946" w:rsidRPr="00E47D18" w:rsidRDefault="00870946" w:rsidP="00870946">
      <w:pPr>
        <w:rPr>
          <w:color w:val="0070C0"/>
        </w:rPr>
      </w:pPr>
      <w:r w:rsidRPr="0028186A">
        <w:rPr>
          <w:color w:val="0070C0"/>
        </w:rPr>
        <w:t xml:space="preserve">Wood, S. N. (2017). </w:t>
      </w:r>
      <w:r w:rsidRPr="0028186A">
        <w:rPr>
          <w:i/>
          <w:iCs/>
          <w:color w:val="0070C0"/>
        </w:rPr>
        <w:t>Generalized Additive Models: An Introduction with R, Second Edition</w:t>
      </w:r>
      <w:r w:rsidRPr="0028186A">
        <w:rPr>
          <w:color w:val="0070C0"/>
        </w:rPr>
        <w:t xml:space="preserve"> (2nd ed.). Chapman and Hall/CRC. </w:t>
      </w:r>
      <w:hyperlink r:id="rId11" w:history="1">
        <w:r w:rsidRPr="0028186A">
          <w:rPr>
            <w:rStyle w:val="Hyperlink"/>
          </w:rPr>
          <w:t>https://doi.org/10.1201/9781315370279</w:t>
        </w:r>
      </w:hyperlink>
    </w:p>
    <w:p w14:paraId="53A9CC67" w14:textId="7E858E83" w:rsidR="00274C8F" w:rsidRPr="00274C8F" w:rsidRDefault="00DA4C01" w:rsidP="00AB1399">
      <w:pPr>
        <w:rPr>
          <w:color w:val="0070C0"/>
        </w:rPr>
      </w:pPr>
      <w:r w:rsidRPr="00DA4C01">
        <w:rPr>
          <w:color w:val="0070C0"/>
        </w:rPr>
        <w:t xml:space="preserve">Fielding, A. H., &amp; Bell, J. F. (1997). A review of methods for the assessment of prediction errors in conservation presence/absence models. </w:t>
      </w:r>
      <w:r w:rsidRPr="00DA4C01">
        <w:rPr>
          <w:i/>
          <w:iCs/>
          <w:color w:val="0070C0"/>
        </w:rPr>
        <w:t>Environmental Conservation</w:t>
      </w:r>
      <w:r w:rsidRPr="00DA4C01">
        <w:rPr>
          <w:color w:val="0070C0"/>
        </w:rPr>
        <w:t xml:space="preserve">, </w:t>
      </w:r>
      <w:r w:rsidRPr="00DA4C01">
        <w:rPr>
          <w:i/>
          <w:iCs/>
          <w:color w:val="0070C0"/>
        </w:rPr>
        <w:t>24</w:t>
      </w:r>
      <w:r w:rsidRPr="00DA4C01">
        <w:rPr>
          <w:color w:val="0070C0"/>
        </w:rPr>
        <w:t xml:space="preserve">(1), 38–49. </w:t>
      </w:r>
      <w:hyperlink r:id="rId12" w:history="1">
        <w:r w:rsidRPr="00DA4C01">
          <w:rPr>
            <w:rStyle w:val="Hyperlink"/>
          </w:rPr>
          <w:t>https://doi.org/10.1017/S0376892997000088</w:t>
        </w:r>
      </w:hyperlink>
    </w:p>
    <w:p w14:paraId="303287CE" w14:textId="1C19C984" w:rsidR="00AB1399" w:rsidRPr="00AB1399" w:rsidRDefault="00AB1399" w:rsidP="00AB1399">
      <w:r w:rsidRPr="00AB1399">
        <w:t xml:space="preserve">Lines 226, 230, and 243: describe smoother terms in the </w:t>
      </w:r>
      <w:r w:rsidR="00C22481" w:rsidRPr="00AB1399">
        <w:t>Materials</w:t>
      </w:r>
      <w:r w:rsidRPr="00AB1399">
        <w:t xml:space="preserve"> and Methods. This term is used in the results out of thin air with no explanation.</w:t>
      </w:r>
    </w:p>
    <w:p w14:paraId="1D90B6DD" w14:textId="261A931B" w:rsidR="00AB1399" w:rsidRDefault="00A5549A" w:rsidP="00AB1399">
      <w:pPr>
        <w:rPr>
          <w:color w:val="0070C0"/>
        </w:rPr>
      </w:pPr>
      <w:r w:rsidRPr="590736D4">
        <w:rPr>
          <w:color w:val="0070C0"/>
        </w:rPr>
        <w:t>Response:</w:t>
      </w:r>
      <w:r w:rsidR="00257A24" w:rsidRPr="590736D4">
        <w:rPr>
          <w:color w:val="0070C0"/>
        </w:rPr>
        <w:t xml:space="preserve"> Smoother terms explanation has been added to the Materials and methods</w:t>
      </w:r>
      <w:r w:rsidR="4BBAF9E9" w:rsidRPr="590736D4">
        <w:rPr>
          <w:color w:val="0070C0"/>
        </w:rPr>
        <w:t xml:space="preserve"> and reads (lines </w:t>
      </w:r>
      <w:r w:rsidR="00F3286E">
        <w:rPr>
          <w:color w:val="0070C0"/>
        </w:rPr>
        <w:t>210</w:t>
      </w:r>
      <w:r w:rsidR="6B55461D" w:rsidRPr="590736D4">
        <w:rPr>
          <w:color w:val="0070C0"/>
        </w:rPr>
        <w:t>-</w:t>
      </w:r>
      <w:r w:rsidR="00F3286E">
        <w:rPr>
          <w:color w:val="0070C0"/>
        </w:rPr>
        <w:t>216</w:t>
      </w:r>
      <w:r w:rsidR="6B55461D" w:rsidRPr="590736D4">
        <w:rPr>
          <w:color w:val="0070C0"/>
        </w:rPr>
        <w:t>): “</w:t>
      </w:r>
      <w:r w:rsidR="008F0FA2" w:rsidRPr="008F0FA2">
        <w:rPr>
          <w:color w:val="0070C0"/>
        </w:rPr>
        <w:t>Continuous predictors were centred and standardised prior to modelling to improve convergence and facilitate comparison of effect sizes, and were modelled as smooth terms using thin plate regression splines (bs = '</w:t>
      </w:r>
      <w:proofErr w:type="spellStart"/>
      <w:r w:rsidR="008F0FA2" w:rsidRPr="008F0FA2">
        <w:rPr>
          <w:color w:val="0070C0"/>
        </w:rPr>
        <w:t>ts'</w:t>
      </w:r>
      <w:proofErr w:type="spellEnd"/>
      <w:r w:rsidR="008F0FA2" w:rsidRPr="008F0FA2">
        <w:rPr>
          <w:color w:val="0070C0"/>
        </w:rPr>
        <w:t>), which apply additional shrinkage to penalise overly complex relationships and can shrink smooth terms fully to zero during selection (Wood, 2017). Basis dimensions (k) were set based on the number of unique values per predictor and adjusted where necessary to balance flexibility and parsimony. Binary predictors (fish presence variables) were included as parametric terms.</w:t>
      </w:r>
      <w:r w:rsidR="6B55461D" w:rsidRPr="590736D4">
        <w:rPr>
          <w:color w:val="0070C0"/>
        </w:rPr>
        <w:t>”</w:t>
      </w:r>
    </w:p>
    <w:p w14:paraId="53C40BA2" w14:textId="77777777" w:rsidR="00AB1399" w:rsidRPr="00AB1399" w:rsidRDefault="00AB1399" w:rsidP="00AB1399">
      <w:r w:rsidRPr="00AB1399">
        <w:t>Lines 332-341: Consider incorporating a discussion of Levin (1992) (</w:t>
      </w:r>
      <w:hyperlink r:id="rId13" w:history="1">
        <w:r w:rsidRPr="00AB1399">
          <w:rPr>
            <w:rStyle w:val="Hyperlink"/>
          </w:rPr>
          <w:t>https://www.columbia.edu/cu/e3bgrads/JC/Levin_1992_Ecology.pdf</w:t>
        </w:r>
      </w:hyperlink>
      <w:r w:rsidRPr="00AB1399">
        <w:t xml:space="preserve">). Ecological relationships are often scale-dependent, such that a positive association observed at one spatial scale may become negative at another. For example, catfish and crayfish might both be associated with the same general habitat type when compared across different habitats. However, if the analysis were restricted to that habitat type alone, a negative association might emerge if the catfish are actively preying on the crayfish. This could be tested relatively easily by conducting a more focused analysis </w:t>
      </w:r>
      <w:r w:rsidRPr="00AB1399">
        <w:lastRenderedPageBreak/>
        <w:t>within the relevant habitat type. If the observed pattern is primarily a consequence of scale, restricting the habitat type of the analysis should help reveal it. I think you should try this.</w:t>
      </w:r>
    </w:p>
    <w:p w14:paraId="22FF2D68" w14:textId="312473F1" w:rsidR="00AB1399" w:rsidRPr="00E47D18" w:rsidRDefault="00A5549A" w:rsidP="00AB1399">
      <w:pPr>
        <w:rPr>
          <w:color w:val="0070C0"/>
        </w:rPr>
      </w:pPr>
      <w:r w:rsidRPr="78E0E89C">
        <w:rPr>
          <w:color w:val="0070C0"/>
        </w:rPr>
        <w:t>Response:</w:t>
      </w:r>
      <w:r w:rsidR="000F233E" w:rsidRPr="78E0E89C">
        <w:rPr>
          <w:rFonts w:ascii="Segoe UI" w:hAnsi="Segoe UI" w:cs="Segoe UI"/>
          <w:color w:val="0070C0"/>
          <w:sz w:val="18"/>
          <w:szCs w:val="18"/>
        </w:rPr>
        <w:t xml:space="preserve"> </w:t>
      </w:r>
      <w:r w:rsidR="000F233E" w:rsidRPr="78E0E89C">
        <w:rPr>
          <w:color w:val="0070C0"/>
        </w:rPr>
        <w:t xml:space="preserve">Catfish were found in all four habitat types and as there were only 6 sites with catfish a within habitat analysis </w:t>
      </w:r>
      <w:r w:rsidR="00F203D2" w:rsidRPr="00F203D2">
        <w:rPr>
          <w:color w:val="0070C0"/>
        </w:rPr>
        <w:t>would not have enough power to detect an effect even if it were there</w:t>
      </w:r>
      <w:r w:rsidR="000F233E" w:rsidRPr="78E0E89C">
        <w:rPr>
          <w:color w:val="0070C0"/>
        </w:rPr>
        <w:t>. But we looked at site level and lake level effects, and these have been added to better understand the association between kōura and catfish.</w:t>
      </w:r>
      <w:r w:rsidR="00542F2C" w:rsidRPr="78E0E89C">
        <w:rPr>
          <w:color w:val="0070C0"/>
        </w:rPr>
        <w:t xml:space="preserve"> Which now reads (lines </w:t>
      </w:r>
      <w:r w:rsidR="001E68F3">
        <w:rPr>
          <w:color w:val="0070C0"/>
        </w:rPr>
        <w:t>403</w:t>
      </w:r>
      <w:r w:rsidR="00542F2C" w:rsidRPr="78E0E89C">
        <w:rPr>
          <w:color w:val="0070C0"/>
        </w:rPr>
        <w:t>-</w:t>
      </w:r>
      <w:r w:rsidR="001E68F3">
        <w:rPr>
          <w:color w:val="0070C0"/>
        </w:rPr>
        <w:t>421</w:t>
      </w:r>
      <w:r w:rsidR="00542F2C" w:rsidRPr="78E0E89C">
        <w:rPr>
          <w:color w:val="0070C0"/>
        </w:rPr>
        <w:t>): “</w:t>
      </w:r>
      <w:r w:rsidR="005A1C2A" w:rsidRPr="78E0E89C">
        <w:rPr>
          <w:color w:val="0070C0"/>
        </w:rPr>
        <w:t>A weak positive association between catfish presence and kōura occupancy was detected in the GAMM, although this pattern should be interpreted cautiously. Catfish were restricted to lakes Rotorua and Rotoiti, occurring at only 6 of 24 sites within these two lakes. Examining this association across multiple spatial scales reveals a scale-dependent pattern consistent with Levin (1992), who demonstrated that ecological relationships can shift direction depending on the scale of analysis. At the lake scale, kōura presence, CPUE, and BPUE were all substantially lower in catfish-invaded lakes than in catfish-free lakes, suggesting a negative association. At the site scale within invaded lakes, catfish-present sites also had lower kōura presence rates and abundance than catfish-absent sites. The positive parametric term in the GAMM therefore likely resulted from habitat covariate adjustment, where catfish and kōura co-occur in coarse substrate littoral habitats that support higher benthic invertebrate biomass and historically higher kōura densities (Barnes, 1996; Barnes &amp; Hicks, 2003). Importantly, the positive GAMM term does not preclude strong negative impacts of catfish during earlier stages of invasion; instead, current distributions may represent a residual distribution following substantial historical declines, with kōura persisting at reduced densities in habitats where stable coexistence is possible (Kusabs et al., in revision). Overall, fish associations observed in this study appear to reflect shared responses to habitat structure and productivity rather than direct biotic regulation of kōura populations.</w:t>
      </w:r>
      <w:r w:rsidR="00542F2C" w:rsidRPr="78E0E89C">
        <w:rPr>
          <w:color w:val="0070C0"/>
        </w:rPr>
        <w:t>”</w:t>
      </w:r>
    </w:p>
    <w:p w14:paraId="7E190756" w14:textId="77777777" w:rsidR="003F46EF" w:rsidRPr="00AB1399" w:rsidRDefault="003F46EF" w:rsidP="00AB1399"/>
    <w:p w14:paraId="5B3A1BBF" w14:textId="77777777" w:rsidR="00AB1399" w:rsidRPr="00671C03" w:rsidRDefault="00AB1399" w:rsidP="00AB1399">
      <w:pPr>
        <w:rPr>
          <w:b/>
          <w:bCs/>
          <w:sz w:val="24"/>
          <w:szCs w:val="24"/>
        </w:rPr>
      </w:pPr>
      <w:r w:rsidRPr="00671C03">
        <w:rPr>
          <w:b/>
          <w:bCs/>
          <w:sz w:val="24"/>
          <w:szCs w:val="24"/>
        </w:rPr>
        <w:t>Reviewer #3: General comments</w:t>
      </w:r>
    </w:p>
    <w:p w14:paraId="4D5CE2B9" w14:textId="134015B4" w:rsidR="00AB1399" w:rsidRPr="00AB1399" w:rsidRDefault="00AB1399" w:rsidP="00AB1399">
      <w:r w:rsidRPr="00AB1399">
        <w:t>In this paper, the authors investigate habitat preferences for northern crayfish (kōura) in several lakes in New Zealand. The paper is overall well-</w:t>
      </w:r>
      <w:r w:rsidR="00C22481" w:rsidRPr="00AB1399">
        <w:t>written,</w:t>
      </w:r>
      <w:r w:rsidRPr="00AB1399">
        <w:t xml:space="preserve"> and they have done a nice job clearly illustrating the motivation for the research. The findings contribute important information for freshwater ecosystems more broadly since crayfish are widely distributed across the globe. I have some suggestions for improving the manuscript, detailed below. </w:t>
      </w:r>
    </w:p>
    <w:p w14:paraId="7F72B9A1" w14:textId="77777777" w:rsidR="00AB1399" w:rsidRPr="00AB1399" w:rsidRDefault="00AB1399" w:rsidP="00AB1399">
      <w:r w:rsidRPr="00AB1399">
        <w:t>In this paper, complexity is used as a general term in some cases (</w:t>
      </w:r>
      <w:proofErr w:type="spellStart"/>
      <w:r w:rsidRPr="00AB1399">
        <w:t>e.g</w:t>
      </w:r>
      <w:proofErr w:type="spellEnd"/>
      <w:r w:rsidRPr="00AB1399">
        <w:t xml:space="preserve">, line 83), specific in other cases (e.g., line 126: substrate index). It is also just one of those ecological terms that can take on many meanings depending on the goals of a particular study, highlighting the need to be extremely clear about what it means for a particular manuscript (see also my comment for line 23-24). There are many environmental components measured in this study that could be subsumed into a "habitat complexity" index besides just substrate. Have the authors considered using PCA to collapse environmental variables into one habitat complexity score (sensu Braaten and Guy 1999; Albertson et al. 2013) and then using that score to evaluate drivers of kōura abundance? If there isn't a complexity score, I would recommend adjusting the wording throughout (including the title) to better represent that this study investigates a series of individual drivers, and to only use complexity when referring a response where the variation is the key metric (e.g., substrate complexity = variation in sediment sizes) rather than complexity more generally. Especially since complexity imparted by macrophytes did not support high density (line 307-308). However, even when referring specifically to substrate and the substrate index, the results of this study indicate that the type of </w:t>
      </w:r>
      <w:r w:rsidRPr="00AB1399">
        <w:lastRenderedPageBreak/>
        <w:t xml:space="preserve">substrate (hard vs vegetative) is what appears to matter here, not the complexity of it. Or even more precisely, the presence of large, coarse substrates is what matters, rather than variation per se. </w:t>
      </w:r>
    </w:p>
    <w:p w14:paraId="46C9C514" w14:textId="77777777" w:rsidR="00AB1399" w:rsidRPr="00AB1399" w:rsidRDefault="00AB1399" w:rsidP="00AB1399">
      <w:r w:rsidRPr="00AB1399">
        <w:t>Albertson, L. K., Koenig, L. E., Lewis, B. L., Zeug, S. C., Harrison, L. R., &amp; Cardinale, B. J. (2013). How does restored habitat for Chinook Salmon (Oncorhynchus tshawytscha) in the Merced River in California compare with other Chinook streams?. River Research and Applications, 29(4), 469-482.</w:t>
      </w:r>
    </w:p>
    <w:p w14:paraId="4E307323" w14:textId="77777777" w:rsidR="00AB1399" w:rsidRPr="00AB1399" w:rsidRDefault="00AB1399" w:rsidP="00AB1399">
      <w:r w:rsidRPr="00AB1399">
        <w:t>Braaten, P. J., &amp; Guy, C. S. (1999). Relations between physicochemical factors and abundance of fishes in tributary confluences of the lower channelized Missouri River. Transactions of the American Fisheries Society, 128(6), 1213-1221.</w:t>
      </w:r>
    </w:p>
    <w:p w14:paraId="34EF53CA" w14:textId="6E0FEC7E" w:rsidR="00767954" w:rsidRPr="00E47D18" w:rsidRDefault="00767954" w:rsidP="00767954">
      <w:pPr>
        <w:rPr>
          <w:color w:val="0070C0"/>
        </w:rPr>
      </w:pPr>
      <w:r w:rsidRPr="00E47D18">
        <w:rPr>
          <w:color w:val="0070C0"/>
        </w:rPr>
        <w:t>Response:</w:t>
      </w:r>
      <w:r w:rsidR="00C7780F" w:rsidRPr="00E47D18">
        <w:rPr>
          <w:color w:val="0070C0"/>
        </w:rPr>
        <w:t xml:space="preserve"> We thank the reviewer for this detailed and constructive comment. We considered the suggestion to use PCA to collapse environmental variables into a single habitat complexity score. However, upon examination, PC1 explained only 34% of total variance, and PC1 </w:t>
      </w:r>
      <w:r w:rsidR="00C219CE" w:rsidRPr="00E47D18">
        <w:rPr>
          <w:color w:val="0070C0"/>
        </w:rPr>
        <w:t>shows</w:t>
      </w:r>
      <w:r w:rsidR="00C7780F" w:rsidRPr="00E47D18">
        <w:rPr>
          <w:color w:val="0070C0"/>
        </w:rPr>
        <w:t xml:space="preserve"> a gradient from hard structural habitat to vegetative habitat rather than a general complexity </w:t>
      </w:r>
      <w:r w:rsidR="004273EF" w:rsidRPr="00E47D18">
        <w:rPr>
          <w:color w:val="0070C0"/>
        </w:rPr>
        <w:t>index</w:t>
      </w:r>
      <w:r w:rsidR="00C7780F" w:rsidRPr="00E47D18">
        <w:rPr>
          <w:color w:val="0070C0"/>
        </w:rPr>
        <w:t xml:space="preserve">. We therefore followed the reviewer's alternative recommendation to adjust wording throughout the manuscript. We removed "habitat complexity" as a general term and replaced it with </w:t>
      </w:r>
      <w:r w:rsidR="007060CE" w:rsidRPr="00E47D18">
        <w:rPr>
          <w:color w:val="0070C0"/>
        </w:rPr>
        <w:t xml:space="preserve">more </w:t>
      </w:r>
      <w:r w:rsidR="00C7780F" w:rsidRPr="00E47D18">
        <w:rPr>
          <w:color w:val="0070C0"/>
        </w:rPr>
        <w:t xml:space="preserve">precise </w:t>
      </w:r>
      <w:r w:rsidR="007060CE" w:rsidRPr="00E47D18">
        <w:rPr>
          <w:color w:val="0070C0"/>
        </w:rPr>
        <w:t xml:space="preserve">description of </w:t>
      </w:r>
      <w:r w:rsidR="00A47D83" w:rsidRPr="00E47D18">
        <w:rPr>
          <w:color w:val="0070C0"/>
        </w:rPr>
        <w:t>the habitat</w:t>
      </w:r>
      <w:r w:rsidR="00DC279C" w:rsidRPr="00E47D18">
        <w:rPr>
          <w:color w:val="0070C0"/>
        </w:rPr>
        <w:t xml:space="preserve"> characteristics</w:t>
      </w:r>
      <w:r w:rsidR="00A47D83" w:rsidRPr="00E47D18">
        <w:rPr>
          <w:color w:val="0070C0"/>
        </w:rPr>
        <w:t>.</w:t>
      </w:r>
      <w:r w:rsidR="00C7780F" w:rsidRPr="00E47D18">
        <w:rPr>
          <w:color w:val="0070C0"/>
        </w:rPr>
        <w:t xml:space="preserve"> "Habitat complexity" is </w:t>
      </w:r>
      <w:r w:rsidR="00B134D8" w:rsidRPr="00E47D18">
        <w:rPr>
          <w:color w:val="0070C0"/>
        </w:rPr>
        <w:t>used</w:t>
      </w:r>
      <w:r w:rsidR="00C7780F" w:rsidRPr="00E47D18">
        <w:rPr>
          <w:color w:val="0070C0"/>
        </w:rPr>
        <w:t xml:space="preserve"> only in the conclusions where it is used in the broad ecological sense </w:t>
      </w:r>
      <w:r w:rsidR="00F3531E" w:rsidRPr="00E47D18">
        <w:rPr>
          <w:color w:val="0070C0"/>
        </w:rPr>
        <w:t xml:space="preserve">to match the scope of </w:t>
      </w:r>
      <w:r w:rsidR="00C7780F" w:rsidRPr="00E47D18">
        <w:rPr>
          <w:color w:val="0070C0"/>
        </w:rPr>
        <w:t>the special issue</w:t>
      </w:r>
      <w:r w:rsidR="00F3531E" w:rsidRPr="00E47D18">
        <w:rPr>
          <w:color w:val="0070C0"/>
        </w:rPr>
        <w:t>. Also</w:t>
      </w:r>
      <w:r w:rsidR="00BB16CC" w:rsidRPr="00E47D18">
        <w:rPr>
          <w:color w:val="0070C0"/>
        </w:rPr>
        <w:t>,</w:t>
      </w:r>
      <w:r w:rsidR="00F3531E" w:rsidRPr="00E47D18">
        <w:rPr>
          <w:color w:val="0070C0"/>
        </w:rPr>
        <w:t xml:space="preserve"> t</w:t>
      </w:r>
      <w:r w:rsidR="00C7780F" w:rsidRPr="00E47D18">
        <w:rPr>
          <w:color w:val="0070C0"/>
        </w:rPr>
        <w:t>he title has been adjusted to better reflect this study.</w:t>
      </w:r>
    </w:p>
    <w:p w14:paraId="1807C74F" w14:textId="7D5D1F68" w:rsidR="00AB1399" w:rsidRPr="00AB1399" w:rsidRDefault="00AB1399" w:rsidP="00AB1399">
      <w:r>
        <w:t xml:space="preserve">Related to the above topic, I think some careful tweaking of the wording in the discussion lines 287-305 related to substrate is needed. Homogenous substrates actually have larger pore spaces than heterogenous substrate mixtures where smaller particles can clog up void spaces. As such, complexity (variation) of substrate sizes might actually reduce refugia from predators rather than accentuate it. It appears to me that the presence of large substrates that create large pores that would be the stronger driver in this study. Furthermore, there is no direct statement about what the refugia are. I'm guessing the authors mean pore spaces (voids) within the cobbles where crayfish can hide from predators or find wetted habitat during low lake water levels (although they say flow refuge is less of a driver in lakes probably), but adding in details related to these ideas about why substrate on shorelines actually matters would be helpful here. I don't quite follow the argument that coarse substrates in lakes are stable structure. The authors have just argued that flow isn't much of a concern in lakes, so why would stability of those particles be important if those substrates are not likely to move anyway? Coarse sediment in rivers is also relatively more stable (less like to be transported during high flows) but the authors wording suggests stable, coarse substrates in lakes are unique. I've included a river-specific reference about </w:t>
      </w:r>
      <w:r w:rsidR="00C22481">
        <w:t>sediment,</w:t>
      </w:r>
      <w:r>
        <w:t xml:space="preserve"> and a lake-specific invertebrate habitat use reference that may be useful.</w:t>
      </w:r>
    </w:p>
    <w:p w14:paraId="2FDE4A39" w14:textId="77777777" w:rsidR="00AB1399" w:rsidRPr="00AB1399" w:rsidRDefault="00AB1399" w:rsidP="00AB1399">
      <w:r w:rsidRPr="00AB1399">
        <w:t>Haschenburger, J. K., &amp; Roest, P. (2009). Substrate indices as indicators of interstitial pore space in gravel‐bed channels. River Research and Applications, 25(1), 98-105.</w:t>
      </w:r>
    </w:p>
    <w:p w14:paraId="05904A0E" w14:textId="77777777" w:rsidR="00AB1399" w:rsidRDefault="00AB1399" w:rsidP="00AB1399">
      <w:r w:rsidRPr="00AB1399">
        <w:t>White, J., &amp; Irvine, K. (2003). The use of littoral mesohabitats and their macroinvertebrate assemblages in the ecological assessment of lakes. Aquatic Conservation: Marine and Freshwater Ecosystems, 13(4), 331-351.</w:t>
      </w:r>
    </w:p>
    <w:p w14:paraId="6C27C4D3" w14:textId="136AF03C" w:rsidR="00E96F97" w:rsidRPr="00E96F97" w:rsidRDefault="00767954" w:rsidP="00E96F97">
      <w:pPr>
        <w:rPr>
          <w:color w:val="0070C0"/>
        </w:rPr>
      </w:pPr>
      <w:r w:rsidRPr="78E0E89C">
        <w:rPr>
          <w:color w:val="0070C0"/>
        </w:rPr>
        <w:t>Response:</w:t>
      </w:r>
      <w:r w:rsidR="001469F2" w:rsidRPr="78E0E89C">
        <w:rPr>
          <w:color w:val="0070C0"/>
        </w:rPr>
        <w:t xml:space="preserve"> We thank the reviewer for these precise and helpful corrections. </w:t>
      </w:r>
      <w:r w:rsidR="00313388" w:rsidRPr="78E0E89C">
        <w:rPr>
          <w:color w:val="0070C0"/>
        </w:rPr>
        <w:t>We agree that our original wording confused substrate heterogeneity with refugia availability</w:t>
      </w:r>
      <w:r w:rsidR="001469F2" w:rsidRPr="78E0E89C">
        <w:rPr>
          <w:color w:val="0070C0"/>
        </w:rPr>
        <w:t>. We have rewritten the substrate discussion to reflect that it is the presence of large coarse particles rather than substrate variation that drives refugia availability.</w:t>
      </w:r>
      <w:r w:rsidR="001023FA" w:rsidRPr="78E0E89C">
        <w:rPr>
          <w:color w:val="0070C0"/>
        </w:rPr>
        <w:t xml:space="preserve"> But we also mention that </w:t>
      </w:r>
      <w:r w:rsidR="00B3514D" w:rsidRPr="78E0E89C">
        <w:rPr>
          <w:color w:val="0070C0"/>
        </w:rPr>
        <w:t xml:space="preserve">heterogeneous substrate might be more relevant for different life stages as </w:t>
      </w:r>
      <w:r w:rsidR="001A0379" w:rsidRPr="78E0E89C">
        <w:rPr>
          <w:color w:val="0070C0"/>
        </w:rPr>
        <w:t>juveniles</w:t>
      </w:r>
      <w:r w:rsidR="00B3514D" w:rsidRPr="78E0E89C">
        <w:rPr>
          <w:color w:val="0070C0"/>
        </w:rPr>
        <w:t xml:space="preserve"> </w:t>
      </w:r>
      <w:r w:rsidR="0032143C" w:rsidRPr="78E0E89C">
        <w:rPr>
          <w:color w:val="0070C0"/>
        </w:rPr>
        <w:t>prefer smaller pore spaces compared to adults.</w:t>
      </w:r>
      <w:r w:rsidR="001469F2" w:rsidRPr="78E0E89C">
        <w:rPr>
          <w:color w:val="0070C0"/>
        </w:rPr>
        <w:t xml:space="preserve"> e. We have </w:t>
      </w:r>
      <w:r w:rsidR="00F8398B" w:rsidRPr="78E0E89C">
        <w:rPr>
          <w:color w:val="0070C0"/>
        </w:rPr>
        <w:t>re</w:t>
      </w:r>
      <w:r w:rsidR="0069143E" w:rsidRPr="78E0E89C">
        <w:rPr>
          <w:color w:val="0070C0"/>
        </w:rPr>
        <w:t>formed</w:t>
      </w:r>
      <w:r w:rsidR="00F8398B" w:rsidRPr="78E0E89C">
        <w:rPr>
          <w:color w:val="0070C0"/>
        </w:rPr>
        <w:t xml:space="preserve"> </w:t>
      </w:r>
      <w:r w:rsidR="001469F2" w:rsidRPr="78E0E89C">
        <w:rPr>
          <w:color w:val="0070C0"/>
        </w:rPr>
        <w:t>the argument about substrate stability in lakes</w:t>
      </w:r>
      <w:r w:rsidR="0069143E" w:rsidRPr="78E0E89C">
        <w:rPr>
          <w:color w:val="0070C0"/>
        </w:rPr>
        <w:t xml:space="preserve"> as these </w:t>
      </w:r>
      <w:r w:rsidR="0043003B" w:rsidRPr="78E0E89C">
        <w:rPr>
          <w:color w:val="0070C0"/>
        </w:rPr>
        <w:t>volcanic</w:t>
      </w:r>
      <w:r w:rsidR="0069143E" w:rsidRPr="78E0E89C">
        <w:rPr>
          <w:color w:val="0070C0"/>
        </w:rPr>
        <w:t xml:space="preserve"> lakes often </w:t>
      </w:r>
      <w:r w:rsidR="0069143E" w:rsidRPr="78E0E89C">
        <w:rPr>
          <w:color w:val="0070C0"/>
        </w:rPr>
        <w:lastRenderedPageBreak/>
        <w:t xml:space="preserve">contain pumice which is less stable than </w:t>
      </w:r>
      <w:r w:rsidR="0043003B" w:rsidRPr="78E0E89C">
        <w:rPr>
          <w:color w:val="0070C0"/>
        </w:rPr>
        <w:t>other substrates</w:t>
      </w:r>
      <w:r w:rsidR="001469F2" w:rsidRPr="78E0E89C">
        <w:rPr>
          <w:color w:val="0070C0"/>
        </w:rPr>
        <w:t xml:space="preserve">. The text now </w:t>
      </w:r>
      <w:r w:rsidR="00E5146B" w:rsidRPr="78E0E89C">
        <w:rPr>
          <w:color w:val="0070C0"/>
        </w:rPr>
        <w:t>explains that in streams</w:t>
      </w:r>
      <w:r w:rsidR="001469F2" w:rsidRPr="78E0E89C">
        <w:rPr>
          <w:color w:val="0070C0"/>
        </w:rPr>
        <w:t>, coarse substrates are often associated with higher flow velocities, making it difficult to separate substrate-mediated refugia from flow avoidance as drivers of habitat selection, whereas in lakes the positive association with coarse substrate more directly reflects refugia availability.</w:t>
      </w:r>
      <w:r w:rsidR="00A31F92" w:rsidRPr="78E0E89C">
        <w:rPr>
          <w:color w:val="0070C0"/>
        </w:rPr>
        <w:t xml:space="preserve"> Which now reads (lines </w:t>
      </w:r>
      <w:r w:rsidR="008C0B67">
        <w:rPr>
          <w:color w:val="0070C0"/>
        </w:rPr>
        <w:t>329</w:t>
      </w:r>
      <w:r w:rsidR="00A31F92" w:rsidRPr="78E0E89C">
        <w:rPr>
          <w:color w:val="0070C0"/>
        </w:rPr>
        <w:t>-</w:t>
      </w:r>
      <w:r w:rsidR="009B2E86">
        <w:rPr>
          <w:color w:val="0070C0"/>
        </w:rPr>
        <w:t>385</w:t>
      </w:r>
      <w:r w:rsidR="00A31F92" w:rsidRPr="78E0E89C">
        <w:rPr>
          <w:color w:val="0070C0"/>
        </w:rPr>
        <w:t>): “</w:t>
      </w:r>
      <w:r w:rsidR="00E96F97" w:rsidRPr="78E0E89C">
        <w:rPr>
          <w:color w:val="0070C0"/>
        </w:rPr>
        <w:t>Habitat associations with kōura</w:t>
      </w:r>
    </w:p>
    <w:p w14:paraId="4CB6D301" w14:textId="41FC43C7" w:rsidR="00E96F97" w:rsidRPr="00E96F97" w:rsidRDefault="00E96F97" w:rsidP="00E96F97">
      <w:pPr>
        <w:rPr>
          <w:color w:val="0070C0"/>
        </w:rPr>
      </w:pPr>
      <w:r w:rsidRPr="78E0E89C">
        <w:rPr>
          <w:color w:val="0070C0"/>
        </w:rPr>
        <w:t xml:space="preserve">Kōura occurrence was consistently associated with coarser substrate types and greater riparian vegetation cover. Substrate heterogeneity was moderately negatively correlated with the substrate index (r = −0.48), indicating that the index reflects dominance of coarse substrates rather than proportional mixing of particle sizes. Higher substrate index values therefore reflect the presence of large particles like bedrock, boulders and cobbles, which create large interstitial pore spaces that function as physical refugia, providing shelter from predators (White &amp; Irvine, 2003; Haschenburger &amp; Roest, 2009; Kusabs et al., 2015b). The relationship between substrate size and benthic invertebrates is not linear (Quinn &amp; Hickey, 1990), where larger pore spaces between coarse particles may favour adult kōura, smaller interstitial spaces within mixed substrates may provide refugia for juveniles, suggesting that heterogenous substrates support kōura across life stages. However, mixed substrates containing both coarse and fine particles can reduce pore space availability as smaller particles infill void spaces between larger ones (Haschenburger &amp; Roest, 2009), meaning that dominance of coarse substrate rather than substrate heterogeneity is the more relevant driver of refugia availability for adults. Additionally coarse substrates may facilitate burrowing by kōura at the margins of rocky areas where softer sediments are accessible, providing an additional form of refuge (Usio &amp; Townsend, 2000). Similar preferences for coarse substrates have been reported in stream environments (Olsson et al., 2006; Jowett et al., 2008), although the optimal substrate size may differ between habitat types. In streams, kōura show a non-linear response to substrate size with an optimum around 130 mm, with probability of occurrence declining at boulder substrates larger than 256 mm, likely because larger substrates are associated with higher flow velocities that kōura actively avoid (Jowett et al., 2008). Coarse particles in streams are also relatively stable under typical flow conditions, as their size reduces the likelihood of transport during high flows. In lakes, where flow is minimal, kōura may preferentially use larger substrates such as boulders, as this constraint is removed and larger particles create more accessible interstitial refugia. However, substrate stability in these volcanic lakes remains relevant in wave-exposed littoral zones, as pumice substrates, being lighter than other lithologies of similar size, are more likely to redistribution during wave action, potentially reducing the stability of interstitial refugia. Although fyke net deployment is more challenging in highly structured rocky habitats and may lead to conservative abundance estimates, </w:t>
      </w:r>
      <w:r w:rsidR="009051B6" w:rsidRPr="009051B6">
        <w:rPr>
          <w:color w:val="0070C0"/>
        </w:rPr>
        <w:t>nevertheless</w:t>
      </w:r>
      <w:r w:rsidR="009051B6">
        <w:rPr>
          <w:color w:val="0070C0"/>
        </w:rPr>
        <w:t xml:space="preserve"> </w:t>
      </w:r>
      <w:r w:rsidRPr="78E0E89C">
        <w:rPr>
          <w:color w:val="0070C0"/>
        </w:rPr>
        <w:t>the consistent positive association with the substrate index across all five lakes highlights the importance of coarse littoral substrates for kōura.</w:t>
      </w:r>
    </w:p>
    <w:p w14:paraId="1974E7DA" w14:textId="4A8F9EC1" w:rsidR="00767954" w:rsidRPr="00E47D18" w:rsidRDefault="00E96F97" w:rsidP="00E96F97">
      <w:pPr>
        <w:rPr>
          <w:color w:val="0070C0"/>
        </w:rPr>
      </w:pPr>
      <w:r w:rsidRPr="78E0E89C">
        <w:rPr>
          <w:color w:val="0070C0"/>
        </w:rPr>
        <w:t>This refugia mechanism also helps explain why emergent macrophyte habitats were negatively associated with kōura abundance and biomass despite providing vertical structure. Emergent native macrophytes, including raupō (Typha orientalis) and giant spike rush (Eleocharis sphacelata), often form in relatively homogeneous habitats, characterised by fine sediments and high organic matter accumulation in sheltered littoral areas (Chambers, 1987; Lishawa et al., 2023). Such conditions may limit the availability of effective refuges, reduce foraging efficiency, and increase oxygen demand associated with organic decomposition, with dissolved oxygen also likely to exhibit greater unmeasured daily variability within macrophyte stands (Bunch et al., 2010; Schrank &amp; Lishawa, 2019). Therefore, rocky shorelines maintain accessible interstitial pore spaces that function as refugia, whereas macrophyte-dominated habitats accumulate fine sediments that infill potential void spaces and reduce refugia availability.</w:t>
      </w:r>
      <w:r w:rsidR="00B81E89" w:rsidRPr="78E0E89C">
        <w:rPr>
          <w:color w:val="0070C0"/>
        </w:rPr>
        <w:t>”</w:t>
      </w:r>
    </w:p>
    <w:p w14:paraId="3C0A23BF" w14:textId="52F08D2D" w:rsidR="00AB1399" w:rsidRPr="00AB1399" w:rsidRDefault="00AB1399" w:rsidP="00AB1399">
      <w:pPr>
        <w:rPr>
          <w:b/>
          <w:bCs/>
        </w:rPr>
      </w:pPr>
      <w:r w:rsidRPr="00AB1399">
        <w:rPr>
          <w:b/>
          <w:bCs/>
        </w:rPr>
        <w:lastRenderedPageBreak/>
        <w:t>Line by Line comments</w:t>
      </w:r>
      <w:r w:rsidR="00767954" w:rsidRPr="00767954">
        <w:rPr>
          <w:b/>
          <w:bCs/>
        </w:rPr>
        <w:t>:</w:t>
      </w:r>
    </w:p>
    <w:p w14:paraId="35F056A3" w14:textId="77777777" w:rsidR="009D53AE" w:rsidRDefault="00AB1399" w:rsidP="00AB1399">
      <w:r w:rsidRPr="00AB1399">
        <w:t>line 18, not yet clear what a substrate index is, please rephrase to explain to a reader who hasn't yet read the methods</w:t>
      </w:r>
      <w:r w:rsidR="009D53AE">
        <w:t>.</w:t>
      </w:r>
    </w:p>
    <w:p w14:paraId="751A3CA6" w14:textId="5B3B843B" w:rsidR="00842D60" w:rsidRPr="00E47D18" w:rsidRDefault="000F4214" w:rsidP="00AB1399">
      <w:pPr>
        <w:rPr>
          <w:color w:val="0070C0"/>
        </w:rPr>
      </w:pPr>
      <w:r w:rsidRPr="00E47D18">
        <w:rPr>
          <w:color w:val="0070C0"/>
        </w:rPr>
        <w:t xml:space="preserve">Response: </w:t>
      </w:r>
      <w:r w:rsidR="0097721B" w:rsidRPr="00E47D18">
        <w:rPr>
          <w:color w:val="0070C0"/>
        </w:rPr>
        <w:t>R</w:t>
      </w:r>
      <w:r w:rsidR="00842D60" w:rsidRPr="00E47D18">
        <w:rPr>
          <w:color w:val="0070C0"/>
        </w:rPr>
        <w:t xml:space="preserve">ewritten to make it </w:t>
      </w:r>
      <w:r w:rsidR="00707166" w:rsidRPr="00E47D18">
        <w:rPr>
          <w:color w:val="0070C0"/>
        </w:rPr>
        <w:t>clearer</w:t>
      </w:r>
      <w:r w:rsidR="00A31F92" w:rsidRPr="590736D4">
        <w:rPr>
          <w:color w:val="0070C0"/>
        </w:rPr>
        <w:t xml:space="preserve">, which now reads (lines </w:t>
      </w:r>
      <w:r w:rsidR="00041D16">
        <w:rPr>
          <w:color w:val="0070C0"/>
        </w:rPr>
        <w:t>20</w:t>
      </w:r>
      <w:r w:rsidR="00A31F92" w:rsidRPr="590736D4">
        <w:rPr>
          <w:color w:val="0070C0"/>
        </w:rPr>
        <w:t>-</w:t>
      </w:r>
      <w:r w:rsidR="00041D16">
        <w:rPr>
          <w:color w:val="0070C0"/>
        </w:rPr>
        <w:t>22</w:t>
      </w:r>
      <w:r w:rsidR="00A31F92" w:rsidRPr="590736D4">
        <w:rPr>
          <w:color w:val="0070C0"/>
        </w:rPr>
        <w:t>): “</w:t>
      </w:r>
      <w:r w:rsidR="00B47CC7" w:rsidRPr="00B47CC7">
        <w:rPr>
          <w:color w:val="0070C0"/>
        </w:rPr>
        <w:t>Kōura distribution was best explained by habitat characteristics rather than lake-scale processes. Occupancy increased with shoreline habitat characteristics, particularly coarser substrate types and greater riparian vegetation cover.</w:t>
      </w:r>
      <w:r w:rsidR="00B47CC7">
        <w:rPr>
          <w:color w:val="0070C0"/>
        </w:rPr>
        <w:t>”</w:t>
      </w:r>
    </w:p>
    <w:p w14:paraId="5AA7583F" w14:textId="02B87474" w:rsidR="00AB1399" w:rsidRDefault="00AB1399" w:rsidP="00AB1399">
      <w:r w:rsidRPr="00AB1399">
        <w:t xml:space="preserve">line 23-24, not yet clear what creates the complexity. Macrophytes could create complexity for </w:t>
      </w:r>
      <w:r w:rsidR="00A136D0" w:rsidRPr="00AB1399">
        <w:t>example,</w:t>
      </w:r>
      <w:r w:rsidRPr="00AB1399">
        <w:t xml:space="preserve"> but they are associated with lower abundance and biomass, discussed starting in line 306. This concluding sentence sounds too strong as currently written and could be tempered to better reflex the findings.</w:t>
      </w:r>
    </w:p>
    <w:p w14:paraId="3A5707A2" w14:textId="0FFB2631" w:rsidR="00767954" w:rsidRPr="00E47D18" w:rsidRDefault="00767954" w:rsidP="00AB1399">
      <w:r w:rsidRPr="00E47D18">
        <w:rPr>
          <w:color w:val="0070C0"/>
        </w:rPr>
        <w:t>Response:</w:t>
      </w:r>
      <w:r w:rsidR="00842D60" w:rsidRPr="00E47D18">
        <w:rPr>
          <w:color w:val="0070C0"/>
        </w:rPr>
        <w:t xml:space="preserve"> </w:t>
      </w:r>
      <w:r w:rsidR="00D958F8" w:rsidRPr="00E47D18">
        <w:rPr>
          <w:color w:val="0070C0"/>
        </w:rPr>
        <w:t>S</w:t>
      </w:r>
      <w:r w:rsidR="00842D60" w:rsidRPr="00E47D18">
        <w:rPr>
          <w:color w:val="0070C0"/>
        </w:rPr>
        <w:t xml:space="preserve">entence is rewritten to </w:t>
      </w:r>
      <w:r w:rsidR="00B70FAF" w:rsidRPr="00E47D18">
        <w:rPr>
          <w:color w:val="0070C0"/>
        </w:rPr>
        <w:t>be more tempered and fits now better to the findings</w:t>
      </w:r>
      <w:r w:rsidR="00A31F92" w:rsidRPr="590736D4">
        <w:rPr>
          <w:color w:val="0070C0"/>
        </w:rPr>
        <w:t xml:space="preserve">, which now reads (lines </w:t>
      </w:r>
      <w:r w:rsidR="00D10CAD">
        <w:rPr>
          <w:color w:val="0070C0"/>
        </w:rPr>
        <w:t>24</w:t>
      </w:r>
      <w:r w:rsidR="00A31F92" w:rsidRPr="590736D4">
        <w:rPr>
          <w:color w:val="0070C0"/>
        </w:rPr>
        <w:t>-</w:t>
      </w:r>
      <w:r w:rsidR="00D10CAD">
        <w:rPr>
          <w:color w:val="0070C0"/>
        </w:rPr>
        <w:t>31</w:t>
      </w:r>
      <w:r w:rsidR="00A31F92" w:rsidRPr="590736D4">
        <w:rPr>
          <w:color w:val="0070C0"/>
        </w:rPr>
        <w:t>): “</w:t>
      </w:r>
      <w:r w:rsidR="001D7C42" w:rsidRPr="001D7C42">
        <w:rPr>
          <w:color w:val="0070C0"/>
        </w:rPr>
        <w:t>Water chemistry variables, conductivity and pH, were positively related to kōura presence and biomass. In contrast, emergent macrophyte-dominated shorelines were associated with lower kōura abundance and biomass. Our results suggest that the composition and physical structure of littoral habitats are important drivers of kōura distribution and abundance. As climatic drivers resulting in warmer water temperatures and reduced dissolved oxygen are difficult to manage, targeted protection and restoration of coarse substrate shoreline habitats may provide a practical conservation response.</w:t>
      </w:r>
      <w:r w:rsidR="001D7C42">
        <w:rPr>
          <w:color w:val="0070C0"/>
        </w:rPr>
        <w:t>”</w:t>
      </w:r>
    </w:p>
    <w:p w14:paraId="60F1481E" w14:textId="77777777" w:rsidR="00AB1399" w:rsidRDefault="00AB1399" w:rsidP="00AB1399">
      <w:r w:rsidRPr="00707166">
        <w:t>Line 84-87, this reads like methods, and the final paragraph of the Intro would benefit from additional detail about hypotheses/predictions. For example, habitat complexity is stronger, but stronger than what other driver(s) specifically and why is that pattern expected?</w:t>
      </w:r>
    </w:p>
    <w:p w14:paraId="2035D170" w14:textId="324DFCAD" w:rsidR="00767954" w:rsidRPr="00E47D18" w:rsidRDefault="00767954" w:rsidP="00767954">
      <w:pPr>
        <w:rPr>
          <w:color w:val="0070C0"/>
        </w:rPr>
      </w:pPr>
      <w:r w:rsidRPr="00E47D18">
        <w:rPr>
          <w:color w:val="0070C0"/>
        </w:rPr>
        <w:t>Response:</w:t>
      </w:r>
      <w:r w:rsidR="009577A9" w:rsidRPr="00E47D18">
        <w:rPr>
          <w:color w:val="0070C0"/>
        </w:rPr>
        <w:t xml:space="preserve"> </w:t>
      </w:r>
      <w:r w:rsidR="00F902FA" w:rsidRPr="00E47D18">
        <w:rPr>
          <w:color w:val="0070C0"/>
        </w:rPr>
        <w:t xml:space="preserve">Final </w:t>
      </w:r>
      <w:r w:rsidR="003744F3" w:rsidRPr="00E47D18">
        <w:rPr>
          <w:color w:val="0070C0"/>
        </w:rPr>
        <w:t>p</w:t>
      </w:r>
      <w:r w:rsidR="00F902FA" w:rsidRPr="00E47D18">
        <w:rPr>
          <w:color w:val="0070C0"/>
        </w:rPr>
        <w:t xml:space="preserve">aragraph </w:t>
      </w:r>
      <w:r w:rsidR="003744F3" w:rsidRPr="00E47D18">
        <w:rPr>
          <w:color w:val="0070C0"/>
        </w:rPr>
        <w:t xml:space="preserve">of introduction </w:t>
      </w:r>
      <w:r w:rsidR="00F902FA" w:rsidRPr="00E47D18">
        <w:rPr>
          <w:color w:val="0070C0"/>
        </w:rPr>
        <w:t xml:space="preserve">has been rewritten to include more hypothesis and less </w:t>
      </w:r>
      <w:r w:rsidR="003744F3" w:rsidRPr="00E47D18">
        <w:rPr>
          <w:color w:val="0070C0"/>
        </w:rPr>
        <w:t>methods</w:t>
      </w:r>
      <w:r w:rsidR="00A31F92" w:rsidRPr="590736D4">
        <w:rPr>
          <w:color w:val="0070C0"/>
        </w:rPr>
        <w:t xml:space="preserve">, which now reads (lines </w:t>
      </w:r>
      <w:r w:rsidR="00DA0506">
        <w:rPr>
          <w:color w:val="0070C0"/>
        </w:rPr>
        <w:t>88</w:t>
      </w:r>
      <w:r w:rsidR="00A31F92" w:rsidRPr="590736D4">
        <w:rPr>
          <w:color w:val="0070C0"/>
        </w:rPr>
        <w:t>-</w:t>
      </w:r>
      <w:r w:rsidR="00DA0506">
        <w:rPr>
          <w:color w:val="0070C0"/>
        </w:rPr>
        <w:t>102</w:t>
      </w:r>
      <w:r w:rsidR="00A31F92" w:rsidRPr="590736D4">
        <w:rPr>
          <w:color w:val="0070C0"/>
        </w:rPr>
        <w:t>): “</w:t>
      </w:r>
      <w:r w:rsidR="001D1330" w:rsidRPr="001D1330">
        <w:rPr>
          <w:color w:val="0070C0"/>
        </w:rPr>
        <w:t>In this study, we examine which littoral habitat characteristics are associated with kōura occurrence, abundance and biomass across five Rotorua Te Arawa Lakes. We hypothesised that structurally diverse littoral habitats, including coarse substrates and native aquatic vegetation, would be positively associated with kōura occurrence and abundance, as they provide physical refuge and foraging opportunities. Conversely, invasive submerged weed beds were expected to have negative associations with kōura as these dense beds hinder movement and reduce native biodiversity. We further expected that kōura abundance would be lower in lakes where catfish are present, as catfish are a known predator on benthic invertebrates and native fauna. By quantifying these habitat associations within the littoral zone, this study aims to inform targeted habitat protection and restoration strategies for the conservation of this culturally and ecologically important species.</w:t>
      </w:r>
      <w:r w:rsidR="00DA6E80">
        <w:rPr>
          <w:color w:val="0070C0"/>
        </w:rPr>
        <w:t>”</w:t>
      </w:r>
    </w:p>
    <w:p w14:paraId="2368A1EF" w14:textId="77777777" w:rsidR="00AB1399" w:rsidRPr="00AB1399" w:rsidRDefault="00AB1399" w:rsidP="00AB1399">
      <w:r w:rsidRPr="00AB1399">
        <w:t>Line 104-105, unsafe for human sampling or unsafe for the crayfish?</w:t>
      </w:r>
    </w:p>
    <w:p w14:paraId="21557DDD" w14:textId="582D3BAC" w:rsidR="00767954" w:rsidRPr="00E47D18" w:rsidRDefault="00767954" w:rsidP="00767954">
      <w:pPr>
        <w:rPr>
          <w:color w:val="0070C0"/>
        </w:rPr>
      </w:pPr>
      <w:r w:rsidRPr="78E0E89C">
        <w:rPr>
          <w:color w:val="0070C0"/>
        </w:rPr>
        <w:t>Response:</w:t>
      </w:r>
      <w:r w:rsidR="00B8501C" w:rsidRPr="78E0E89C">
        <w:rPr>
          <w:color w:val="0070C0"/>
        </w:rPr>
        <w:t xml:space="preserve"> </w:t>
      </w:r>
      <w:r w:rsidR="00D958F8" w:rsidRPr="78E0E89C">
        <w:rPr>
          <w:color w:val="0070C0"/>
        </w:rPr>
        <w:t>R</w:t>
      </w:r>
      <w:r w:rsidR="00B8501C" w:rsidRPr="78E0E89C">
        <w:rPr>
          <w:color w:val="0070C0"/>
        </w:rPr>
        <w:t xml:space="preserve">ewritten to clarify </w:t>
      </w:r>
      <w:r w:rsidR="009B1C53" w:rsidRPr="78E0E89C">
        <w:rPr>
          <w:color w:val="0070C0"/>
        </w:rPr>
        <w:t>the sentence</w:t>
      </w:r>
      <w:r w:rsidR="00A31F92" w:rsidRPr="78E0E89C">
        <w:rPr>
          <w:color w:val="0070C0"/>
        </w:rPr>
        <w:t xml:space="preserve">, which now reads (lines </w:t>
      </w:r>
      <w:r w:rsidR="00AE3A8B">
        <w:rPr>
          <w:color w:val="0070C0"/>
        </w:rPr>
        <w:t>116</w:t>
      </w:r>
      <w:r w:rsidR="00A31F92" w:rsidRPr="78E0E89C">
        <w:rPr>
          <w:color w:val="0070C0"/>
        </w:rPr>
        <w:t>-</w:t>
      </w:r>
      <w:r w:rsidR="00AE3A8B">
        <w:rPr>
          <w:color w:val="0070C0"/>
        </w:rPr>
        <w:t>119</w:t>
      </w:r>
      <w:r w:rsidR="00A31F92" w:rsidRPr="78E0E89C">
        <w:rPr>
          <w:color w:val="0070C0"/>
        </w:rPr>
        <w:t>): “</w:t>
      </w:r>
      <w:r w:rsidR="005118E6" w:rsidRPr="78E0E89C">
        <w:rPr>
          <w:color w:val="0070C0"/>
        </w:rPr>
        <w:t>Shoreline site exceeding two meters depth or where classified as geothermal were excluded, as these conditions were either unsuitable for kōura or inaccessible for field sampling</w:t>
      </w:r>
      <w:r w:rsidR="00BC7262" w:rsidRPr="00BC7262">
        <w:rPr>
          <w:color w:val="0070C0"/>
        </w:rPr>
        <w:t>,</w:t>
      </w:r>
      <w:r w:rsidR="00BC7262">
        <w:rPr>
          <w:color w:val="0070C0"/>
        </w:rPr>
        <w:t xml:space="preserve"> </w:t>
      </w:r>
      <w:r w:rsidR="00BC7262" w:rsidRPr="00BC7262">
        <w:rPr>
          <w:color w:val="0070C0"/>
        </w:rPr>
        <w:t>respectively</w:t>
      </w:r>
      <w:r w:rsidR="005118E6" w:rsidRPr="78E0E89C">
        <w:rPr>
          <w:color w:val="0070C0"/>
        </w:rPr>
        <w:t>.”</w:t>
      </w:r>
    </w:p>
    <w:p w14:paraId="00190B0B" w14:textId="58F74610" w:rsidR="00AB1399" w:rsidRPr="00AB1399" w:rsidRDefault="00AB1399" w:rsidP="00AB1399">
      <w:r w:rsidRPr="00AB1399">
        <w:t>Line 126-128, a brief explanation of why these weights are used would be helpful, even if already published in other papers. Many crayfish successfully live in silt or sediment, so the heavier weight on larger substrates could use some additional references/detail.</w:t>
      </w:r>
    </w:p>
    <w:p w14:paraId="47AFC2F6" w14:textId="003A857A" w:rsidR="00923AC0" w:rsidRPr="00923AC0" w:rsidRDefault="00767954" w:rsidP="00923AC0">
      <w:pPr>
        <w:rPr>
          <w:color w:val="0070C0"/>
        </w:rPr>
      </w:pPr>
      <w:r w:rsidRPr="00E47D18">
        <w:rPr>
          <w:color w:val="0070C0"/>
        </w:rPr>
        <w:lastRenderedPageBreak/>
        <w:t>Response:</w:t>
      </w:r>
      <w:r w:rsidR="00A136D0" w:rsidRPr="00E47D18">
        <w:rPr>
          <w:color w:val="0070C0"/>
        </w:rPr>
        <w:t xml:space="preserve"> </w:t>
      </w:r>
      <w:r w:rsidR="00D958F8" w:rsidRPr="00E47D18">
        <w:rPr>
          <w:color w:val="0070C0"/>
        </w:rPr>
        <w:t>E</w:t>
      </w:r>
      <w:r w:rsidR="00A136D0" w:rsidRPr="00E47D18">
        <w:rPr>
          <w:color w:val="0070C0"/>
        </w:rPr>
        <w:t>xplanation</w:t>
      </w:r>
      <w:r w:rsidR="00E910F7">
        <w:rPr>
          <w:color w:val="0070C0"/>
        </w:rPr>
        <w:t xml:space="preserve"> has been</w:t>
      </w:r>
      <w:r w:rsidR="00A136D0" w:rsidRPr="00E47D18">
        <w:rPr>
          <w:color w:val="0070C0"/>
        </w:rPr>
        <w:t xml:space="preserve"> added </w:t>
      </w:r>
      <w:r w:rsidR="00F861CC" w:rsidRPr="00E47D18">
        <w:rPr>
          <w:color w:val="0070C0"/>
        </w:rPr>
        <w:t xml:space="preserve">on why </w:t>
      </w:r>
      <w:r w:rsidR="004B0CE3">
        <w:rPr>
          <w:color w:val="0070C0"/>
        </w:rPr>
        <w:t>higher</w:t>
      </w:r>
      <w:r w:rsidR="004B0CE3" w:rsidRPr="00E47D18">
        <w:rPr>
          <w:color w:val="0070C0"/>
        </w:rPr>
        <w:t xml:space="preserve"> </w:t>
      </w:r>
      <w:r w:rsidR="00F861CC" w:rsidRPr="00E47D18">
        <w:rPr>
          <w:color w:val="0070C0"/>
        </w:rPr>
        <w:t>weight</w:t>
      </w:r>
      <w:r w:rsidR="004B0CE3">
        <w:rPr>
          <w:color w:val="0070C0"/>
        </w:rPr>
        <w:t>s</w:t>
      </w:r>
      <w:r w:rsidR="00F861CC" w:rsidRPr="00E47D18">
        <w:rPr>
          <w:color w:val="0070C0"/>
        </w:rPr>
        <w:t xml:space="preserve"> </w:t>
      </w:r>
      <w:r w:rsidR="004B0CE3">
        <w:rPr>
          <w:color w:val="0070C0"/>
        </w:rPr>
        <w:t>were</w:t>
      </w:r>
      <w:r w:rsidR="004B0CE3" w:rsidRPr="00E47D18">
        <w:rPr>
          <w:color w:val="0070C0"/>
        </w:rPr>
        <w:t xml:space="preserve"> </w:t>
      </w:r>
      <w:r w:rsidR="00F861CC" w:rsidRPr="00E47D18">
        <w:rPr>
          <w:color w:val="0070C0"/>
        </w:rPr>
        <w:t>given to coarser substrates</w:t>
      </w:r>
      <w:r w:rsidR="0045074C">
        <w:rPr>
          <w:color w:val="0070C0"/>
        </w:rPr>
        <w:t>, as these create greater pore spaces that function as refugia from predators</w:t>
      </w:r>
      <w:r w:rsidR="00A31F92" w:rsidRPr="590736D4">
        <w:rPr>
          <w:color w:val="0070C0"/>
        </w:rPr>
        <w:t xml:space="preserve">, which now reads (lines </w:t>
      </w:r>
      <w:r w:rsidR="00FF3284">
        <w:rPr>
          <w:color w:val="0070C0"/>
        </w:rPr>
        <w:t>140</w:t>
      </w:r>
      <w:r w:rsidR="00A31F92" w:rsidRPr="590736D4">
        <w:rPr>
          <w:color w:val="0070C0"/>
        </w:rPr>
        <w:t>-</w:t>
      </w:r>
      <w:r w:rsidR="00FF3284">
        <w:rPr>
          <w:color w:val="0070C0"/>
        </w:rPr>
        <w:t>151</w:t>
      </w:r>
      <w:r w:rsidR="00A31F92" w:rsidRPr="590736D4">
        <w:rPr>
          <w:color w:val="0070C0"/>
        </w:rPr>
        <w:t>): “</w:t>
      </w:r>
      <w:r w:rsidR="00923AC0" w:rsidRPr="00923AC0">
        <w:rPr>
          <w:color w:val="0070C0"/>
        </w:rPr>
        <w:t>A substrate index was then calculated from these estimates using a formula adapted to include fine organic matter and mud (Jowett &amp; Richardson, 1990; Jowett et al., 2008; Harding et al., 2009):</w:t>
      </w:r>
    </w:p>
    <w:p w14:paraId="3CD739D3" w14:textId="77777777" w:rsidR="00923AC0" w:rsidRPr="00923AC0" w:rsidRDefault="00923AC0" w:rsidP="00923AC0">
      <w:pPr>
        <w:rPr>
          <w:color w:val="0070C0"/>
        </w:rPr>
      </w:pPr>
      <w:r w:rsidRPr="00923AC0">
        <w:rPr>
          <w:color w:val="0070C0"/>
        </w:rPr>
        <w:t>Substrate index = 0.08 (bedrock) + 0.07 (boulders) + 0.06 (cobble) + 0.04 (gravel) + 0.03 (sand) + 0.02 (organic matter) + 0.01 (mud)</w:t>
      </w:r>
    </w:p>
    <w:p w14:paraId="33D7AD29" w14:textId="0A2A9B0E" w:rsidR="00923AC0" w:rsidRDefault="00923AC0" w:rsidP="00923AC0">
      <w:pPr>
        <w:rPr>
          <w:color w:val="0070C0"/>
        </w:rPr>
      </w:pPr>
      <w:r w:rsidRPr="78E0E89C">
        <w:rPr>
          <w:color w:val="0070C0"/>
        </w:rPr>
        <w:t>Larger substrate classes were assigned higher weights because coarse substrates such as cobble and boulders create greater interstitial pore spaces and stable structures that kōura use as refuge from predators, as coarse substrate availability has been shown to mediate crayfish vulnerability to predation and directly influence crayfish abundance in lakes (Usio &amp; Townsend, 2000; Nyström et al., 2006), whereas fine substrates such as silt and mud alone offer limited physical refugia</w:t>
      </w:r>
      <w:r w:rsidR="00BE3DF9">
        <w:rPr>
          <w:color w:val="0070C0"/>
        </w:rPr>
        <w:t xml:space="preserve"> due to </w:t>
      </w:r>
      <w:r w:rsidR="009162C3">
        <w:rPr>
          <w:color w:val="0070C0"/>
        </w:rPr>
        <w:t xml:space="preserve">high mobility of </w:t>
      </w:r>
      <w:r w:rsidR="006422CF">
        <w:rPr>
          <w:color w:val="0070C0"/>
        </w:rPr>
        <w:t xml:space="preserve">these </w:t>
      </w:r>
      <w:r w:rsidR="009162C3">
        <w:rPr>
          <w:color w:val="0070C0"/>
        </w:rPr>
        <w:t>sediment</w:t>
      </w:r>
      <w:r w:rsidR="006422CF">
        <w:rPr>
          <w:color w:val="0070C0"/>
        </w:rPr>
        <w:t>s</w:t>
      </w:r>
      <w:r w:rsidRPr="78E0E89C">
        <w:rPr>
          <w:color w:val="0070C0"/>
        </w:rPr>
        <w:t>.</w:t>
      </w:r>
    </w:p>
    <w:p w14:paraId="7A65AAA0" w14:textId="73CD6AB0" w:rsidR="00ED0A1B" w:rsidRPr="00ED0A1B" w:rsidRDefault="00923AC0" w:rsidP="00ED0A1B">
      <w:pPr>
        <w:rPr>
          <w:color w:val="0070C0"/>
        </w:rPr>
      </w:pPr>
      <w:r w:rsidRPr="590736D4">
        <w:rPr>
          <w:color w:val="0070C0"/>
        </w:rPr>
        <w:t>Citations:</w:t>
      </w:r>
      <w:r w:rsidR="00ED0A1B" w:rsidRPr="00ED0A1B">
        <w:rPr>
          <w:rFonts w:ascii="Times New Roman" w:eastAsia="Times New Roman" w:hAnsi="Times New Roman" w:cs="Times New Roman"/>
          <w:kern w:val="0"/>
          <w:sz w:val="24"/>
          <w:szCs w:val="24"/>
          <w:lang w:eastAsia="en-GB"/>
          <w14:ligatures w14:val="none"/>
        </w:rPr>
        <w:t xml:space="preserve"> </w:t>
      </w:r>
      <w:r w:rsidR="00ED0A1B" w:rsidRPr="00ED0A1B">
        <w:rPr>
          <w:color w:val="0070C0"/>
        </w:rPr>
        <w:t xml:space="preserve">Usio, N., &amp; Townsend, C. R. (2000). Distribution of the New Zealand crayfish (Paranephrops zealandicus) in relation to stream physico‐chemistry, predatory fish, and invertebrate prey. </w:t>
      </w:r>
      <w:r w:rsidR="00ED0A1B" w:rsidRPr="00ED0A1B">
        <w:rPr>
          <w:i/>
          <w:iCs/>
          <w:color w:val="0070C0"/>
        </w:rPr>
        <w:t>New Zealand Journal of Marine and Freshwater Research</w:t>
      </w:r>
      <w:r w:rsidR="00ED0A1B" w:rsidRPr="00ED0A1B">
        <w:rPr>
          <w:color w:val="0070C0"/>
        </w:rPr>
        <w:t xml:space="preserve">, </w:t>
      </w:r>
      <w:r w:rsidR="00ED0A1B" w:rsidRPr="00ED0A1B">
        <w:rPr>
          <w:i/>
          <w:iCs/>
          <w:color w:val="0070C0"/>
        </w:rPr>
        <w:t>34</w:t>
      </w:r>
      <w:r w:rsidR="00ED0A1B" w:rsidRPr="00ED0A1B">
        <w:rPr>
          <w:color w:val="0070C0"/>
        </w:rPr>
        <w:t xml:space="preserve">(3), 557–567. </w:t>
      </w:r>
      <w:hyperlink r:id="rId14" w:history="1">
        <w:r w:rsidR="00ED0A1B" w:rsidRPr="00ED0A1B">
          <w:rPr>
            <w:rStyle w:val="Hyperlink"/>
          </w:rPr>
          <w:t>https://doi.org/10.1080/00288330.2000.9516957</w:t>
        </w:r>
      </w:hyperlink>
    </w:p>
    <w:p w14:paraId="2147CAF3" w14:textId="3B1E3B34" w:rsidR="00767954" w:rsidRPr="00E47D18" w:rsidRDefault="00ED0A1B" w:rsidP="00923AC0">
      <w:pPr>
        <w:rPr>
          <w:color w:val="0070C0"/>
        </w:rPr>
      </w:pPr>
      <w:r w:rsidRPr="00ED0A1B">
        <w:rPr>
          <w:color w:val="0070C0"/>
        </w:rPr>
        <w:t xml:space="preserve">Nyström, P., Stenroth, P., Holmqvist, N., Berglund, O., Larsson, P., &amp; Granéli, W. (2006). Crayfish in lakes and streams: Individual and population responses to predation, productivity and substratum availability. </w:t>
      </w:r>
      <w:r w:rsidRPr="00ED0A1B">
        <w:rPr>
          <w:i/>
          <w:iCs/>
          <w:color w:val="0070C0"/>
        </w:rPr>
        <w:t>Freshwater Biology</w:t>
      </w:r>
      <w:r w:rsidRPr="00ED0A1B">
        <w:rPr>
          <w:color w:val="0070C0"/>
        </w:rPr>
        <w:t xml:space="preserve">, </w:t>
      </w:r>
      <w:r w:rsidRPr="00ED0A1B">
        <w:rPr>
          <w:i/>
          <w:iCs/>
          <w:color w:val="0070C0"/>
        </w:rPr>
        <w:t>51</w:t>
      </w:r>
      <w:r w:rsidRPr="00ED0A1B">
        <w:rPr>
          <w:color w:val="0070C0"/>
        </w:rPr>
        <w:t xml:space="preserve">(11), 2096–2113. </w:t>
      </w:r>
      <w:hyperlink r:id="rId15" w:history="1">
        <w:r w:rsidRPr="00ED0A1B">
          <w:rPr>
            <w:rStyle w:val="Hyperlink"/>
          </w:rPr>
          <w:t>https://doi.org/10.1111/j.1365-2427.2006.01641.x</w:t>
        </w:r>
      </w:hyperlink>
    </w:p>
    <w:p w14:paraId="5BC967D5" w14:textId="77777777" w:rsidR="00AB1399" w:rsidRPr="00AB1399" w:rsidRDefault="00AB1399" w:rsidP="00AB1399">
      <w:r w:rsidRPr="00AB1399">
        <w:t>Line 228-230, the direction of these relationships for the abiotic drivers is not stated. I recommend modifying this sentence to more closely match the structure of the sentence for biotic drivers (lines 232-233) so that the direction of relationship is clear. This change is especially important so that managers know in which direction this paper is recommending improving habitat quality (line 283-285).</w:t>
      </w:r>
    </w:p>
    <w:p w14:paraId="5A419EC6" w14:textId="6CC6F805" w:rsidR="00767954" w:rsidRPr="00E47D18" w:rsidRDefault="00767954" w:rsidP="00767954">
      <w:pPr>
        <w:rPr>
          <w:color w:val="0070C0"/>
        </w:rPr>
      </w:pPr>
      <w:r w:rsidRPr="00E47D18">
        <w:rPr>
          <w:color w:val="0070C0"/>
        </w:rPr>
        <w:t>Response:</w:t>
      </w:r>
      <w:r w:rsidR="00D958F8" w:rsidRPr="00E47D18">
        <w:rPr>
          <w:color w:val="0070C0"/>
        </w:rPr>
        <w:t xml:space="preserve"> Directions have been added </w:t>
      </w:r>
      <w:r w:rsidR="004E6BDC" w:rsidRPr="00E47D18">
        <w:rPr>
          <w:color w:val="0070C0"/>
        </w:rPr>
        <w:t xml:space="preserve">to make it </w:t>
      </w:r>
      <w:r w:rsidR="003E14AB" w:rsidRPr="00E47D18">
        <w:rPr>
          <w:color w:val="0070C0"/>
        </w:rPr>
        <w:t>clearer</w:t>
      </w:r>
      <w:r w:rsidR="004E6BDC" w:rsidRPr="00E47D18">
        <w:rPr>
          <w:color w:val="0070C0"/>
        </w:rPr>
        <w:t xml:space="preserve"> what the change is</w:t>
      </w:r>
      <w:r w:rsidR="00B0557C">
        <w:rPr>
          <w:color w:val="0070C0"/>
        </w:rPr>
        <w:t>, which reads</w:t>
      </w:r>
      <w:r w:rsidR="00B0557C" w:rsidRPr="003E470A">
        <w:rPr>
          <w:color w:val="0070C0"/>
        </w:rPr>
        <w:t xml:space="preserve"> (lines </w:t>
      </w:r>
      <w:r w:rsidR="00DE1863">
        <w:rPr>
          <w:color w:val="0070C0"/>
        </w:rPr>
        <w:t>265-269</w:t>
      </w:r>
      <w:r w:rsidR="00B0557C" w:rsidRPr="00DE1863">
        <w:rPr>
          <w:color w:val="0070C0"/>
        </w:rPr>
        <w:t>)</w:t>
      </w:r>
      <w:r w:rsidR="00ED0A1B">
        <w:rPr>
          <w:color w:val="0070C0"/>
        </w:rPr>
        <w:t>:</w:t>
      </w:r>
      <w:r w:rsidR="00B0557C">
        <w:rPr>
          <w:color w:val="0070C0"/>
        </w:rPr>
        <w:t xml:space="preserve"> </w:t>
      </w:r>
      <w:r w:rsidR="00CB334A">
        <w:rPr>
          <w:color w:val="0070C0"/>
        </w:rPr>
        <w:t>“</w:t>
      </w:r>
      <w:r w:rsidR="00B0557C" w:rsidRPr="00B0557C">
        <w:rPr>
          <w:color w:val="0070C0"/>
        </w:rPr>
        <w:t>REML explained 57.9 % of the deviance (adj. R² = 0.592) and retained positive influences of riparian vegetation (p = 0.026), substrate index(p = 0.001), specific conductivity (p = 0.0019) and a negative influence of temperature (p = 0.0001), as significant smoother terms (Fig. 3a).</w:t>
      </w:r>
      <w:r w:rsidR="00B0557C">
        <w:rPr>
          <w:color w:val="0070C0"/>
        </w:rPr>
        <w:t>”</w:t>
      </w:r>
    </w:p>
    <w:p w14:paraId="58A1311E" w14:textId="77777777" w:rsidR="00AB1399" w:rsidRDefault="00AB1399" w:rsidP="00AB1399">
      <w:r w:rsidRPr="00AB1399">
        <w:t>Line 320, the heading could be rephrased to better represent the topic since direct interactions are consistently discussed as not likely being that important.</w:t>
      </w:r>
    </w:p>
    <w:p w14:paraId="72C03650" w14:textId="48A93233" w:rsidR="00767954" w:rsidRPr="00E47D18" w:rsidRDefault="00767954" w:rsidP="00767954">
      <w:pPr>
        <w:rPr>
          <w:color w:val="0070C0"/>
        </w:rPr>
      </w:pPr>
      <w:r w:rsidRPr="00E47D18">
        <w:rPr>
          <w:color w:val="0070C0"/>
        </w:rPr>
        <w:t>Response:</w:t>
      </w:r>
      <w:r w:rsidR="00D2628F" w:rsidRPr="00E47D18">
        <w:rPr>
          <w:color w:val="0070C0"/>
        </w:rPr>
        <w:t xml:space="preserve"> Heading has been renamed to </w:t>
      </w:r>
      <w:r w:rsidR="00344460" w:rsidRPr="00E47D18">
        <w:rPr>
          <w:color w:val="0070C0"/>
        </w:rPr>
        <w:t>better show the indirect association</w:t>
      </w:r>
      <w:r w:rsidR="00DE0AEE" w:rsidRPr="590736D4">
        <w:rPr>
          <w:color w:val="0070C0"/>
        </w:rPr>
        <w:t xml:space="preserve">, which now reads (lines </w:t>
      </w:r>
      <w:r w:rsidR="00410792">
        <w:rPr>
          <w:color w:val="0070C0"/>
        </w:rPr>
        <w:t>391</w:t>
      </w:r>
      <w:r w:rsidR="00DE0AEE" w:rsidRPr="590736D4">
        <w:rPr>
          <w:color w:val="0070C0"/>
        </w:rPr>
        <w:t>): “</w:t>
      </w:r>
      <w:r w:rsidR="00CC10B4" w:rsidRPr="00CC10B4">
        <w:rPr>
          <w:color w:val="0070C0"/>
        </w:rPr>
        <w:t>Fish associations as indicator of habitat quality</w:t>
      </w:r>
      <w:r w:rsidR="00CC10B4">
        <w:rPr>
          <w:color w:val="0070C0"/>
        </w:rPr>
        <w:t>”</w:t>
      </w:r>
    </w:p>
    <w:p w14:paraId="7A719724" w14:textId="77777777" w:rsidR="00767954" w:rsidRPr="00AB1399" w:rsidRDefault="00767954" w:rsidP="00AB1399"/>
    <w:sectPr w:rsidR="00767954" w:rsidRPr="00AB1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99"/>
    <w:rsid w:val="00033E9C"/>
    <w:rsid w:val="00041D16"/>
    <w:rsid w:val="00096099"/>
    <w:rsid w:val="000B5A78"/>
    <w:rsid w:val="000C0285"/>
    <w:rsid w:val="000F0301"/>
    <w:rsid w:val="000F233E"/>
    <w:rsid w:val="000F4214"/>
    <w:rsid w:val="001023FA"/>
    <w:rsid w:val="00141FC2"/>
    <w:rsid w:val="001469F2"/>
    <w:rsid w:val="001846B9"/>
    <w:rsid w:val="00192BDE"/>
    <w:rsid w:val="001A0379"/>
    <w:rsid w:val="001A720C"/>
    <w:rsid w:val="001B1BD0"/>
    <w:rsid w:val="001B4659"/>
    <w:rsid w:val="001D1330"/>
    <w:rsid w:val="001D7C42"/>
    <w:rsid w:val="001E66C3"/>
    <w:rsid w:val="001E68F3"/>
    <w:rsid w:val="0020766C"/>
    <w:rsid w:val="00222C5D"/>
    <w:rsid w:val="0022342D"/>
    <w:rsid w:val="00257A24"/>
    <w:rsid w:val="00274C8F"/>
    <w:rsid w:val="0028186A"/>
    <w:rsid w:val="0029420C"/>
    <w:rsid w:val="002A7422"/>
    <w:rsid w:val="0030636A"/>
    <w:rsid w:val="00313388"/>
    <w:rsid w:val="0032143C"/>
    <w:rsid w:val="00331CEF"/>
    <w:rsid w:val="003374DE"/>
    <w:rsid w:val="00344460"/>
    <w:rsid w:val="0035155A"/>
    <w:rsid w:val="003744F3"/>
    <w:rsid w:val="003E0AC3"/>
    <w:rsid w:val="003E14AB"/>
    <w:rsid w:val="003E470A"/>
    <w:rsid w:val="003F46EF"/>
    <w:rsid w:val="00402109"/>
    <w:rsid w:val="00410792"/>
    <w:rsid w:val="004109C6"/>
    <w:rsid w:val="00422A8E"/>
    <w:rsid w:val="004273EF"/>
    <w:rsid w:val="0043003B"/>
    <w:rsid w:val="0045074C"/>
    <w:rsid w:val="00467F9B"/>
    <w:rsid w:val="00481616"/>
    <w:rsid w:val="00490375"/>
    <w:rsid w:val="0049505F"/>
    <w:rsid w:val="004B0CE3"/>
    <w:rsid w:val="004C128C"/>
    <w:rsid w:val="004E6BDC"/>
    <w:rsid w:val="00510764"/>
    <w:rsid w:val="005118E6"/>
    <w:rsid w:val="00513368"/>
    <w:rsid w:val="00513A57"/>
    <w:rsid w:val="005424CC"/>
    <w:rsid w:val="00542F2C"/>
    <w:rsid w:val="00565CFA"/>
    <w:rsid w:val="00595796"/>
    <w:rsid w:val="005A1C2A"/>
    <w:rsid w:val="005D22CF"/>
    <w:rsid w:val="005D447C"/>
    <w:rsid w:val="005E08F0"/>
    <w:rsid w:val="005F0994"/>
    <w:rsid w:val="00604498"/>
    <w:rsid w:val="006127D6"/>
    <w:rsid w:val="00631E1F"/>
    <w:rsid w:val="006327B2"/>
    <w:rsid w:val="006422CF"/>
    <w:rsid w:val="00671C03"/>
    <w:rsid w:val="00681CA7"/>
    <w:rsid w:val="0069143E"/>
    <w:rsid w:val="00696C14"/>
    <w:rsid w:val="00697C91"/>
    <w:rsid w:val="006D13E1"/>
    <w:rsid w:val="006E31DE"/>
    <w:rsid w:val="0070446D"/>
    <w:rsid w:val="007060CE"/>
    <w:rsid w:val="00707166"/>
    <w:rsid w:val="00707EE5"/>
    <w:rsid w:val="007210BE"/>
    <w:rsid w:val="007350B2"/>
    <w:rsid w:val="00757F22"/>
    <w:rsid w:val="007610B9"/>
    <w:rsid w:val="00767954"/>
    <w:rsid w:val="00790FEB"/>
    <w:rsid w:val="00791614"/>
    <w:rsid w:val="007F5B7D"/>
    <w:rsid w:val="008000A7"/>
    <w:rsid w:val="00817DCF"/>
    <w:rsid w:val="00841A46"/>
    <w:rsid w:val="00842D60"/>
    <w:rsid w:val="00870946"/>
    <w:rsid w:val="008772D1"/>
    <w:rsid w:val="008B5620"/>
    <w:rsid w:val="008C0542"/>
    <w:rsid w:val="008C0B67"/>
    <w:rsid w:val="008F0FA2"/>
    <w:rsid w:val="009051B6"/>
    <w:rsid w:val="009162C3"/>
    <w:rsid w:val="00917306"/>
    <w:rsid w:val="00920F0D"/>
    <w:rsid w:val="00923AC0"/>
    <w:rsid w:val="00926014"/>
    <w:rsid w:val="00943D10"/>
    <w:rsid w:val="0094502C"/>
    <w:rsid w:val="009577A9"/>
    <w:rsid w:val="009766C1"/>
    <w:rsid w:val="0097721B"/>
    <w:rsid w:val="009973EC"/>
    <w:rsid w:val="00997983"/>
    <w:rsid w:val="009B1C53"/>
    <w:rsid w:val="009B256E"/>
    <w:rsid w:val="009B2E86"/>
    <w:rsid w:val="009B3567"/>
    <w:rsid w:val="009C0D07"/>
    <w:rsid w:val="009D53AE"/>
    <w:rsid w:val="009F3441"/>
    <w:rsid w:val="00A136D0"/>
    <w:rsid w:val="00A31F92"/>
    <w:rsid w:val="00A47D83"/>
    <w:rsid w:val="00A5549A"/>
    <w:rsid w:val="00A91BA4"/>
    <w:rsid w:val="00AB1399"/>
    <w:rsid w:val="00AC1174"/>
    <w:rsid w:val="00AD54AA"/>
    <w:rsid w:val="00AE3A8B"/>
    <w:rsid w:val="00AF2E73"/>
    <w:rsid w:val="00AF77FA"/>
    <w:rsid w:val="00B0557C"/>
    <w:rsid w:val="00B134D8"/>
    <w:rsid w:val="00B312D2"/>
    <w:rsid w:val="00B32E2E"/>
    <w:rsid w:val="00B3514D"/>
    <w:rsid w:val="00B36864"/>
    <w:rsid w:val="00B47CC7"/>
    <w:rsid w:val="00B50FCF"/>
    <w:rsid w:val="00B5427A"/>
    <w:rsid w:val="00B70FAF"/>
    <w:rsid w:val="00B72287"/>
    <w:rsid w:val="00B8129F"/>
    <w:rsid w:val="00B81E89"/>
    <w:rsid w:val="00B83E57"/>
    <w:rsid w:val="00B8501C"/>
    <w:rsid w:val="00BB16CC"/>
    <w:rsid w:val="00BC7262"/>
    <w:rsid w:val="00BC761D"/>
    <w:rsid w:val="00BE3DF9"/>
    <w:rsid w:val="00BE44A0"/>
    <w:rsid w:val="00C14BC4"/>
    <w:rsid w:val="00C219CE"/>
    <w:rsid w:val="00C22481"/>
    <w:rsid w:val="00C2693D"/>
    <w:rsid w:val="00C51BF7"/>
    <w:rsid w:val="00C64FED"/>
    <w:rsid w:val="00C72CC4"/>
    <w:rsid w:val="00C76932"/>
    <w:rsid w:val="00C7780F"/>
    <w:rsid w:val="00C80F3D"/>
    <w:rsid w:val="00C972FC"/>
    <w:rsid w:val="00CA22EF"/>
    <w:rsid w:val="00CB334A"/>
    <w:rsid w:val="00CC10B4"/>
    <w:rsid w:val="00CD79EC"/>
    <w:rsid w:val="00CE4477"/>
    <w:rsid w:val="00D01CA9"/>
    <w:rsid w:val="00D04B07"/>
    <w:rsid w:val="00D10961"/>
    <w:rsid w:val="00D10CAD"/>
    <w:rsid w:val="00D11B16"/>
    <w:rsid w:val="00D16EBE"/>
    <w:rsid w:val="00D2628F"/>
    <w:rsid w:val="00D43C29"/>
    <w:rsid w:val="00D45054"/>
    <w:rsid w:val="00D958F8"/>
    <w:rsid w:val="00DA0506"/>
    <w:rsid w:val="00DA4C01"/>
    <w:rsid w:val="00DA6E80"/>
    <w:rsid w:val="00DB000F"/>
    <w:rsid w:val="00DB3AAB"/>
    <w:rsid w:val="00DC279C"/>
    <w:rsid w:val="00DC47DB"/>
    <w:rsid w:val="00DD2B45"/>
    <w:rsid w:val="00DD39E1"/>
    <w:rsid w:val="00DE0AEE"/>
    <w:rsid w:val="00DE1863"/>
    <w:rsid w:val="00DF6C81"/>
    <w:rsid w:val="00E005B4"/>
    <w:rsid w:val="00E25548"/>
    <w:rsid w:val="00E30678"/>
    <w:rsid w:val="00E47D18"/>
    <w:rsid w:val="00E5146B"/>
    <w:rsid w:val="00E516C7"/>
    <w:rsid w:val="00E67E67"/>
    <w:rsid w:val="00E7387C"/>
    <w:rsid w:val="00E83C00"/>
    <w:rsid w:val="00E910F7"/>
    <w:rsid w:val="00E96F97"/>
    <w:rsid w:val="00ED0A1B"/>
    <w:rsid w:val="00ED0C8A"/>
    <w:rsid w:val="00ED2846"/>
    <w:rsid w:val="00F03ACD"/>
    <w:rsid w:val="00F203D2"/>
    <w:rsid w:val="00F3286E"/>
    <w:rsid w:val="00F337A3"/>
    <w:rsid w:val="00F3531E"/>
    <w:rsid w:val="00F536C9"/>
    <w:rsid w:val="00F6138B"/>
    <w:rsid w:val="00F7689A"/>
    <w:rsid w:val="00F8398B"/>
    <w:rsid w:val="00F861CC"/>
    <w:rsid w:val="00F902FA"/>
    <w:rsid w:val="00F92387"/>
    <w:rsid w:val="00F925C2"/>
    <w:rsid w:val="00F931B6"/>
    <w:rsid w:val="00FC5103"/>
    <w:rsid w:val="00FF3284"/>
    <w:rsid w:val="0244805B"/>
    <w:rsid w:val="041836CD"/>
    <w:rsid w:val="0EF052EE"/>
    <w:rsid w:val="0F5EB62E"/>
    <w:rsid w:val="143B9836"/>
    <w:rsid w:val="17145267"/>
    <w:rsid w:val="17784CF5"/>
    <w:rsid w:val="19888DE2"/>
    <w:rsid w:val="19DC933F"/>
    <w:rsid w:val="1A09D294"/>
    <w:rsid w:val="1C4AD899"/>
    <w:rsid w:val="27F22C7C"/>
    <w:rsid w:val="283F8EF9"/>
    <w:rsid w:val="2BEE31BD"/>
    <w:rsid w:val="33FFAEC1"/>
    <w:rsid w:val="3531E902"/>
    <w:rsid w:val="3E1F7955"/>
    <w:rsid w:val="3E231950"/>
    <w:rsid w:val="3E2C1E92"/>
    <w:rsid w:val="4057C8F9"/>
    <w:rsid w:val="48062D9E"/>
    <w:rsid w:val="4A647792"/>
    <w:rsid w:val="4BBAF9E9"/>
    <w:rsid w:val="590736D4"/>
    <w:rsid w:val="5B248BE0"/>
    <w:rsid w:val="5BE26508"/>
    <w:rsid w:val="60DF3DB8"/>
    <w:rsid w:val="6AE5DF0E"/>
    <w:rsid w:val="6B55461D"/>
    <w:rsid w:val="6B6CB941"/>
    <w:rsid w:val="6C3C6E82"/>
    <w:rsid w:val="6CACBCF5"/>
    <w:rsid w:val="75EE985F"/>
    <w:rsid w:val="778B14BC"/>
    <w:rsid w:val="77C6EEBB"/>
    <w:rsid w:val="78E0E89C"/>
    <w:rsid w:val="7ADD07F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035E1"/>
  <w15:chartTrackingRefBased/>
  <w15:docId w15:val="{E47CF64D-BE72-47C0-BBFA-5F09419D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B1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39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B139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B139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B139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B139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B139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B139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B139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B139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B1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39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B1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39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B1399"/>
    <w:pPr>
      <w:spacing w:before="160"/>
      <w:jc w:val="center"/>
    </w:pPr>
    <w:rPr>
      <w:i/>
      <w:iCs/>
      <w:color w:val="404040" w:themeColor="text1" w:themeTint="BF"/>
    </w:rPr>
  </w:style>
  <w:style w:type="character" w:customStyle="1" w:styleId="QuoteChar">
    <w:name w:val="Quote Char"/>
    <w:basedOn w:val="DefaultParagraphFont"/>
    <w:link w:val="Quote"/>
    <w:uiPriority w:val="29"/>
    <w:rsid w:val="00AB1399"/>
    <w:rPr>
      <w:i/>
      <w:iCs/>
      <w:color w:val="404040" w:themeColor="text1" w:themeTint="BF"/>
      <w:lang w:val="en-GB"/>
    </w:rPr>
  </w:style>
  <w:style w:type="paragraph" w:styleId="ListParagraph">
    <w:name w:val="List Paragraph"/>
    <w:basedOn w:val="Normal"/>
    <w:uiPriority w:val="34"/>
    <w:qFormat/>
    <w:rsid w:val="00AB1399"/>
    <w:pPr>
      <w:ind w:left="720"/>
      <w:contextualSpacing/>
    </w:pPr>
  </w:style>
  <w:style w:type="character" w:styleId="IntenseEmphasis">
    <w:name w:val="Intense Emphasis"/>
    <w:basedOn w:val="DefaultParagraphFont"/>
    <w:uiPriority w:val="21"/>
    <w:qFormat/>
    <w:rsid w:val="00AB1399"/>
    <w:rPr>
      <w:i/>
      <w:iCs/>
      <w:color w:val="2F5496" w:themeColor="accent1" w:themeShade="BF"/>
    </w:rPr>
  </w:style>
  <w:style w:type="paragraph" w:styleId="IntenseQuote">
    <w:name w:val="Intense Quote"/>
    <w:basedOn w:val="Normal"/>
    <w:next w:val="Normal"/>
    <w:link w:val="IntenseQuoteChar"/>
    <w:uiPriority w:val="30"/>
    <w:qFormat/>
    <w:rsid w:val="00AB1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399"/>
    <w:rPr>
      <w:i/>
      <w:iCs/>
      <w:color w:val="2F5496" w:themeColor="accent1" w:themeShade="BF"/>
      <w:lang w:val="en-GB"/>
    </w:rPr>
  </w:style>
  <w:style w:type="character" w:styleId="IntenseReference">
    <w:name w:val="Intense Reference"/>
    <w:basedOn w:val="DefaultParagraphFont"/>
    <w:uiPriority w:val="32"/>
    <w:qFormat/>
    <w:rsid w:val="00AB1399"/>
    <w:rPr>
      <w:b/>
      <w:bCs/>
      <w:smallCaps/>
      <w:color w:val="2F5496" w:themeColor="accent1" w:themeShade="BF"/>
      <w:spacing w:val="5"/>
    </w:rPr>
  </w:style>
  <w:style w:type="character" w:styleId="Hyperlink">
    <w:name w:val="Hyperlink"/>
    <w:basedOn w:val="DefaultParagraphFont"/>
    <w:uiPriority w:val="99"/>
    <w:unhideWhenUsed/>
    <w:rsid w:val="00AB1399"/>
    <w:rPr>
      <w:color w:val="0563C1" w:themeColor="hyperlink"/>
      <w:u w:val="single"/>
    </w:rPr>
  </w:style>
  <w:style w:type="character" w:styleId="UnresolvedMention">
    <w:name w:val="Unresolved Mention"/>
    <w:basedOn w:val="DefaultParagraphFont"/>
    <w:uiPriority w:val="99"/>
    <w:semiHidden/>
    <w:unhideWhenUsed/>
    <w:rsid w:val="00AB1399"/>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47D18"/>
    <w:rPr>
      <w:b/>
      <w:bCs/>
    </w:rPr>
  </w:style>
  <w:style w:type="character" w:customStyle="1" w:styleId="CommentSubjectChar">
    <w:name w:val="Comment Subject Char"/>
    <w:basedOn w:val="CommentTextChar"/>
    <w:link w:val="CommentSubject"/>
    <w:uiPriority w:val="99"/>
    <w:semiHidden/>
    <w:rsid w:val="00E47D18"/>
    <w:rPr>
      <w:b/>
      <w:bCs/>
      <w:sz w:val="20"/>
      <w:szCs w:val="20"/>
      <w:lang w:val="en-GB"/>
    </w:rPr>
  </w:style>
  <w:style w:type="paragraph" w:styleId="Revision">
    <w:name w:val="Revision"/>
    <w:hidden/>
    <w:uiPriority w:val="99"/>
    <w:semiHidden/>
    <w:rsid w:val="001A037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01/9781315370279" TargetMode="External"/><Relationship Id="rId13" Type="http://schemas.openxmlformats.org/officeDocument/2006/relationships/hyperlink" Target="https://www.columbia.edu/cu/e3bgrads/JC/Levin_1992_Ecology.pdf" TargetMode="External"/><Relationship Id="rId3" Type="http://schemas.openxmlformats.org/officeDocument/2006/relationships/webSettings" Target="webSettings.xml"/><Relationship Id="rId7" Type="http://schemas.openxmlformats.org/officeDocument/2006/relationships/hyperlink" Target="https://doi.org/10.1007/978-0-387-87458-6" TargetMode="External"/><Relationship Id="rId12" Type="http://schemas.openxmlformats.org/officeDocument/2006/relationships/hyperlink" Target="https://doi.org/10.1017/S0376892997000088"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32614/RJ-2017-066" TargetMode="External"/><Relationship Id="rId11" Type="http://schemas.openxmlformats.org/officeDocument/2006/relationships/hyperlink" Target="https://doi.org/10.1201/9781315370279" TargetMode="External"/><Relationship Id="rId5" Type="http://schemas.openxmlformats.org/officeDocument/2006/relationships/hyperlink" Target="https://doi.org/10.1016/j.fishres.2008.03.006" TargetMode="External"/><Relationship Id="rId15" Type="http://schemas.openxmlformats.org/officeDocument/2006/relationships/hyperlink" Target="https://doi.org/10.1111/j.1365-2427.2006.01641.x" TargetMode="External"/><Relationship Id="rId10" Type="http://schemas.openxmlformats.org/officeDocument/2006/relationships/hyperlink" Target="https://doi.org/10.1007/978-0-387-87458-6" TargetMode="External"/><Relationship Id="rId4" Type="http://schemas.openxmlformats.org/officeDocument/2006/relationships/hyperlink" Target="https://doi.org/10.1016/j.tree.2008.10.008" TargetMode="External"/><Relationship Id="rId9" Type="http://schemas.openxmlformats.org/officeDocument/2006/relationships/hyperlink" Target="https://doi.org/10.1007/978-0-387-87458-6" TargetMode="External"/><Relationship Id="rId14" Type="http://schemas.openxmlformats.org/officeDocument/2006/relationships/hyperlink" Target="https://doi.org/10.1080/00288330.2000.95169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20f5dc3-9452-48e5-9b4f-888df42f7a2d}" enabled="0" method="" siteId="{220f5dc3-9452-48e5-9b4f-888df42f7a2d}"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9</Pages>
  <Words>4867</Words>
  <Characters>27742</Characters>
  <Application>Microsoft Office Word</Application>
  <DocSecurity>0</DocSecurity>
  <Lines>231</Lines>
  <Paragraphs>65</Paragraphs>
  <ScaleCrop>false</ScaleCrop>
  <Company/>
  <LinksUpToDate>false</LinksUpToDate>
  <CharactersWithSpaces>32544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Olivier (Student)</dc:creator>
  <cp:keywords/>
  <dc:description/>
  <cp:lastModifiedBy>Raven, Olivier (Student)</cp:lastModifiedBy>
  <cp:revision>200</cp:revision>
  <dcterms:created xsi:type="dcterms:W3CDTF">2026-03-10T17:33:00Z</dcterms:created>
  <dcterms:modified xsi:type="dcterms:W3CDTF">2026-04-17T01:58:00Z</dcterms:modified>
</cp:coreProperties>
</file>