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1.png" ContentType="image/png"/>
  <Override PartName="/word/media/rId46.png" ContentType="image/png"/>
  <Override PartName="/word/media/rId36.png" ContentType="image/png"/>
  <Override PartName="/word/media/rId57.png" ContentType="image/png"/>
  <Override PartName="/word/media/rId41.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Author"/>
      </w:pPr>
      <w:r>
        <w:t xml:space="preserve">Olivier V. Raven</w:t>
      </w:r>
    </w:p>
    <w:p>
      <w:pPr>
        <w:pStyle w:val="Author"/>
      </w:pPr>
      <w:r>
        <w:t xml:space="preserve">Francis J. Burdon</w:t>
      </w:r>
    </w:p>
    <w:p>
      <w:pPr>
        <w:pStyle w:val="Author"/>
      </w:pPr>
      <w:r>
        <w:t xml:space="preserve">Ian A. K. Kusabs</w:t>
      </w:r>
    </w:p>
    <w:p>
      <w:pPr>
        <w:pStyle w:val="Author"/>
      </w:pPr>
      <w:r>
        <w:t xml:space="preserve">Robin Holmes</w:t>
      </w:r>
    </w:p>
    <w:p>
      <w:pPr>
        <w:pStyle w:val="Author"/>
      </w:pPr>
      <w:r>
        <w:t xml:space="preserve">Deniz Özkundakci</w:t>
      </w:r>
    </w:p>
    <w:p>
      <w:pPr>
        <w:pStyle w:val="Date"/>
      </w:pPr>
      <w:r>
        <w:t xml:space="preserve">2026-06-08</w:t>
      </w:r>
    </w:p>
    <w:p>
      <w:pPr>
        <w:pStyle w:val="AbstractTitle"/>
      </w:pPr>
      <w:r>
        <w:t xml:space="preserve">Abstract</w:t>
      </w:r>
    </w:p>
    <w:p>
      <w:pPr>
        <w:pStyle w:val="Abstract"/>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90%. Identifying key habitat requirements is essential to improve the conservation of freshwater crayfish in the face of multiple threats. To assess littoral habitat associations, we surveyed shoreline habitats in five Aotearoa lakes and modelled kōura occupancy, abundance, and biomass using generalised additive mixed models. Kōura distribution was best explained by habitat characteristics rather than lake-scale processes. Occupancy increased with shoreline habitat characteristics, particularly coarser substrate types and greater riparian vegetation cover. Elevated summer surface water temperatures were negatively associated with kōura occupancy and abundance, indicating reduced habitat suitability during warm periods. Water chemistry variables, conductivity and pH, were positively related to kōura presence and biomass. In contrast, emergent macrophyte-dominated shorelines were associated with lower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Start w:id="9"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(Collier et al., 1997; Momot, 1995;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(Albertson &amp; Daniels, 2018; Creed &amp; Reed, 2004; Statzner et al., 2003; Usio &amp; Townsend, 2004)</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(Danilović et al., 2022; Taylor et al., 2019)</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holds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In Lakes Rotorua and Rotoiti, located in the Bay of Plenty region of Aotearoa’s North Island, kōura populations have declined by 80 % and 96.4 %, respectively, over the past two decades</w:t>
      </w:r>
      <w:r>
        <w:t xml:space="preserve"> </w:t>
      </w:r>
      <w:r>
        <w:t xml:space="preserve">(Kusabs et al., in revision)</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w:t>
      </w:r>
    </w:p>
    <w:p>
      <w:pPr>
        <w:pStyle w:val="BodyText"/>
      </w:pPr>
      <w:r>
        <w:t xml:space="preserve">In 2016, the introduced North American brown bullhead catfish (</w:t>
      </w:r>
      <w:r>
        <w:rPr>
          <w:i/>
          <w:iCs/>
        </w:rPr>
        <w:t xml:space="preserve">Ameiurus nebulosus</w:t>
      </w:r>
      <w:r>
        <w:t xml:space="preserve">)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in revision)</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(Hamilton et al., 2005; Hessen et al., 2004; Vincent et al., 1984)</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habitats with physical structure and shelter including bank undercuts, woody debris, leaf litter, boulders and low flow velocities</w:t>
      </w:r>
      <w:r>
        <w:t xml:space="preserve"> </w:t>
      </w:r>
      <w:r>
        <w:t xml:space="preserve">(Jowett et al., 2008; Parkyn et al., 2009; Parkyn &amp; Collier, 2004; Usio &amp; Townsend, 2000)</w:t>
      </w:r>
      <w:r>
        <w:t xml:space="preserve">. In contrast, habitats used by kōura in lakes remains poorly understood, with previous studies largely focused on deeper offshore habitats</w:t>
      </w:r>
      <w:r>
        <w:t xml:space="preserve"> </w:t>
      </w:r>
      <w:r>
        <w:t xml:space="preserve">(Devcich, 1979; Kusabs et al., 2015b; Kusabs &amp; Quinn, 2009)</w:t>
      </w:r>
      <w:r>
        <w:t xml:space="preserve">. These studies suggest that benthic substrate characteristics may be more important than nutrient enrichment or predator abundance—specifically rainbow trout—in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aquatic vegetation, would be positively associated with kōura occurrence and abundance, as they provide physical refuge and foraging opportunities. Conversely, invasive submerged weed beds were expected to have negative associations with kōura as these dense beds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9"/>
    <w:bookmarkStart w:id="13" w:name="materials-and-methods"/>
    <w:p>
      <w:pPr>
        <w:pStyle w:val="Heading1"/>
      </w:pPr>
      <w:r>
        <w:t xml:space="preserve">Materials and Methods</w:t>
      </w:r>
    </w:p>
    <w:bookmarkStart w:id="10"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all volcanic lakes and vary widely in their physicochemical and morphometric characteristics (</w:t>
      </w:r>
      <w:hyperlink w:anchor="tbl-lake-overview-ms">
        <w:r>
          <w:rPr>
            <w:rStyle w:val="Hyperlink"/>
          </w:rPr>
          <w:t xml:space="preserve">Table 1</w:t>
        </w:r>
      </w:hyperlink>
      <w:r>
        <w:t xml:space="preserve">). All five lakes have populations of kōura. The presence of brown bullhead catfish in Lake Rotoiti was officially confirmed in 2016, and this species was subsequently detected in Lake Rotorua in 2018</w:t>
      </w:r>
      <w:r>
        <w:t xml:space="preserve"> </w:t>
      </w:r>
      <w:r>
        <w:t xml:space="preserve">(Grayling, 2020)</w:t>
      </w:r>
      <w:r>
        <w:t xml:space="preserve">.</w:t>
      </w:r>
    </w:p>
    <w:p>
      <w:pPr>
        <w:pStyle w:val="BodyText"/>
      </w:pPr>
      <w:r>
        <w:t xml:space="preserve">To create a stratified-random survey design,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“sandy” if sand was the dominant sediment (≥50 %) and rocky conditions were not met; “muddy” if soft mud or organic matter was dominant and rocky/sandy conditions were not met; and “emergent macrophyte” if emergent native vegetation exceeded 25 % of the shoreline cover.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0"/>
    <w:bookmarkStart w:id="11"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ms">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(Harding et al., 2009; Jowett et al., 2008; Jowett &amp; Richardson, 1990)</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as coarse substrate availability has been shown to mediate crayfish vulnerability to predation and directly influence crayfish abundance in lakes</w:t>
      </w:r>
      <w:r>
        <w:t xml:space="preserve"> </w:t>
      </w:r>
      <w:r>
        <w:t xml:space="preserve">(Nyström et al., 2006; Usio &amp; Townsend, 2000)</w:t>
      </w:r>
      <w:r>
        <w:t xml:space="preserve">, whereas fine substrates such as silt and mud alone offer limited physical refugia.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box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 spp.</w:t>
      </w:r>
      <w:r>
        <w:t xml:space="preserve">), goldfish (</w:t>
      </w:r>
      <w:r>
        <w:rPr>
          <w:i/>
          <w:iCs/>
        </w:rPr>
        <w:t xml:space="preserve">Carassius auratus</w:t>
      </w:r>
      <w:r>
        <w:t xml:space="preserve">), common smelt (</w:t>
      </w:r>
      <w:r>
        <w:rPr>
          <w:i/>
          <w:iCs/>
        </w:rPr>
        <w:t xml:space="preserve">Retropinna retropinna</w:t>
      </w:r>
      <w:r>
        <w:t xml:space="preserve">), kōaro (</w:t>
      </w:r>
      <w:r>
        <w:rPr>
          <w:i/>
          <w:iCs/>
        </w:rPr>
        <w:t xml:space="preserve">Galaxias brevipinnis</w:t>
      </w:r>
      <w:r>
        <w:t xml:space="preserve">), rainbow trout (</w:t>
      </w:r>
      <w:r>
        <w:rPr>
          <w:i/>
          <w:iCs/>
        </w:rPr>
        <w:t xml:space="preserve">Oncorhynchus mykiss</w:t>
      </w:r>
      <w:r>
        <w:t xml:space="preserve">), common bully (</w:t>
      </w:r>
      <w:r>
        <w:rPr>
          <w:i/>
          <w:iCs/>
        </w:rPr>
        <w:t xml:space="preserve">Gobiomorphus cotidianus</w:t>
      </w:r>
      <w:r>
        <w:t xml:space="preserve">), and mosquitofish (</w:t>
      </w:r>
      <w:r>
        <w:rPr>
          <w:i/>
          <w:iCs/>
        </w:rPr>
        <w:t xml:space="preserve">Gambusia affinis</w:t>
      </w:r>
      <w:r>
        <w:t xml:space="preserve">),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(G. P. 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1"/>
    <w:bookmarkStart w:id="12"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 in R</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(Kutner et al., 2005; G. P. Quinn &amp; Keough, 2002)</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(Wood, 2017; Zuur et al., 2009)</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(LID)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2"/>
    <w:bookmarkEnd w:id="13"/>
    <w:bookmarkStart w:id="17"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ms">
        <w:r>
          <w:rPr>
            <w:rStyle w:val="Hyperlink"/>
          </w:rPr>
          <w:t xml:space="preserve">Table 3</w:t>
        </w:r>
      </w:hyperlink>
      <w:r>
        <w:t xml:space="preserve">). Physical habitat structure varied among lakes, with differences in substrate index, nearshore slope, and littoral vegetation cover. Emergent vegetation was absent from Lake Rotorua but present in the other lakes, particularly Ōkāreka, while submerged vegetation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14" w:name="kōura-occupancy"/>
    <w:p>
      <w:pPr>
        <w:pStyle w:val="Heading2"/>
      </w:pPr>
      <w:r>
        <w:t xml:space="preserve">Kōura occupancy</w:t>
      </w:r>
    </w:p>
    <w:p>
      <w:pPr>
        <w:pStyle w:val="FirstParagraph"/>
      </w:pPr>
      <w:r>
        <w:t xml:space="preserve">The full binomial GAMM for kōura occupancy explained 65.1 % of the deviance (AIC = 49; adj. R² = 0.654).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index(p = 0.001), specific conductivity (</w:t>
      </w:r>
      <w:r>
        <w:rPr>
          <w:i/>
          <w:iCs/>
        </w:rPr>
        <w:t xml:space="preserve">p</w:t>
      </w:r>
      <w:r>
        <w:t xml:space="preserve"> </w:t>
      </w:r>
      <w:r>
        <w:t xml:space="preserve">= 0.0019) and a negative influence of temperature (</w:t>
      </w:r>
      <w:r>
        <w:rPr>
          <w:i/>
          <w:iCs/>
        </w:rPr>
        <w:t xml:space="preserve">p</w:t>
      </w:r>
      <w:r>
        <w:t xml:space="preserve"> </w:t>
      </w:r>
      <w:r>
        <w:t xml:space="preserve">= 0.0001),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high concurvity for temperature and specific conductivity indicating they are strongly related, and good discrimination (AUC = 0.946;</w:t>
      </w:r>
      <w:r>
        <w:t xml:space="preserve"> </w:t>
      </w:r>
      <w:hyperlink w:anchor="fig-occupancy-model">
        <w:r>
          <w:rPr>
            <w:rStyle w:val="Hyperlink"/>
          </w:rPr>
          <w:t xml:space="preserve">Figure 3</w:t>
        </w:r>
      </w:hyperlink>
      <w:r>
        <w:t xml:space="preserve"> </w:t>
      </w:r>
      <w:r>
        <w:t xml:space="preserve">b).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14"/>
    <w:bookmarkStart w:id="15" w:name="kōura-cpue"/>
    <w:p>
      <w:pPr>
        <w:pStyle w:val="Heading2"/>
      </w:pPr>
      <w:r>
        <w:t xml:space="preserve">Kōura CPUE</w:t>
      </w:r>
    </w:p>
    <w:p>
      <w:pPr>
        <w:pStyle w:val="FirstParagraph"/>
      </w:pPr>
      <w:r>
        <w:t xml:space="preserve">The full Gamma GAMM for positive CPUE explained 48.6 % of the deviance (AIC = 121; adj. R² = 0.24; n = 33). Stepwise selection (</w:t>
      </w:r>
      <w:r>
        <w:rPr>
          <w:i/>
          <w:iCs/>
        </w:rPr>
        <w:t xml:space="preserve">α</w:t>
      </w:r>
      <w:r>
        <w:t xml:space="preserve"> </w:t>
      </w:r>
      <w:r>
        <w:t xml:space="preserve">= 0.05) reduced the model to temperature, pH, and emergent native vegetation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&lt;0.001) and negative influence of temperature (</w:t>
      </w:r>
      <w:r>
        <w:rPr>
          <w:i/>
          <w:iCs/>
        </w:rPr>
        <w:t xml:space="preserve">p</w:t>
      </w:r>
      <w:r>
        <w:t xml:space="preserve"> </w:t>
      </w:r>
      <w:r>
        <w:t xml:space="preserve">&lt;0.05) and emergent native vegetation (</w:t>
      </w:r>
      <w:r>
        <w:rPr>
          <w:i/>
          <w:iCs/>
        </w:rPr>
        <w:t xml:space="preserve">p</w:t>
      </w:r>
      <w:r>
        <w:t xml:space="preserve"> </w:t>
      </w:r>
      <w:r>
        <w:t xml:space="preserve">&lt;0.0001)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The model tended to slightly over-predict very low CPUE values and under predict the highest observations.</w:t>
      </w:r>
    </w:p>
    <w:bookmarkEnd w:id="15"/>
    <w:bookmarkStart w:id="16" w:name="kōura-bpue"/>
    <w:p>
      <w:pPr>
        <w:pStyle w:val="Heading2"/>
      </w:pPr>
      <w:r>
        <w:t xml:space="preserve">Kōura BPUE</w:t>
      </w:r>
    </w:p>
    <w:p>
      <w:pPr>
        <w:pStyle w:val="FirstParagraph"/>
      </w:pPr>
      <w:r>
        <w:t xml:space="preserve">The full Gamma GAMM for positive BPUE explained 33.5 % of the deviance (AIC = 324; adj. R² = 0.093). Stepwise ML selection (</w:t>
      </w:r>
      <w:r>
        <w:rPr>
          <w:i/>
          <w:iCs/>
        </w:rPr>
        <w:t xml:space="preserve">α</w:t>
      </w:r>
      <w:r>
        <w:t xml:space="preserve"> </w:t>
      </w:r>
      <w:r>
        <w:t xml:space="preserve">= 0.05) retained pH, emergent native vegetation, and the lake identity random effect. The resulting reduced model had a lower AIC (318) and explained 26 % of the deviance (adj. R² = 0.141; n = 33). A likelihood ratio test provided no evidence that the full model offered a better fit than the reduced model (</w:t>
      </w:r>
      <w:r>
        <w:rPr>
          <w:i/>
          <w:iCs/>
        </w:rPr>
        <w:t xml:space="preserve">p</w:t>
      </w:r>
      <w:r>
        <w:t xml:space="preserve"> </w:t>
      </w:r>
      <w:r>
        <w:t xml:space="preserve">= 0.59), so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0.0015) and a negative influence of emergent native vegetation (</w:t>
      </w:r>
      <w:r>
        <w:rPr>
          <w:i/>
          <w:iCs/>
        </w:rPr>
        <w:t xml:space="preserve">p</w:t>
      </w:r>
      <w:r>
        <w:t xml:space="preserve"> </w:t>
      </w:r>
      <w:r>
        <w:t xml:space="preserve">= 0.04) as significant, near-linear smoothing (</w:t>
      </w:r>
      <w:hyperlink w:anchor="fig-bpue-hurdle">
        <w:r>
          <w:rPr>
            <w:rStyle w:val="Hyperlink"/>
          </w:rPr>
          <w:t xml:space="preserve">Figure 5</w:t>
        </w:r>
      </w:hyperlink>
      <w:r>
        <w:t xml:space="preserve"> </w:t>
      </w:r>
      <w:r>
        <w:t xml:space="preserve">a). The lake identity random effect was not significant (</w:t>
      </w:r>
      <w:r>
        <w:rPr>
          <w:i/>
          <w:iCs/>
        </w:rPr>
        <w:t xml:space="preserve">p</w:t>
      </w:r>
      <w:r>
        <w:t xml:space="preserve"> </w:t>
      </w:r>
      <w:r>
        <w:t xml:space="preserve">= 0.60), indicating minimal additional between lake variation after accounting for environmental predictors. Diagnostic checks showed appropriate basis dimensions (edf &lt; k), stable convergence, and acceptable levels of observed concurvity.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16"/>
    <w:bookmarkEnd w:id="17"/>
    <w:bookmarkStart w:id="22" w:name="discussion"/>
    <w:p>
      <w:pPr>
        <w:pStyle w:val="Heading1"/>
      </w:pPr>
      <w:r>
        <w:t xml:space="preserve">Discussion</w:t>
      </w:r>
    </w:p>
    <w:p>
      <w:pPr>
        <w:pStyle w:val="FirstParagraph"/>
      </w:pPr>
      <w:r>
        <w:t xml:space="preserve">We found that local and site-scale habitat characteristics were the primary determinants of kōura occurrence and abundance.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In the final models, lake identity was retained as a random effect to account for spatial non-independence among sites, but was not statistically significant, indicating that it did not explain additional variation beyond that accounted for by littoral habitat characteristics and fish composition. This finding suggests that major lake-scale processes, are less important determinants of kōura distribution than local, within-lake variation in habitat quality. If lake-scale processes were primary drivers, lake identity would be expected to remain significant even after including local predictors. As predictors were often correlated at the site scale, the GAMMs are best interpreted as identifying habitat associations rather than mechanistic drivers of kōura distribution.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18"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(Haschenburger &amp; Roest, 2009; Kusabs et al., 2015b; White &amp; Irvine, 2003)</w:t>
      </w:r>
      <w:r>
        <w:t xml:space="preserve">. The relationship between substrate size and benthic invertebrates is not linear</w:t>
      </w:r>
      <w:r>
        <w:t xml:space="preserve"> </w:t>
      </w:r>
      <w:r>
        <w:t xml:space="preserve">(J. M. 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(Jowett et al., 2008; Olsson et al., 2006)</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and giant spike rush (</w:t>
      </w:r>
      <w:r>
        <w:rPr>
          <w:i/>
          <w:iCs/>
        </w:rPr>
        <w:t xml:space="preserve">Eleocharis sphacelata</w:t>
      </w:r>
      <w:r>
        <w:t xml:space="preserve">),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w:t>
      </w:r>
    </w:p>
    <w:bookmarkEnd w:id="18"/>
    <w:bookmarkStart w:id="19"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(Ford &amp; Beitinger, 2005; Fry &amp; Hart, 1948)</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can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in revision)</w:t>
      </w:r>
      <w:r>
        <w:t xml:space="preserve">. Overall, fish associations observed in this study appear to reflect shared responses to habitat structure and productivity rather than direct biotic regulation of kōura populations.</w:t>
      </w:r>
    </w:p>
    <w:bookmarkEnd w:id="19"/>
    <w:bookmarkStart w:id="20"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w:t>
      </w:r>
      <w:r>
        <w:t xml:space="preserve"> </w:t>
      </w:r>
      <w:r>
        <w:t xml:space="preserve">(Angilletta et al., 2004; Devcich, 1979; Hammond et al., 2006)</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Similarly, specific conductivity reflects ionic strength and broader littoral productivity, which may support increased food availability for kōura</w:t>
      </w:r>
      <w:r>
        <w:t xml:space="preserve"> </w:t>
      </w:r>
      <w:r>
        <w:t xml:space="preserve">(Devcich, 1979)</w:t>
      </w:r>
      <w:r>
        <w:t xml:space="preserve">.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0"/>
    <w:bookmarkStart w:id="21" w:name="conclusions"/>
    <w:p>
      <w:pPr>
        <w:pStyle w:val="Heading2"/>
      </w:pPr>
      <w:r>
        <w:t xml:space="preserve">Conclusions</w:t>
      </w:r>
    </w:p>
    <w:p>
      <w:pPr>
        <w:pStyle w:val="FirstParagraph"/>
      </w:pPr>
      <w:r>
        <w:t xml:space="preserve">Our study demonstrates that kōura occurrence and abundance in nearshore habitats are primarily influenced by local littoral habitat conditions rather than by lake-scale processes. Coarse substrate availability and summer water temperature emerged as key correlates, underscoring the importance of nearshore environments in shaping kōura distribution within lakes. Together, these findings indicate that kōura habitat suitability is closely linked to local physical habitat characteristics and seasonal thermal conditions operating at the site scale within the littoral zone.</w:t>
      </w:r>
    </w:p>
    <w:p>
      <w:pPr>
        <w:pStyle w:val="BodyText"/>
      </w:pPr>
      <w:r>
        <w:t xml:space="preserve">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Because sampling was restricted to the spring/summer period, our study provides a focused view of kōura habitat use under peak thermal conditions, but seasonal variation in habitat associations remains unexplored.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interstitial refuge availability may act as a limiting factor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1"/>
    <w:bookmarkEnd w:id="22"/>
    <w:bookmarkStart w:id="27" w:name="acknowledgements"/>
    <w:p>
      <w:pPr>
        <w:pStyle w:val="Heading1"/>
      </w:pPr>
      <w:r>
        <w:t xml:space="preserve">Acknowledgements</w:t>
      </w:r>
    </w:p>
    <w:p>
      <w:pPr>
        <w:pStyle w:val="FirstParagraph"/>
      </w:pPr>
      <w:r>
        <w:t xml:space="preserve">We thank Te Arawa Lakes Trust and Te Komiti Whakahaere for the opportunity to study kōura in these special lakes. We are grateful to Soweeta Fort-D’ath and William Anaru (Te Arawa Lakes Trust), and Tihini Grant (Ngāti Pikiao), for facilitating access to the lakes and supporting the field programme. We appreciate Joe Butterworth’s assistance with fieldwork, and the support of Andy Bruere and Bay of Plenty Regional Council in helping to fund the fieldwork. We thank Calum MacNeil and three anonymous reviewers for feedback on an earlier version of this manuscript. This research was supported by the Fish Futures programme funded through a Ministry of Business, Innovation and Employment grant (CAWX2101).</w:t>
      </w:r>
    </w:p>
    <w:bookmarkStart w:id="23"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knowledge was contributed by I.A.K.K. and R.H. Manuscript drafting was led by O.V.R. All authors contributed to manuscript revision, approved the results, and the final manuscript.</w:t>
      </w:r>
    </w:p>
    <w:bookmarkEnd w:id="23"/>
    <w:bookmarkStart w:id="24"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24"/>
    <w:bookmarkStart w:id="25" w:name="declarations"/>
    <w:p>
      <w:pPr>
        <w:pStyle w:val="Heading2"/>
      </w:pPr>
      <w:r>
        <w:t xml:space="preserve">Declarations</w:t>
      </w:r>
    </w:p>
    <w:p>
      <w:pPr>
        <w:pStyle w:val="FirstParagraph"/>
      </w:pPr>
      <w:r>
        <w:t xml:space="preserve">The corresponding author has declared that none of the authors has any competing interests.</w:t>
      </w:r>
    </w:p>
    <w:bookmarkEnd w:id="25"/>
    <w:bookmarkStart w:id="26"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26"/>
    <w:bookmarkEnd w:id="27"/>
    <w:bookmarkStart w:id="31"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8" w:name="tbl-lake-overview-ms"/>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w:t>
            </w:r>
          </w:p>
          <w:tbl>
            <w:tblPr>
              <w:tblStyle w:val="Table"/>
              <w:tblW w:type="pct" w:w="5000"/>
              <w:tblLayout w:type="fixed"/>
              <w:tblLook w:firstRow="1" w:lastRow="0" w:firstColumn="0" w:lastColumn="0" w:noHBand="0" w:noVBand="0" w:val="0020"/>
            </w:tblPr>
            <w:tblGrid>
              <w:gridCol w:w="442"/>
              <w:gridCol w:w="1415"/>
              <w:gridCol w:w="840"/>
              <w:gridCol w:w="973"/>
              <w:gridCol w:w="929"/>
              <w:gridCol w:w="663"/>
              <w:gridCol w:w="796"/>
              <w:gridCol w:w="619"/>
              <w:gridCol w:w="619"/>
              <w:gridCol w:w="619"/>
            </w:tblGrid>
            <w:tr>
              <w:trPr>
                <w:tblHeader w:val="on"/>
              </w:trPr>
              <w:tc>
                <w:tcPr/>
                <w:p>
                  <w:pPr>
                    <w:pStyle w:val="Compact"/>
                    <w:jc w:val="left"/>
                    <w:jc w:val="center"/>
                  </w:pPr>
                  <w:r>
                    <w:t xml:space="preserve">Lake name</w:t>
                  </w:r>
                </w:p>
              </w:tc>
              <w:tc>
                <w:tcPr/>
                <w:p>
                  <w:pPr>
                    <w:pStyle w:val="Compact"/>
                    <w:jc w:val="left"/>
                    <w:jc w:val="center"/>
                  </w:pPr>
                  <w:r>
                    <w:t xml:space="preserve">Sampling date (number of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environmental-biotic-overview-ms"/>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787"/>
              <w:gridCol w:w="2153"/>
              <w:gridCol w:w="2825"/>
              <w:gridCol w:w="21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 (LID)</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vegetation</w:t>
                  </w:r>
                </w:p>
              </w:tc>
              <w:tc>
                <w:tcPr/>
                <w:p>
                  <w:pPr>
                    <w:pStyle w:val="Compact"/>
                    <w:jc w:val="left"/>
                    <w:jc w:val="center"/>
                  </w:pPr>
                  <w:r>
                    <w:t xml:space="preserve">Percentage cover of vegetation divided over emergent/submerged and native/non-native species</w:t>
                  </w:r>
                </w:p>
              </w:tc>
              <w:tc>
                <w:tcPr/>
                <w:p>
                  <w:pPr>
                    <w:pStyle w:val="Compact"/>
                    <w:jc w:val="left"/>
                    <w:jc w:val="center"/>
                  </w:pPr>
                  <w:r>
                    <w:t xml:space="preserve">Native vegetation provides cover and food source; non-native may alter movement and habitat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30"/>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Article Notebook</w:t>
        </w:r>
      </w:hyperlink>
    </w:p>
    <w:bookmarkEnd w:id="31"/>
    <w:bookmarkStart w:id="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site-map"/>
          <w:p>
            <w:pPr>
              <w:pStyle w:val="Compact"/>
              <w:jc w:val="center"/>
            </w:pPr>
            <w:r>
              <w:drawing>
                <wp:inline>
                  <wp:extent cx="5727700" cy="4050383"/>
                  <wp:effectExtent b="0" l="0" r="0" t="0"/>
                  <wp:docPr descr="" title="" id="33" name="Picture"/>
                  <a:graphic>
                    <a:graphicData uri="http://schemas.openxmlformats.org/drawingml/2006/picture">
                      <pic:pic>
                        <pic:nvPicPr>
                          <pic:cNvPr descr="images/Natural_habitat_map.png" id="34" name="Picture"/>
                          <pic:cNvPicPr>
                            <a:picLocks noChangeArrowheads="1" noChangeAspect="1"/>
                          </pic:cNvPicPr>
                        </pic:nvPicPr>
                        <pic:blipFill>
                          <a:blip r:embed="rId32"/>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koura-by-lake"/>
          <w:p>
            <w:pPr>
              <w:pStyle w:val="Compact"/>
              <w:jc w:val="center"/>
            </w:pPr>
            <w:r>
              <w:drawing>
                <wp:inline>
                  <wp:extent cx="2772075" cy="4620126"/>
                  <wp:effectExtent b="0" l="0" r="0" t="0"/>
                  <wp:docPr descr="" title="" id="37" name="Picture"/>
                  <a:graphic>
                    <a:graphicData uri="http://schemas.openxmlformats.org/drawingml/2006/picture">
                      <pic:pic>
                        <pic:nvPicPr>
                          <pic:cNvPr descr="index_files/figure-docx/analysis-fig-koura-by-lake-output-1.png" id="38" name="Picture"/>
                          <pic:cNvPicPr>
                            <a:picLocks noChangeArrowheads="1" noChangeAspect="1"/>
                          </pic:cNvPicPr>
                        </pic:nvPicPr>
                        <pic:blipFill>
                          <a:blip r:embed="rId36"/>
                          <a:stretch>
                            <a:fillRect/>
                          </a:stretch>
                        </pic:blipFill>
                        <pic:spPr bwMode="auto">
                          <a:xfrm>
                            <a:off x="0" y="0"/>
                            <a:ext cx="2772075"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4" w:name="fig-occupancy-model"/>
          <w:p>
            <w:pPr>
              <w:pStyle w:val="Compact"/>
              <w:jc w:val="center"/>
            </w:pPr>
            <w:r>
              <w:drawing>
                <wp:inline>
                  <wp:extent cx="5727700" cy="4091214"/>
                  <wp:effectExtent b="0" l="0" r="0" t="0"/>
                  <wp:docPr descr="" title="" id="42" name="Picture"/>
                  <a:graphic>
                    <a:graphicData uri="http://schemas.openxmlformats.org/drawingml/2006/picture">
                      <pic:pic>
                        <pic:nvPicPr>
                          <pic:cNvPr descr="index_files/figure-docx/analysis-fig-occupancy-model-output-2.png" id="43" name="Picture"/>
                          <pic:cNvPicPr>
                            <a:picLocks noChangeArrowheads="1" noChangeAspect="1"/>
                          </pic:cNvPicPr>
                        </pic:nvPicPr>
                        <pic:blipFill>
                          <a:blip r:embed="rId41"/>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9" w:name="fig-cpue-hurdle"/>
          <w:p>
            <w:pPr>
              <w:pStyle w:val="Compact"/>
              <w:jc w:val="center"/>
            </w:pPr>
            <w:r>
              <w:drawing>
                <wp:inline>
                  <wp:extent cx="5082138" cy="4620126"/>
                  <wp:effectExtent b="0" l="0" r="0" t="0"/>
                  <wp:docPr descr="" title="" id="47" name="Picture"/>
                  <a:graphic>
                    <a:graphicData uri="http://schemas.openxmlformats.org/drawingml/2006/picture">
                      <pic:pic>
                        <pic:nvPicPr>
                          <pic:cNvPr descr="index_files/figure-docx/analysis-fig-cpue-hurdle-output-1.png" id="48" name="Picture"/>
                          <pic:cNvPicPr>
                            <a:picLocks noChangeArrowheads="1" noChangeAspect="1"/>
                          </pic:cNvPicPr>
                        </pic:nvPicPr>
                        <pic:blipFill>
                          <a:blip r:embed="rId46"/>
                          <a:stretch>
                            <a:fillRect/>
                          </a:stretch>
                        </pic:blipFill>
                        <pic:spPr bwMode="auto">
                          <a:xfrm>
                            <a:off x="0" y="0"/>
                            <a:ext cx="5082138"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vegetation,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4" w:name="fig-bpue-hurdle"/>
          <w:p>
            <w:pPr>
              <w:pStyle w:val="Compact"/>
              <w:jc w:val="center"/>
            </w:pPr>
            <w:r>
              <w:drawing>
                <wp:inline>
                  <wp:extent cx="3696101" cy="4620126"/>
                  <wp:effectExtent b="0" l="0" r="0" t="0"/>
                  <wp:docPr descr="" title="" id="52" name="Picture"/>
                  <a:graphic>
                    <a:graphicData uri="http://schemas.openxmlformats.org/drawingml/2006/picture">
                      <pic:pic>
                        <pic:nvPicPr>
                          <pic:cNvPr descr="index_files/figure-docx/analysis-fig-bpue-hurdle-output-1.png" id="53" name="Picture"/>
                          <pic:cNvPicPr>
                            <a:picLocks noChangeArrowheads="1" noChangeAspect="1"/>
                          </pic:cNvPicPr>
                        </pic:nvPicPr>
                        <pic:blipFill>
                          <a:blip r:embed="rId51"/>
                          <a:stretch>
                            <a:fillRect/>
                          </a:stretch>
                        </pic:blipFill>
                        <pic:spPr bwMode="auto">
                          <a:xfrm>
                            <a:off x="0" y="0"/>
                            <a:ext cx="3696101"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vegetation,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Analysis Notebook</w:t>
        </w:r>
      </w:hyperlink>
    </w:p>
    <w:bookmarkEnd w:id="56"/>
    <w:bookmarkStart w:id="201"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0" w:name="fig-length-weight"/>
          <w:p>
            <w:pPr>
              <w:pStyle w:val="Compact"/>
              <w:jc w:val="center"/>
            </w:pPr>
            <w:r>
              <w:drawing>
                <wp:inline>
                  <wp:extent cx="5727700" cy="4091214"/>
                  <wp:effectExtent b="0" l="0" r="0" t="0"/>
                  <wp:docPr descr="" title="" id="58" name="Picture"/>
                  <a:graphic>
                    <a:graphicData uri="http://schemas.openxmlformats.org/drawingml/2006/picture">
                      <pic:pic>
                        <pic:nvPicPr>
                          <pic:cNvPr descr="index_files/figure-docx/analysis-fig-length-weight-output-1.png" id="59" name="Picture"/>
                          <pic:cNvPicPr>
                            <a:picLocks noChangeArrowheads="1" noChangeAspect="1"/>
                          </pic:cNvPicPr>
                        </pic:nvPicPr>
                        <pic:blipFill>
                          <a:blip r:embed="rId57"/>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5" w:name="fig-raw-data-plots"/>
          <w:p>
            <w:pPr>
              <w:pStyle w:val="Compact"/>
              <w:jc w:val="center"/>
            </w:pPr>
            <w:r>
              <w:drawing>
                <wp:inline>
                  <wp:extent cx="5544151" cy="3696101"/>
                  <wp:effectExtent b="0" l="0" r="0" t="0"/>
                  <wp:docPr descr="" title="" id="63" name="Picture"/>
                  <a:graphic>
                    <a:graphicData uri="http://schemas.openxmlformats.org/drawingml/2006/picture">
                      <pic:pic>
                        <pic:nvPicPr>
                          <pic:cNvPr descr="index_files/figure-docx/analysis-fig-raw-data-plots-output-1.png" id="64" name="Picture"/>
                          <pic:cNvPicPr>
                            <a:picLocks noChangeArrowheads="1" noChangeAspect="1"/>
                          </pic:cNvPicPr>
                        </pic:nvPicPr>
                        <pic:blipFill>
                          <a:blip r:embed="rId62"/>
                          <a:stretch>
                            <a:fillRect/>
                          </a:stretch>
                        </pic:blipFill>
                        <pic:spPr bwMode="auto">
                          <a:xfrm>
                            <a:off x="0" y="0"/>
                            <a:ext cx="5544151"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significant habitat predictors and kōura CPUE (upper panels) and BPUE (lower panels) at sites where kōura were present. Points represent observed values at individual sites. Temperature (°C), pH, and emergent native vegetation cover (%) are shown for CPUE; pH and emergent native vegetation cover (%) are shown for BPUE.</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7" w:name="tbl-env-fish-summary-ms"/>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0.26</w:t>
                  </w:r>
                </w:p>
              </w:tc>
              <w:tc>
                <w:tcPr/>
                <w:p>
                  <w:pPr>
                    <w:pStyle w:val="Compact"/>
                    <w:jc w:val="right"/>
                    <w:jc w:val="center"/>
                  </w:pPr>
                  <w:r>
                    <w:t xml:space="preserve">0.91</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0.61</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bl>
          <w:bookmarkEnd w:id="67"/>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Article Notebook</w:t>
        </w:r>
      </w:hyperlink>
    </w:p>
    <w:bookmarkStart w:id="200" w:name="refs"/>
    <w:bookmarkStart w:id="69" w:name="ref-Albertson2018"/>
    <w:p>
      <w:pPr>
        <w:pStyle w:val="Bibliography"/>
      </w:pPr>
      <w:r>
        <w:t xml:space="preserve">Albertson, L. K., &amp; Daniels, M. D. (2018). Crayfish ecosystem engineering effects on riverbed disturbance and topography are mediated by size and behavior.</w:t>
      </w:r>
      <w:r>
        <w:t xml:space="preserve"> </w:t>
      </w:r>
      <w:r>
        <w:rPr>
          <w:i/>
          <w:iCs/>
        </w:rPr>
        <w:t xml:space="preserve">Freshwater Science</w:t>
      </w:r>
      <w:r>
        <w:t xml:space="preserve">,</w:t>
      </w:r>
      <w:r>
        <w:t xml:space="preserve"> </w:t>
      </w:r>
      <w:r>
        <w:rPr>
          <w:i/>
          <w:iCs/>
        </w:rPr>
        <w:t xml:space="preserve">37</w:t>
      </w:r>
      <w:r>
        <w:t xml:space="preserve">(4), 836–844.</w:t>
      </w:r>
      <w:r>
        <w:t xml:space="preserve"> </w:t>
      </w:r>
      <w:hyperlink r:id="rId68">
        <w:r>
          <w:rPr>
            <w:rStyle w:val="Hyperlink"/>
          </w:rPr>
          <w:t xml:space="preserve">https://doi.org/10.1086/700884</w:t>
        </w:r>
      </w:hyperlink>
    </w:p>
    <w:bookmarkEnd w:id="69"/>
    <w:bookmarkStart w:id="71" w:name="ref-Angilletta2004"/>
    <w:p>
      <w:pPr>
        <w:pStyle w:val="Bibliography"/>
      </w:pPr>
      <w:r>
        <w:t xml:space="preserve">Angilletta, M. J., Steury, T. D., &amp; Sears, M. W. (2004). Temperature, growth rate, and body size in ectotherms: Fitting pieces of a life-history puzzle.</w:t>
      </w:r>
      <w:r>
        <w:t xml:space="preserve"> </w:t>
      </w:r>
      <w:r>
        <w:rPr>
          <w:i/>
          <w:iCs/>
        </w:rPr>
        <w:t xml:space="preserve">Integrative and Comparative Biology</w:t>
      </w:r>
      <w:r>
        <w:t xml:space="preserve">,</w:t>
      </w:r>
      <w:r>
        <w:t xml:space="preserve"> </w:t>
      </w:r>
      <w:r>
        <w:rPr>
          <w:i/>
          <w:iCs/>
        </w:rPr>
        <w:t xml:space="preserve">44</w:t>
      </w:r>
      <w:r>
        <w:t xml:space="preserve">(6), 498–509.</w:t>
      </w:r>
      <w:r>
        <w:t xml:space="preserve"> </w:t>
      </w:r>
      <w:hyperlink r:id="rId70">
        <w:r>
          <w:rPr>
            <w:rStyle w:val="Hyperlink"/>
          </w:rPr>
          <w:t xml:space="preserve">https://doi.org/10.1093/icb/44.6.498</w:t>
        </w:r>
      </w:hyperlink>
    </w:p>
    <w:bookmarkEnd w:id="71"/>
    <w:bookmarkStart w:id="73" w:name="ref-Barnes1996"/>
    <w:p>
      <w:pPr>
        <w:pStyle w:val="Bibliography"/>
      </w:pPr>
      <w:r>
        <w:t xml:space="preserve">Barnes, G. E. (1996).</w:t>
      </w:r>
      <w:r>
        <w:t xml:space="preserve"> </w:t>
      </w:r>
      <w:r>
        <w:rPr>
          <w:i/>
          <w:iCs/>
        </w:rPr>
        <w:t xml:space="preserve">The biology and general ecology of the brown bullhead catfish (</w:t>
      </w:r>
      <w:r>
        <w:rPr>
          <w:i/>
          <w:i/>
          <w:iCs/>
          <w:iCs/>
        </w:rPr>
        <w:t xml:space="preserve">ameiurus nebulosus</w:t>
      </w:r>
      <w:r>
        <w:rPr>
          <w:i/>
          <w:iCs/>
        </w:rPr>
        <w:t xml:space="preserve">) in lake taupo</w:t>
      </w:r>
      <w:r>
        <w:t xml:space="preserve"> </w:t>
      </w:r>
      <w:r>
        <w:t xml:space="preserve">[Master of Science thesis, University of Waikato].</w:t>
      </w:r>
      <w:r>
        <w:t xml:space="preserve"> </w:t>
      </w:r>
      <w:hyperlink r:id="rId72">
        <w:r>
          <w:rPr>
            <w:rStyle w:val="Hyperlink"/>
          </w:rPr>
          <w:t xml:space="preserve">https://researchcommons.waikato.ac.nz/items/24cf02c1-8c2f-4b63-ba89-e8a509e9ba05</w:t>
        </w:r>
      </w:hyperlink>
    </w:p>
    <w:bookmarkEnd w:id="73"/>
    <w:bookmarkStart w:id="74" w:name="ref-Barnes2003"/>
    <w:p>
      <w:pPr>
        <w:pStyle w:val="Bibliography"/>
      </w:pPr>
      <w:r>
        <w:t xml:space="preserve">Barnes, G. E., &amp; Hicks, B. J. (2003). Brown bullhead catfish (</w:t>
      </w:r>
      <w:r>
        <w:rPr>
          <w:i/>
          <w:iCs/>
        </w:rPr>
        <w:t xml:space="preserve">ameiurus nebulosus</w:t>
      </w:r>
      <w:r>
        <w:t xml:space="preserve">) in lake taupo.</w:t>
      </w:r>
      <w:r>
        <w:t xml:space="preserve"> </w:t>
      </w:r>
      <w:r>
        <w:rPr>
          <w:i/>
          <w:iCs/>
        </w:rPr>
        <w:t xml:space="preserve">Managing Invasive Freshwater Fish in New Zealand: Proceedings of a Workshop Hosted by Department of Conservation, 10–12 May 2001, Hamilton</w:t>
      </w:r>
      <w:r>
        <w:t xml:space="preserve">.</w:t>
      </w:r>
    </w:p>
    <w:bookmarkEnd w:id="74"/>
    <w:bookmarkStart w:id="76"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5">
        <w:r>
          <w:rPr>
            <w:rStyle w:val="Hyperlink"/>
          </w:rPr>
          <w:t xml:space="preserve">https://doi.org/10.1016/j.tree.2008.10.008</w:t>
        </w:r>
      </w:hyperlink>
    </w:p>
    <w:bookmarkEnd w:id="76"/>
    <w:bookmarkStart w:id="78" w:name="ref-Brooks2017"/>
    <w:p>
      <w:pPr>
        <w:pStyle w:val="Bibliography"/>
      </w:pPr>
      <w:r>
        <w:t xml:space="preserve">Brooks, M. E., Kristensen, K., Benthem, K. J. van, Magnusson, A., Berg, C. W., Nielsen, A., Skaug, H. J., Mächler,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77">
        <w:r>
          <w:rPr>
            <w:rStyle w:val="Hyperlink"/>
          </w:rPr>
          <w:t xml:space="preserve">https://doi.org/10.32614/RJ-2017-066</w:t>
        </w:r>
      </w:hyperlink>
    </w:p>
    <w:bookmarkEnd w:id="78"/>
    <w:bookmarkStart w:id="80" w:name="ref-Bunch2010"/>
    <w:p>
      <w:pPr>
        <w:pStyle w:val="Bibliography"/>
      </w:pPr>
      <w:r>
        <w:t xml:space="preserve">Bunch, A. J., Allen, M. S., &amp; Gwinn, D. C. (2010). Spatial and temporal hypoxia dynamics in dense emergent macrophytes in a florida lake.</w:t>
      </w:r>
      <w:r>
        <w:t xml:space="preserve"> </w:t>
      </w:r>
      <w:r>
        <w:rPr>
          <w:i/>
          <w:iCs/>
        </w:rPr>
        <w:t xml:space="preserve">Wetlands</w:t>
      </w:r>
      <w:r>
        <w:t xml:space="preserve">,</w:t>
      </w:r>
      <w:r>
        <w:t xml:space="preserve"> </w:t>
      </w:r>
      <w:r>
        <w:rPr>
          <w:i/>
          <w:iCs/>
        </w:rPr>
        <w:t xml:space="preserve">30</w:t>
      </w:r>
      <w:r>
        <w:t xml:space="preserve">(3), 429–435.</w:t>
      </w:r>
      <w:r>
        <w:t xml:space="preserve"> </w:t>
      </w:r>
      <w:hyperlink r:id="rId79">
        <w:r>
          <w:rPr>
            <w:rStyle w:val="Hyperlink"/>
          </w:rPr>
          <w:t xml:space="preserve">https://doi.org/10.1007/s13157-010-0051-9</w:t>
        </w:r>
      </w:hyperlink>
    </w:p>
    <w:bookmarkEnd w:id="80"/>
    <w:bookmarkStart w:id="82" w:name="ref-Capinha2013"/>
    <w:p>
      <w:pPr>
        <w:pStyle w:val="Bibliography"/>
      </w:pPr>
      <w:r>
        <w:t xml:space="preserve">Capinha, C., Larson, E. R., Tricarico, E., Olden, J. D., &amp; Gherardi, F. (2013). Effects of climate change, invasive species, and disease on the distribution of native european crayfishes.</w:t>
      </w:r>
      <w:r>
        <w:t xml:space="preserve"> </w:t>
      </w:r>
      <w:r>
        <w:rPr>
          <w:i/>
          <w:iCs/>
        </w:rPr>
        <w:t xml:space="preserve">Conservation Biology</w:t>
      </w:r>
      <w:r>
        <w:t xml:space="preserve">,</w:t>
      </w:r>
      <w:r>
        <w:t xml:space="preserve"> </w:t>
      </w:r>
      <w:r>
        <w:rPr>
          <w:i/>
          <w:iCs/>
        </w:rPr>
        <w:t xml:space="preserve">27</w:t>
      </w:r>
      <w:r>
        <w:t xml:space="preserve">(4), 731–740.</w:t>
      </w:r>
      <w:r>
        <w:t xml:space="preserve"> </w:t>
      </w:r>
      <w:hyperlink r:id="rId81">
        <w:r>
          <w:rPr>
            <w:rStyle w:val="Hyperlink"/>
          </w:rPr>
          <w:t xml:space="preserve">https://doi.org/10.1111/cobi.12043</w:t>
        </w:r>
      </w:hyperlink>
    </w:p>
    <w:bookmarkEnd w:id="82"/>
    <w:bookmarkStart w:id="84" w:name="ref-Chambers1987"/>
    <w:p>
      <w:pPr>
        <w:pStyle w:val="Bibliography"/>
      </w:pPr>
      <w:r>
        <w:t xml:space="preserve">Chambers, P. A. (1987). Nearshore occurrence of submersed aquatic macrophytes in relation to wave action.</w:t>
      </w:r>
      <w:r>
        <w:t xml:space="preserve"> </w:t>
      </w:r>
      <w:r>
        <w:rPr>
          <w:i/>
          <w:iCs/>
        </w:rPr>
        <w:t xml:space="preserve">Canadian Journal of Fisheries and Aquatic Sciences</w:t>
      </w:r>
      <w:r>
        <w:t xml:space="preserve">,</w:t>
      </w:r>
      <w:r>
        <w:t xml:space="preserve"> </w:t>
      </w:r>
      <w:r>
        <w:rPr>
          <w:i/>
          <w:iCs/>
        </w:rPr>
        <w:t xml:space="preserve">44</w:t>
      </w:r>
      <w:r>
        <w:t xml:space="preserve">(9), 1666–1669.</w:t>
      </w:r>
      <w:r>
        <w:t xml:space="preserve"> </w:t>
      </w:r>
      <w:hyperlink r:id="rId83">
        <w:r>
          <w:rPr>
            <w:rStyle w:val="Hyperlink"/>
          </w:rPr>
          <w:t xml:space="preserve">https://doi.org/10.1139/f87-204</w:t>
        </w:r>
      </w:hyperlink>
    </w:p>
    <w:bookmarkEnd w:id="84"/>
    <w:bookmarkStart w:id="85"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85"/>
    <w:bookmarkStart w:id="87" w:name="ref-Creed2004"/>
    <w:p>
      <w:pPr>
        <w:pStyle w:val="Bibliography"/>
      </w:pPr>
      <w:r>
        <w:t xml:space="preserve">Creed, R. P., &amp; Reed, J. M. (2004). Ecosystem engineering by crayfish in a headwater stream community.</w:t>
      </w:r>
      <w:r>
        <w:t xml:space="preserve"> </w:t>
      </w:r>
      <w:r>
        <w:rPr>
          <w:i/>
          <w:iCs/>
        </w:rPr>
        <w:t xml:space="preserve">Journal of the North American Benthological Society</w:t>
      </w:r>
      <w:r>
        <w:t xml:space="preserve">,</w:t>
      </w:r>
      <w:r>
        <w:t xml:space="preserve"> </w:t>
      </w:r>
      <w:r>
        <w:rPr>
          <w:i/>
          <w:iCs/>
        </w:rPr>
        <w:t xml:space="preserve">23</w:t>
      </w:r>
      <w:r>
        <w:t xml:space="preserve">(2), 224–236.</w:t>
      </w:r>
      <w:r>
        <w:t xml:space="preserve"> </w:t>
      </w:r>
      <w:hyperlink r:id="rId86">
        <w:r>
          <w:rPr>
            <w:rStyle w:val="Hyperlink"/>
          </w:rPr>
          <w:t xml:space="preserve">https://doi.org/10.1899/0887-3593(2004)023&lt;0224:EEBCIA&gt;2.0.CO;2</w:t>
        </w:r>
      </w:hyperlink>
    </w:p>
    <w:bookmarkEnd w:id="87"/>
    <w:bookmarkStart w:id="89" w:name="ref-Danilovic2022"/>
    <w:p>
      <w:pPr>
        <w:pStyle w:val="Bibliography"/>
      </w:pPr>
      <w:r>
        <w:t xml:space="preserve">Danilović, M., Maguire, I., &amp; Füreder, L. (2022). Overlooked keystone species in conservation plans of fluvial ecosystems in</w:t>
      </w:r>
      <w:r>
        <w:t xml:space="preserve"> </w:t>
      </w:r>
      <w:r>
        <w:t xml:space="preserve">Southeast Europe</w:t>
      </w:r>
      <w:r>
        <w:t xml:space="preserve">: A review of native freshwater crayfish species.</w:t>
      </w:r>
      <w:r>
        <w:t xml:space="preserve"> </w:t>
      </w:r>
      <w:r>
        <w:rPr>
          <w:i/>
          <w:iCs/>
        </w:rPr>
        <w:t xml:space="preserve">Knowledge &amp; Management of Aquatic Ecosystems</w:t>
      </w:r>
      <w:r>
        <w:t xml:space="preserve">,</w:t>
      </w:r>
      <w:r>
        <w:t xml:space="preserve"> </w:t>
      </w:r>
      <w:r>
        <w:rPr>
          <w:i/>
          <w:iCs/>
        </w:rPr>
        <w:t xml:space="preserve">423</w:t>
      </w:r>
      <w:r>
        <w:t xml:space="preserve">, 21.</w:t>
      </w:r>
      <w:r>
        <w:t xml:space="preserve"> </w:t>
      </w:r>
      <w:hyperlink r:id="rId88">
        <w:r>
          <w:rPr>
            <w:rStyle w:val="Hyperlink"/>
          </w:rPr>
          <w:t xml:space="preserve">https://doi.org/10.1051/kmae/2022016</w:t>
        </w:r>
      </w:hyperlink>
    </w:p>
    <w:bookmarkEnd w:id="89"/>
    <w:bookmarkStart w:id="91" w:name="ref-Dedual2002"/>
    <w:p>
      <w:pPr>
        <w:pStyle w:val="Bibliography"/>
      </w:pPr>
      <w:r>
        <w:t xml:space="preserve">Dedual, M. (2002). Vertical distribution and movements of brown bullhead (</w:t>
      </w:r>
      <w:r>
        <w:rPr>
          <w:i/>
          <w:iCs/>
        </w:rPr>
        <w:t xml:space="preserve">ameiurus nebulosus</w:t>
      </w:r>
      <w:r>
        <w:t xml:space="preserve"> </w:t>
      </w:r>
      <w:r>
        <w:t xml:space="preserve">lesueur 1819) in motuoapa bay, southern lake taupo,</w:t>
      </w:r>
      <w:r>
        <w:t xml:space="preserve"> </w:t>
      </w:r>
      <w:r>
        <w:t xml:space="preserve">New Zealand</w:t>
      </w:r>
      <w:r>
        <w:t xml:space="preserve">. In E. B. Thorstad, I. A. Fleming, &amp; T. F. Næsje (Eds.),</w:t>
      </w:r>
      <w:r>
        <w:t xml:space="preserve"> </w:t>
      </w:r>
      <w:r>
        <w:rPr>
          <w:i/>
          <w:iCs/>
        </w:rPr>
        <w:t xml:space="preserve">Aquatic telemetry</w:t>
      </w:r>
      <w:r>
        <w:t xml:space="preserve"> </w:t>
      </w:r>
      <w:r>
        <w:t xml:space="preserve">(pp. 129–135). Springer Netherlands.</w:t>
      </w:r>
      <w:r>
        <w:t xml:space="preserve"> </w:t>
      </w:r>
      <w:hyperlink r:id="rId90">
        <w:r>
          <w:rPr>
            <w:rStyle w:val="Hyperlink"/>
          </w:rPr>
          <w:t xml:space="preserve">https://doi.org/10.1007/978-94-017-0771-8_15</w:t>
        </w:r>
      </w:hyperlink>
    </w:p>
    <w:bookmarkEnd w:id="91"/>
    <w:bookmarkStart w:id="92" w:name="ref-Devcich1979"/>
    <w:p>
      <w:pPr>
        <w:pStyle w:val="Bibliography"/>
      </w:pPr>
      <w:r>
        <w:t xml:space="preserve">Devcich, A. 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 (</w:t>
      </w:r>
      <w:r>
        <w:rPr>
          <w:i/>
          <w:iCs/>
        </w:rPr>
        <w:t xml:space="preserve">Decapoda</w:t>
      </w:r>
      <w:r>
        <w:rPr>
          <w:i/>
          <w:iCs/>
        </w:rPr>
        <w:t xml:space="preserve">:</w:t>
      </w:r>
      <w:r>
        <w:rPr>
          <w:i/>
          <w:iCs/>
        </w:rPr>
        <w:t xml:space="preserve"> </w:t>
      </w:r>
      <w:r>
        <w:rPr>
          <w:i/>
          <w:iCs/>
        </w:rPr>
        <w:t xml:space="preserve">Parastacidae</w:t>
      </w:r>
      <w:r>
        <w:rPr>
          <w:i/>
          <w:iCs/>
        </w:rPr>
        <w:t xml:space="preserve">) in lake rotoiti, north island</w:t>
      </w:r>
      <w:r>
        <w:t xml:space="preserve"> </w:t>
      </w:r>
      <w:r>
        <w:t xml:space="preserve">[PhD thesis]. University of Waikato.</w:t>
      </w:r>
    </w:p>
    <w:bookmarkEnd w:id="92"/>
    <w:bookmarkStart w:id="94" w:name="ref-Dumelle2023"/>
    <w:p>
      <w:pPr>
        <w:pStyle w:val="Bibliography"/>
      </w:pPr>
      <w:r>
        <w:t xml:space="preserve">Dumelle, M., Kincaid, T., Olsen, A. R., &amp; Weber, M. (2023). Spsurvey: Spatial sampling design and analysis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105</w:t>
      </w:r>
      <w:r>
        <w:t xml:space="preserve">(3).</w:t>
      </w:r>
      <w:r>
        <w:t xml:space="preserve"> </w:t>
      </w:r>
      <w:hyperlink r:id="rId93">
        <w:r>
          <w:rPr>
            <w:rStyle w:val="Hyperlink"/>
          </w:rPr>
          <w:t xml:space="preserve">https://doi.org/10.18637/jss.v105.i03</w:t>
        </w:r>
      </w:hyperlink>
    </w:p>
    <w:bookmarkEnd w:id="94"/>
    <w:bookmarkStart w:id="96" w:name="ref-Fielding1997"/>
    <w:p>
      <w:pPr>
        <w:pStyle w:val="Bibliography"/>
      </w:pPr>
      <w:r>
        <w:t xml:space="preserve">Fielding, A. H., &amp; Bell, J. F. (1997). A review of methods for the assessment of prediction errors in conservation presence/absence models.</w:t>
      </w:r>
      <w:r>
        <w:t xml:space="preserve"> </w:t>
      </w:r>
      <w:r>
        <w:rPr>
          <w:i/>
          <w:iCs/>
        </w:rPr>
        <w:t xml:space="preserve">Environmental Conservation</w:t>
      </w:r>
      <w:r>
        <w:t xml:space="preserve">,</w:t>
      </w:r>
      <w:r>
        <w:t xml:space="preserve"> </w:t>
      </w:r>
      <w:r>
        <w:rPr>
          <w:i/>
          <w:iCs/>
        </w:rPr>
        <w:t xml:space="preserve">24</w:t>
      </w:r>
      <w:r>
        <w:t xml:space="preserve">(1), 38–49.</w:t>
      </w:r>
      <w:r>
        <w:t xml:space="preserve"> </w:t>
      </w:r>
      <w:hyperlink r:id="rId95">
        <w:r>
          <w:rPr>
            <w:rStyle w:val="Hyperlink"/>
          </w:rPr>
          <w:t xml:space="preserve">https://doi.org/10.1017/S0376892997000088</w:t>
        </w:r>
      </w:hyperlink>
    </w:p>
    <w:bookmarkEnd w:id="96"/>
    <w:bookmarkStart w:id="98" w:name="ref-Ford2005"/>
    <w:p>
      <w:pPr>
        <w:pStyle w:val="Bibliography"/>
      </w:pPr>
      <w:r>
        <w:t xml:space="preserve">Ford, T., &amp; Beitinger, T. L. (2005). Temperature tolerance in the goldfish,</w:t>
      </w:r>
      <w:r>
        <w:t xml:space="preserve"> </w:t>
      </w:r>
      <w:r>
        <w:rPr>
          <w:i/>
          <w:iCs/>
        </w:rPr>
        <w:t xml:space="preserve">carassius auratus</w:t>
      </w:r>
      <w:r>
        <w:t xml:space="preserve">.</w:t>
      </w:r>
      <w:r>
        <w:t xml:space="preserve"> </w:t>
      </w:r>
      <w:r>
        <w:rPr>
          <w:i/>
          <w:iCs/>
        </w:rPr>
        <w:t xml:space="preserve">Journal of Thermal Biology</w:t>
      </w:r>
      <w:r>
        <w:t xml:space="preserve">,</w:t>
      </w:r>
      <w:r>
        <w:t xml:space="preserve"> </w:t>
      </w:r>
      <w:r>
        <w:rPr>
          <w:i/>
          <w:iCs/>
        </w:rPr>
        <w:t xml:space="preserve">30</w:t>
      </w:r>
      <w:r>
        <w:t xml:space="preserve">(2), 147–152.</w:t>
      </w:r>
      <w:r>
        <w:t xml:space="preserve"> </w:t>
      </w:r>
      <w:hyperlink r:id="rId97">
        <w:r>
          <w:rPr>
            <w:rStyle w:val="Hyperlink"/>
          </w:rPr>
          <w:t xml:space="preserve">https://doi.org/10.1016/j.jtherbio.2004.09.004</w:t>
        </w:r>
      </w:hyperlink>
    </w:p>
    <w:bookmarkEnd w:id="98"/>
    <w:bookmarkStart w:id="100" w:name="ref-Francis2019"/>
    <w:p>
      <w:pPr>
        <w:pStyle w:val="Bibliography"/>
      </w:pPr>
      <w:r>
        <w:t xml:space="preserve">Francis, L. B. (2019).</w:t>
      </w:r>
      <w:r>
        <w:t xml:space="preserve"> </w:t>
      </w:r>
      <w:r>
        <w:rPr>
          <w:i/>
          <w:iCs/>
        </w:rPr>
        <w:t xml:space="preserve">Evaluating the effects of invasive brown bullhead catfish (</w:t>
      </w:r>
      <w:r>
        <w:rPr>
          <w:i/>
          <w:i/>
          <w:iCs/>
          <w:iCs/>
        </w:rPr>
        <w:t xml:space="preserve">ameiurus nebulosus</w:t>
      </w:r>
      <w:r>
        <w:rPr>
          <w:i/>
          <w:iCs/>
        </w:rPr>
        <w:t xml:space="preserve">) on k</w:t>
      </w:r>
      <w:r>
        <w:rPr>
          <w:i/>
          <w:iCs/>
        </w:rPr>
        <w:t xml:space="preserve">ō</w:t>
      </w:r>
      <w:r>
        <w:rPr>
          <w:i/>
          <w:iCs/>
        </w:rPr>
        <w:t xml:space="preserve">ura (freshwater crayfish,</w:t>
      </w:r>
      <w:r>
        <w:rPr>
          <w:i/>
          <w:iCs/>
        </w:rPr>
        <w:t xml:space="preserve"> </w:t>
      </w:r>
      <w:r>
        <w:rPr>
          <w:i/>
          <w:i/>
          <w:iCs/>
          <w:iCs/>
        </w:rPr>
        <w:t xml:space="preserve">paranephrops planifrons</w:t>
      </w:r>
      <w:r>
        <w:rPr>
          <w:i/>
          <w:iCs/>
        </w:rPr>
        <w:t xml:space="preserve">) in lake rotoiti</w:t>
      </w:r>
      <w:r>
        <w:t xml:space="preserve"> </w:t>
      </w:r>
      <w:r>
        <w:t xml:space="preserve">[Master’s thesis, University of Waikato].</w:t>
      </w:r>
      <w:r>
        <w:t xml:space="preserve"> </w:t>
      </w:r>
      <w:hyperlink r:id="rId99">
        <w:r>
          <w:rPr>
            <w:rStyle w:val="Hyperlink"/>
          </w:rPr>
          <w:t xml:space="preserve">https://researchcommons.waikato.ac.nz/handle/10289/12746</w:t>
        </w:r>
      </w:hyperlink>
    </w:p>
    <w:bookmarkEnd w:id="100"/>
    <w:bookmarkStart w:id="102" w:name="ref-Fry1948"/>
    <w:p>
      <w:pPr>
        <w:pStyle w:val="Bibliography"/>
      </w:pPr>
      <w:r>
        <w:t xml:space="preserve">Fry, F. E. J., &amp; Hart, J. S. (1948). Cruising speed of goldfish in relation to water temperature.</w:t>
      </w:r>
      <w:r>
        <w:t xml:space="preserve"> </w:t>
      </w:r>
      <w:r>
        <w:rPr>
          <w:i/>
          <w:iCs/>
        </w:rPr>
        <w:t xml:space="preserve">Journal of the Fisheries Research Board of Canada</w:t>
      </w:r>
      <w:r>
        <w:t xml:space="preserve">,</w:t>
      </w:r>
      <w:r>
        <w:t xml:space="preserve"> </w:t>
      </w:r>
      <w:r>
        <w:rPr>
          <w:i/>
          <w:iCs/>
        </w:rPr>
        <w:t xml:space="preserve">7b</w:t>
      </w:r>
      <w:r>
        <w:t xml:space="preserve">(4), 169–175.</w:t>
      </w:r>
      <w:r>
        <w:t xml:space="preserve"> </w:t>
      </w:r>
      <w:hyperlink r:id="rId101">
        <w:r>
          <w:rPr>
            <w:rStyle w:val="Hyperlink"/>
          </w:rPr>
          <w:t xml:space="preserve">https://doi.org/10.1139/f47-018</w:t>
        </w:r>
      </w:hyperlink>
    </w:p>
    <w:bookmarkEnd w:id="102"/>
    <w:bookmarkStart w:id="104" w:name="ref-Grayling2020"/>
    <w:p>
      <w:pPr>
        <w:pStyle w:val="Bibliography"/>
      </w:pPr>
      <w:r>
        <w:t xml:space="preserve">Grayling, S. (2020).</w:t>
      </w:r>
      <w:r>
        <w:t xml:space="preserve"> </w:t>
      </w:r>
      <w:r>
        <w:rPr>
          <w:i/>
          <w:iCs/>
        </w:rPr>
        <w:t xml:space="preserve">Bay of plenty regional pest management plan 2011–2016 annual report for 2019/2020</w:t>
      </w:r>
      <w:r>
        <w:t xml:space="preserve">. Bay of Plenty Regional Council.</w:t>
      </w:r>
      <w:r>
        <w:t xml:space="preserve"> </w:t>
      </w:r>
      <w:hyperlink r:id="rId103">
        <w:r>
          <w:rPr>
            <w:rStyle w:val="Hyperlink"/>
          </w:rPr>
          <w:t xml:space="preserve">https://atlas.boprc.govt.nz/api/v1/edms/document/A3651696/content</w:t>
        </w:r>
      </w:hyperlink>
    </w:p>
    <w:bookmarkEnd w:id="104"/>
    <w:bookmarkStart w:id="105" w:name="ref-Greenaway1985"/>
    <w:p>
      <w:pPr>
        <w:pStyle w:val="Bibliography"/>
      </w:pPr>
      <w:r>
        <w:t xml:space="preserve">Greenaway, P. (1985). Calcium balance and moulting in the</w:t>
      </w:r>
      <w:r>
        <w:t xml:space="preserve"> </w:t>
      </w:r>
      <w:r>
        <w:t xml:space="preserve">Crustacea</w:t>
      </w:r>
      <w:r>
        <w:t xml:space="preserve">.</w:t>
      </w:r>
      <w:r>
        <w:t xml:space="preserve"> </w:t>
      </w:r>
      <w:r>
        <w:rPr>
          <w:i/>
          <w:iCs/>
        </w:rPr>
        <w:t xml:space="preserve">Biological Reviews</w:t>
      </w:r>
      <w:r>
        <w:t xml:space="preserve">,</w:t>
      </w:r>
      <w:r>
        <w:t xml:space="preserve"> </w:t>
      </w:r>
      <w:r>
        <w:rPr>
          <w:i/>
          <w:iCs/>
        </w:rPr>
        <w:t xml:space="preserve">60</w:t>
      </w:r>
      <w:r>
        <w:t xml:space="preserve">, 425–454.</w:t>
      </w:r>
    </w:p>
    <w:bookmarkEnd w:id="105"/>
    <w:bookmarkStart w:id="106" w:name="ref-Hamilton2005"/>
    <w:p>
      <w:pPr>
        <w:pStyle w:val="Bibliography"/>
      </w:pPr>
      <w:r>
        <w:t xml:space="preserve">Hamilton, D., McBride, C., &amp; Uraoka, T. (2005).</w:t>
      </w:r>
      <w:r>
        <w:t xml:space="preserve"> </w:t>
      </w:r>
      <w:r>
        <w:rPr>
          <w:i/>
          <w:iCs/>
        </w:rPr>
        <w:t xml:space="preserve">Lake rotoiti fieldwork and modelling to support considerations of</w:t>
      </w:r>
      <w:r>
        <w:rPr>
          <w:i/>
          <w:iCs/>
        </w:rPr>
        <w:t xml:space="preserve"> </w:t>
      </w:r>
      <w:r>
        <w:rPr>
          <w:i/>
          <w:iCs/>
        </w:rPr>
        <w:t xml:space="preserve">Ohau</w:t>
      </w:r>
      <w:r>
        <w:rPr>
          <w:i/>
          <w:iCs/>
        </w:rPr>
        <w:t xml:space="preserve"> </w:t>
      </w:r>
      <w:r>
        <w:rPr>
          <w:i/>
          <w:iCs/>
        </w:rPr>
        <w:t xml:space="preserve">channel diversion from lake rotoiti</w:t>
      </w:r>
      <w:r>
        <w:t xml:space="preserve">. NIWA &amp; University of Waikato.</w:t>
      </w:r>
    </w:p>
    <w:bookmarkEnd w:id="106"/>
    <w:bookmarkStart w:id="108" w:name="ref-Hammond2006"/>
    <w:p>
      <w:pPr>
        <w:pStyle w:val="Bibliography"/>
      </w:pPr>
      <w:r>
        <w:t xml:space="preserve">Hammond, K. S., Hollows, J. W., Townsend, C. R., &amp; Lokman, P. 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107">
        <w:r>
          <w:rPr>
            <w:rStyle w:val="Hyperlink"/>
          </w:rPr>
          <w:t xml:space="preserve">https://doi.org/10.1016/j.aquaculture.2005.05.032</w:t>
        </w:r>
      </w:hyperlink>
    </w:p>
    <w:bookmarkEnd w:id="108"/>
    <w:bookmarkStart w:id="109" w:name="ref-Harding2009"/>
    <w:p>
      <w:pPr>
        <w:pStyle w:val="Bibliography"/>
      </w:pPr>
      <w:r>
        <w:t xml:space="preserve">Harding, J. S., Clapcott, J. E., Quinn, J. M., Hayes, J. W., Joy, M. K., Storey, R. G., Greig, H. S., Hay, J., James, T., Beech, M. A., Ozane, R., Meredith, A. S., &amp; Boothroyd, I. K. G. (2009).</w:t>
      </w:r>
      <w:r>
        <w:t xml:space="preserve"> </w:t>
      </w:r>
      <w:r>
        <w:rPr>
          <w:i/>
          <w:iCs/>
        </w:rPr>
        <w:t xml:space="preserve">Stream habitat assessment protocols for wadeable rivers and streams of</w:t>
      </w:r>
      <w:r>
        <w:rPr>
          <w:i/>
          <w:iCs/>
        </w:rPr>
        <w:t xml:space="preserve"> </w:t>
      </w:r>
      <w:r>
        <w:rPr>
          <w:i/>
          <w:iCs/>
        </w:rPr>
        <w:t xml:space="preserve">New Zealand</w:t>
      </w:r>
      <w:r>
        <w:t xml:space="preserve">. School of Biological Sciences, University of Canterbury.</w:t>
      </w:r>
    </w:p>
    <w:bookmarkEnd w:id="109"/>
    <w:bookmarkStart w:id="111" w:name="ref-Haschenburger2009"/>
    <w:p>
      <w:pPr>
        <w:pStyle w:val="Bibliography"/>
      </w:pPr>
      <w:r>
        <w:t xml:space="preserve">Haschenburger, J. K., &amp; Roest, P. (2009). Substrate indices as indicators of interstitial pore space in gravel-bed channels.</w:t>
      </w:r>
      <w:r>
        <w:t xml:space="preserve"> </w:t>
      </w:r>
      <w:r>
        <w:rPr>
          <w:i/>
          <w:iCs/>
        </w:rPr>
        <w:t xml:space="preserve">River Research and Applications</w:t>
      </w:r>
      <w:r>
        <w:t xml:space="preserve">,</w:t>
      </w:r>
      <w:r>
        <w:t xml:space="preserve"> </w:t>
      </w:r>
      <w:r>
        <w:rPr>
          <w:i/>
          <w:iCs/>
        </w:rPr>
        <w:t xml:space="preserve">25</w:t>
      </w:r>
      <w:r>
        <w:t xml:space="preserve">(1), 98–105.</w:t>
      </w:r>
      <w:r>
        <w:t xml:space="preserve"> </w:t>
      </w:r>
      <w:hyperlink r:id="rId110">
        <w:r>
          <w:rPr>
            <w:rStyle w:val="Hyperlink"/>
          </w:rPr>
          <w:t xml:space="preserve">https://doi.org/10.1002/rra.1168</w:t>
        </w:r>
      </w:hyperlink>
    </w:p>
    <w:bookmarkEnd w:id="111"/>
    <w:bookmarkStart w:id="113" w:name="ref-Hessen2004"/>
    <w:p>
      <w:pPr>
        <w:pStyle w:val="Bibliography"/>
      </w:pPr>
      <w:r>
        <w:t xml:space="preserve">Hessen, D. O., Skurdal, J., &amp; Braathen, J. E. (2004). Plant exclusion of a herbivore; crayfish population decline caused by an invading waterweed.</w:t>
      </w:r>
      <w:r>
        <w:t xml:space="preserve"> </w:t>
      </w:r>
      <w:r>
        <w:rPr>
          <w:i/>
          <w:iCs/>
        </w:rPr>
        <w:t xml:space="preserve">Biological Invasions</w:t>
      </w:r>
      <w:r>
        <w:t xml:space="preserve">,</w:t>
      </w:r>
      <w:r>
        <w:t xml:space="preserve"> </w:t>
      </w:r>
      <w:r>
        <w:rPr>
          <w:i/>
          <w:iCs/>
        </w:rPr>
        <w:t xml:space="preserve">6</w:t>
      </w:r>
      <w:r>
        <w:t xml:space="preserve">(2), 133–140.</w:t>
      </w:r>
      <w:r>
        <w:t xml:space="preserve"> </w:t>
      </w:r>
      <w:hyperlink r:id="rId112">
        <w:r>
          <w:rPr>
            <w:rStyle w:val="Hyperlink"/>
          </w:rPr>
          <w:t xml:space="preserve">https://doi.org/10.1023/B:BINV.0000022131.40783.f0</w:t>
        </w:r>
      </w:hyperlink>
    </w:p>
    <w:bookmarkEnd w:id="113"/>
    <w:bookmarkStart w:id="114" w:name="ref-Hiroa1921"/>
    <w:p>
      <w:pPr>
        <w:pStyle w:val="Bibliography"/>
      </w:pPr>
      <w:r>
        <w:t xml:space="preserve">Hiroa, T. R. (1921). M</w:t>
      </w:r>
      <w:r>
        <w:t xml:space="preserve">ā</w:t>
      </w:r>
      <w:r>
        <w:t xml:space="preserve">ori food-supplies of lake rotorua, with methods of obtaining them, and usages and customs appertaining thereto.</w:t>
      </w:r>
      <w:r>
        <w:t xml:space="preserve"> </w:t>
      </w:r>
      <w:r>
        <w:rPr>
          <w:i/>
          <w:iCs/>
        </w:rPr>
        <w:t xml:space="preserve">Transactions and Proceedings of the Royal Society of New Zealand 1868–1961</w:t>
      </w:r>
      <w:r>
        <w:t xml:space="preserve">,</w:t>
      </w:r>
      <w:r>
        <w:t xml:space="preserve"> </w:t>
      </w:r>
      <w:r>
        <w:rPr>
          <w:i/>
          <w:iCs/>
        </w:rPr>
        <w:t xml:space="preserve">53</w:t>
      </w:r>
      <w:r>
        <w:t xml:space="preserve">, 433–451.</w:t>
      </w:r>
    </w:p>
    <w:bookmarkEnd w:id="114"/>
    <w:bookmarkStart w:id="116"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w:t>
      </w:r>
      <w:r>
        <w:t xml:space="preserve"> </w:t>
      </w:r>
      <w:r>
        <w:rPr>
          <w:i/>
          <w:iCs/>
        </w:rPr>
        <w:t xml:space="preserve">New Zealand Journal of Marine and Freshwater Research</w:t>
      </w:r>
      <w:r>
        <w:t xml:space="preserve">,</w:t>
      </w:r>
      <w:r>
        <w:t xml:space="preserve"> </w:t>
      </w:r>
      <w:r>
        <w:rPr>
          <w:i/>
          <w:iCs/>
        </w:rPr>
        <w:t xml:space="preserve">4</w:t>
      </w:r>
      <w:r>
        <w:t xml:space="preserve">(3), 278–291.</w:t>
      </w:r>
      <w:r>
        <w:t xml:space="preserve"> </w:t>
      </w:r>
      <w:hyperlink r:id="rId115">
        <w:r>
          <w:rPr>
            <w:rStyle w:val="Hyperlink"/>
          </w:rPr>
          <w:t xml:space="preserve">https://doi.org/10.1080/00288330.1970.9515347</w:t>
        </w:r>
      </w:hyperlink>
    </w:p>
    <w:bookmarkEnd w:id="116"/>
    <w:bookmarkStart w:id="118" w:name="ref-Jane2021"/>
    <w:p>
      <w:pPr>
        <w:pStyle w:val="Bibliography"/>
      </w:pPr>
      <w:r>
        <w:t xml:space="preserve">Jane, S. F., Hansen, G. J. A., Kraemer, B. M., Leavitt, P. R., Mincer, J. L., North, R. L., Pilla, R. M., Stetler, J. T., Williamson, C. E., Woolway, R. I., et al.</w:t>
      </w:r>
      <w:r>
        <w:t xml:space="preserve"> (2021). Widespread deoxygenation of temperate lakes.</w:t>
      </w:r>
      <w:r>
        <w:t xml:space="preserve"> </w:t>
      </w:r>
      <w:r>
        <w:rPr>
          <w:i/>
          <w:iCs/>
        </w:rPr>
        <w:t xml:space="preserve">Nature</w:t>
      </w:r>
      <w:r>
        <w:t xml:space="preserve">,</w:t>
      </w:r>
      <w:r>
        <w:t xml:space="preserve"> </w:t>
      </w:r>
      <w:r>
        <w:rPr>
          <w:i/>
          <w:iCs/>
        </w:rPr>
        <w:t xml:space="preserve">594</w:t>
      </w:r>
      <w:r>
        <w:t xml:space="preserve">(7861), 66–70.</w:t>
      </w:r>
      <w:r>
        <w:t xml:space="preserve"> </w:t>
      </w:r>
      <w:hyperlink r:id="rId117">
        <w:r>
          <w:rPr>
            <w:rStyle w:val="Hyperlink"/>
          </w:rPr>
          <w:t xml:space="preserve">https://doi.org/10.1038/s41586-021-03550-y</w:t>
        </w:r>
      </w:hyperlink>
    </w:p>
    <w:bookmarkEnd w:id="118"/>
    <w:bookmarkStart w:id="119"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19"/>
    <w:bookmarkStart w:id="121" w:name="ref-Jowett2008"/>
    <w:p>
      <w:pPr>
        <w:pStyle w:val="Bibliography"/>
      </w:pPr>
      <w:r>
        <w:t xml:space="preserve">Jowett, I. G., Parkyn, S. 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20">
        <w:r>
          <w:rPr>
            <w:rStyle w:val="Hyperlink"/>
          </w:rPr>
          <w:t xml:space="preserve">https://doi.org/10.1007/s10750-007-9108-z</w:t>
        </w:r>
      </w:hyperlink>
    </w:p>
    <w:bookmarkEnd w:id="121"/>
    <w:bookmarkStart w:id="123" w:name="ref-Jowett1990"/>
    <w:p>
      <w:pPr>
        <w:pStyle w:val="Bibliography"/>
      </w:pPr>
      <w:r>
        <w:t xml:space="preserve">Jowett, I. 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w:t>
      </w:r>
      <w:r>
        <w:t xml:space="preserve"> </w:t>
      </w:r>
      <w:r>
        <w:rPr>
          <w:i/>
          <w:iCs/>
        </w:rPr>
        <w:t xml:space="preserve">24</w:t>
      </w:r>
      <w:r>
        <w:t xml:space="preserve">(1), 19–30.</w:t>
      </w:r>
      <w:r>
        <w:t xml:space="preserve"> </w:t>
      </w:r>
      <w:hyperlink r:id="rId122">
        <w:r>
          <w:rPr>
            <w:rStyle w:val="Hyperlink"/>
          </w:rPr>
          <w:t xml:space="preserve">https://doi.org/10.1080/00288330.1990.9516399</w:t>
        </w:r>
      </w:hyperlink>
    </w:p>
    <w:bookmarkEnd w:id="123"/>
    <w:bookmarkStart w:id="124" w:name="ref-Kusabsinrevision"/>
    <w:p>
      <w:pPr>
        <w:pStyle w:val="Bibliography"/>
      </w:pPr>
      <w:r>
        <w:t xml:space="preserve">Kusabs, I. A., Duggan, I. C., Scholes, P., Bruere, A., Te Kurapa, T. W., Grant, T., &amp; Burdon, F. J. (in revision).</w:t>
      </w:r>
      <w:r>
        <w:t xml:space="preserve"> </w:t>
      </w:r>
      <w:r>
        <w:rPr>
          <w:i/>
          <w:iCs/>
        </w:rPr>
        <w:t xml:space="preserve">Invasive catfish linked to the decline of freshwater crayfish in two</w:t>
      </w:r>
      <w:r>
        <w:rPr>
          <w:i/>
          <w:iCs/>
        </w:rPr>
        <w:t xml:space="preserve"> </w:t>
      </w:r>
      <w:r>
        <w:rPr>
          <w:i/>
          <w:iCs/>
        </w:rPr>
        <w:t xml:space="preserve">Aotearoa New Zealand</w:t>
      </w:r>
      <w:r>
        <w:rPr>
          <w:i/>
          <w:iCs/>
        </w:rPr>
        <w:t xml:space="preserve"> </w:t>
      </w:r>
      <w:r>
        <w:rPr>
          <w:i/>
          <w:iCs/>
        </w:rPr>
        <w:t xml:space="preserve">lakes</w:t>
      </w:r>
      <w:r>
        <w:t xml:space="preserve"> </w:t>
      </w:r>
      <w:r>
        <w:t xml:space="preserve">[Unpublished manuscript].</w:t>
      </w:r>
    </w:p>
    <w:bookmarkEnd w:id="124"/>
    <w:bookmarkStart w:id="126" w:name="ref-Kusabs2015a"/>
    <w:p>
      <w:pPr>
        <w:pStyle w:val="Bibliography"/>
      </w:pPr>
      <w:r>
        <w:t xml:space="preserve">Kusabs, I. A., Hicks, B. J., Quinn, J. M., &amp; Hamilton, D. 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w:t>
      </w:r>
      <w:r>
        <w:t xml:space="preserve"> </w:t>
      </w:r>
      <w:r>
        <w:rPr>
          <w:i/>
          <w:iCs/>
        </w:rPr>
        <w:t xml:space="preserve">168</w:t>
      </w:r>
      <w:r>
        <w:t xml:space="preserve">, 35–46.</w:t>
      </w:r>
      <w:r>
        <w:t xml:space="preserve"> </w:t>
      </w:r>
      <w:hyperlink r:id="rId125">
        <w:r>
          <w:rPr>
            <w:rStyle w:val="Hyperlink"/>
          </w:rPr>
          <w:t xml:space="preserve">https://doi.org/10.1016/j.fishres.2015.03.015</w:t>
        </w:r>
      </w:hyperlink>
    </w:p>
    <w:bookmarkEnd w:id="126"/>
    <w:bookmarkStart w:id="128" w:name="ref-Kusabs2009"/>
    <w:p>
      <w:pPr>
        <w:pStyle w:val="Bibliography"/>
      </w:pPr>
      <w:r>
        <w:t xml:space="preserve">Kusabs, I. A., &amp; Quinn, J. 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27">
        <w:r>
          <w:rPr>
            <w:rStyle w:val="Hyperlink"/>
          </w:rPr>
          <w:t xml:space="preserve">https://doi.org/10.1080/00288330909510036</w:t>
        </w:r>
      </w:hyperlink>
    </w:p>
    <w:bookmarkEnd w:id="128"/>
    <w:bookmarkStart w:id="130" w:name="ref-Kusabs2015b"/>
    <w:p>
      <w:pPr>
        <w:pStyle w:val="Bibliography"/>
      </w:pPr>
      <w:r>
        <w:t xml:space="preserve">Kusabs, I. A., Quinn, J. M., &amp; Hamilton, D. 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29">
        <w:r>
          <w:rPr>
            <w:rStyle w:val="Hyperlink"/>
          </w:rPr>
          <w:t xml:space="preserve">https://doi.org/10.1071/MF14148</w:t>
        </w:r>
      </w:hyperlink>
    </w:p>
    <w:bookmarkEnd w:id="130"/>
    <w:bookmarkStart w:id="131" w:name="ref-Kutner2005"/>
    <w:p>
      <w:pPr>
        <w:pStyle w:val="Bibliography"/>
      </w:pPr>
      <w:r>
        <w:t xml:space="preserve">Kutner, M. H., Nachtsheim, C. J., Neter, J., &amp; Li, W. (2005).</w:t>
      </w:r>
      <w:r>
        <w:t xml:space="preserve"> </w:t>
      </w:r>
      <w:r>
        <w:rPr>
          <w:i/>
          <w:iCs/>
        </w:rPr>
        <w:t xml:space="preserve">Applied linear statistical models</w:t>
      </w:r>
      <w:r>
        <w:t xml:space="preserve"> </w:t>
      </w:r>
      <w:r>
        <w:t xml:space="preserve">(5th ed.). McGraw-Hill Irwin.</w:t>
      </w:r>
    </w:p>
    <w:bookmarkEnd w:id="131"/>
    <w:bookmarkStart w:id="133" w:name="ref-LAWA2025"/>
    <w:p>
      <w:pPr>
        <w:pStyle w:val="Bibliography"/>
      </w:pPr>
      <w:r>
        <w:t xml:space="preserve">Land, Air, Water Aotearoa (LAWA). (2025).</w:t>
      </w:r>
      <w:r>
        <w:t xml:space="preserve"> </w:t>
      </w:r>
      <w:r>
        <w:rPr>
          <w:i/>
          <w:iCs/>
        </w:rPr>
        <w:t xml:space="preserve">Lakes data for the</w:t>
      </w:r>
      <w:r>
        <w:rPr>
          <w:i/>
          <w:iCs/>
        </w:rPr>
        <w:t xml:space="preserve"> </w:t>
      </w:r>
      <w:r>
        <w:rPr>
          <w:i/>
          <w:iCs/>
        </w:rPr>
        <w:t xml:space="preserve">Bay of Plenty</w:t>
      </w:r>
      <w:r>
        <w:rPr>
          <w:i/>
          <w:iCs/>
        </w:rPr>
        <w:t xml:space="preserve"> </w:t>
      </w:r>
      <w:r>
        <w:rPr>
          <w:i/>
          <w:iCs/>
        </w:rPr>
        <w:t xml:space="preserve">region</w:t>
      </w:r>
      <w:r>
        <w:t xml:space="preserve">.</w:t>
      </w:r>
      <w:r>
        <w:t xml:space="preserve"> </w:t>
      </w:r>
      <w:hyperlink r:id="rId132">
        <w:r>
          <w:rPr>
            <w:rStyle w:val="Hyperlink"/>
          </w:rPr>
          <w:t xml:space="preserve">https://www.lawa.org.nz/explore-data/bay-of-plenty-region/lakes</w:t>
        </w:r>
      </w:hyperlink>
      <w:r>
        <w:t xml:space="preserve">.</w:t>
      </w:r>
    </w:p>
    <w:bookmarkEnd w:id="133"/>
    <w:bookmarkStart w:id="135"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34">
        <w:r>
          <w:rPr>
            <w:rStyle w:val="Hyperlink"/>
          </w:rPr>
          <w:t xml:space="preserve">https://doi.org/10.5194/we-25-221-2025</w:t>
        </w:r>
      </w:hyperlink>
    </w:p>
    <w:bookmarkEnd w:id="135"/>
    <w:bookmarkStart w:id="137"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w:t>
      </w:r>
      <w:r>
        <w:t xml:space="preserve"> </w:t>
      </w:r>
      <w:r>
        <w:rPr>
          <w:i/>
          <w:iCs/>
        </w:rPr>
        <w:t xml:space="preserve">Ecology</w:t>
      </w:r>
      <w:r>
        <w:t xml:space="preserve">,</w:t>
      </w:r>
      <w:r>
        <w:t xml:space="preserve"> </w:t>
      </w:r>
      <w:r>
        <w:rPr>
          <w:i/>
          <w:iCs/>
        </w:rPr>
        <w:t xml:space="preserve">73</w:t>
      </w:r>
      <w:r>
        <w:t xml:space="preserve">(6), 1943–1967.</w:t>
      </w:r>
      <w:r>
        <w:t xml:space="preserve"> </w:t>
      </w:r>
      <w:hyperlink r:id="rId136">
        <w:r>
          <w:rPr>
            <w:rStyle w:val="Hyperlink"/>
          </w:rPr>
          <w:t xml:space="preserve">https://doi.org/10.2307/1941447</w:t>
        </w:r>
      </w:hyperlink>
    </w:p>
    <w:bookmarkEnd w:id="137"/>
    <w:bookmarkStart w:id="139" w:name="ref-Lishawa2023"/>
    <w:p>
      <w:pPr>
        <w:pStyle w:val="Bibliography"/>
      </w:pPr>
      <w:r>
        <w:t xml:space="preserve">Lishawa, S. C., Schrank, A. J., Lawrence, B. A., Monks, A. M., &amp; Albert, D. A.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w:t>
      </w:r>
      <w:r>
        <w:t xml:space="preserve"> </w:t>
      </w:r>
      <w:r>
        <w:rPr>
          <w:i/>
          <w:iCs/>
        </w:rPr>
        <w:t xml:space="preserve">Freshwater Biology</w:t>
      </w:r>
      <w:r>
        <w:t xml:space="preserve">,</w:t>
      </w:r>
      <w:r>
        <w:t xml:space="preserve"> </w:t>
      </w:r>
      <w:r>
        <w:rPr>
          <w:i/>
          <w:iCs/>
        </w:rPr>
        <w:t xml:space="preserve">68</w:t>
      </w:r>
      <w:r>
        <w:t xml:space="preserve">(8), 1462–1477.</w:t>
      </w:r>
      <w:r>
        <w:t xml:space="preserve"> </w:t>
      </w:r>
      <w:hyperlink r:id="rId138">
        <w:r>
          <w:rPr>
            <w:rStyle w:val="Hyperlink"/>
          </w:rPr>
          <w:t xml:space="preserve">https://doi.org/10.1111/fwb.14141</w:t>
        </w:r>
      </w:hyperlink>
    </w:p>
    <w:bookmarkEnd w:id="139"/>
    <w:bookmarkStart w:id="141" w:name="ref-Meerhoff2022"/>
    <w:p>
      <w:pPr>
        <w:pStyle w:val="Bibliography"/>
      </w:pPr>
      <w:r>
        <w:t xml:space="preserve">Meerhoff, M., &amp; González-Sagrario, M. de los Ángeles. (2022). Habitat complexity in shallow lakes and ponds: Importance, threats, and potential for restoration.</w:t>
      </w:r>
      <w:r>
        <w:t xml:space="preserve"> </w:t>
      </w:r>
      <w:r>
        <w:rPr>
          <w:i/>
          <w:iCs/>
        </w:rPr>
        <w:t xml:space="preserve">Hydrobiologia</w:t>
      </w:r>
      <w:r>
        <w:t xml:space="preserve">,</w:t>
      </w:r>
      <w:r>
        <w:t xml:space="preserve"> </w:t>
      </w:r>
      <w:r>
        <w:rPr>
          <w:i/>
          <w:iCs/>
        </w:rPr>
        <w:t xml:space="preserve">849</w:t>
      </w:r>
      <w:r>
        <w:t xml:space="preserve">(17), 3737–3760.</w:t>
      </w:r>
      <w:r>
        <w:t xml:space="preserve"> </w:t>
      </w:r>
      <w:hyperlink r:id="rId140">
        <w:r>
          <w:rPr>
            <w:rStyle w:val="Hyperlink"/>
          </w:rPr>
          <w:t xml:space="preserve">https://doi.org/10.1007/s10750-021-04771-y</w:t>
        </w:r>
      </w:hyperlink>
    </w:p>
    <w:bookmarkEnd w:id="141"/>
    <w:bookmarkStart w:id="143"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42">
        <w:r>
          <w:rPr>
            <w:rStyle w:val="Hyperlink"/>
          </w:rPr>
          <w:t xml:space="preserve">https://doi.org/10.1080/10641269509388566</w:t>
        </w:r>
      </w:hyperlink>
    </w:p>
    <w:bookmarkEnd w:id="143"/>
    <w:bookmarkStart w:id="145"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w:t>
      </w:r>
      <w:r>
        <w:t xml:space="preserve"> </w:t>
      </w:r>
      <w:r>
        <w:rPr>
          <w:i/>
          <w:iCs/>
        </w:rPr>
        <w:t xml:space="preserve">51</w:t>
      </w:r>
      <w:r>
        <w:t xml:space="preserve">(11), 2096–2113.</w:t>
      </w:r>
      <w:r>
        <w:t xml:space="preserve"> </w:t>
      </w:r>
      <w:hyperlink r:id="rId144">
        <w:r>
          <w:rPr>
            <w:rStyle w:val="Hyperlink"/>
          </w:rPr>
          <w:t xml:space="preserve">https://doi.org/10.1111/j.1365-2427.2006.01641.x</w:t>
        </w:r>
      </w:hyperlink>
    </w:p>
    <w:bookmarkEnd w:id="145"/>
    <w:bookmarkStart w:id="147"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46">
        <w:r>
          <w:rPr>
            <w:rStyle w:val="Hyperlink"/>
          </w:rPr>
          <w:t xml:space="preserve">https://doi.org/10.1016/j.biocon.2005.12.019</w:t>
        </w:r>
      </w:hyperlink>
    </w:p>
    <w:bookmarkEnd w:id="147"/>
    <w:bookmarkStart w:id="149" w:name="ref-Parkyn2004"/>
    <w:p>
      <w:pPr>
        <w:pStyle w:val="Bibliography"/>
      </w:pPr>
      <w:r>
        <w:t xml:space="preserve">Parkyn, S. M., &amp; Collier, K. J. (2004). Interaction of press and pulse disturbance on crayfish populations: Flood impacts in pasture and forest streams.</w:t>
      </w:r>
      <w:r>
        <w:t xml:space="preserve"> </w:t>
      </w:r>
      <w:r>
        <w:rPr>
          <w:i/>
          <w:iCs/>
        </w:rPr>
        <w:t xml:space="preserve">Hydrobiologia</w:t>
      </w:r>
      <w:r>
        <w:t xml:space="preserve">,</w:t>
      </w:r>
      <w:r>
        <w:t xml:space="preserve"> </w:t>
      </w:r>
      <w:r>
        <w:rPr>
          <w:i/>
          <w:iCs/>
        </w:rPr>
        <w:t xml:space="preserve">527</w:t>
      </w:r>
      <w:r>
        <w:t xml:space="preserve">(1), 113–124.</w:t>
      </w:r>
      <w:r>
        <w:t xml:space="preserve"> </w:t>
      </w:r>
      <w:hyperlink r:id="rId148">
        <w:r>
          <w:rPr>
            <w:rStyle w:val="Hyperlink"/>
          </w:rPr>
          <w:t xml:space="preserve">https://doi.org/10.1023/B:HYDR.0000043189.91134.94</w:t>
        </w:r>
      </w:hyperlink>
    </w:p>
    <w:bookmarkEnd w:id="149"/>
    <w:bookmarkStart w:id="151" w:name="ref-Parkyn2001"/>
    <w:p>
      <w:pPr>
        <w:pStyle w:val="Bibliography"/>
      </w:pPr>
      <w:r>
        <w:t xml:space="preserve">Parkyn, S. M., Collier, K. J., &amp; Hicks, B. J. (2001). New</w:t>
      </w:r>
      <w:r>
        <w:t xml:space="preserve"> </w:t>
      </w:r>
      <w:r>
        <w:t xml:space="preserve">Zealand</w:t>
      </w:r>
      <w:r>
        <w:t xml:space="preserve"> </w:t>
      </w:r>
      <w:r>
        <w:t xml:space="preserve">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50">
        <w:r>
          <w:rPr>
            <w:rStyle w:val="Hyperlink"/>
          </w:rPr>
          <w:t xml:space="preserve">https://doi.org/10.1046/j.1365-2427.2001.00702.x</w:t>
        </w:r>
      </w:hyperlink>
    </w:p>
    <w:bookmarkEnd w:id="151"/>
    <w:bookmarkStart w:id="153"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52">
        <w:r>
          <w:rPr>
            <w:rStyle w:val="Hyperlink"/>
          </w:rPr>
          <w:t xml:space="preserve">https://doi.org/10.1080/00288330909510034</w:t>
        </w:r>
      </w:hyperlink>
    </w:p>
    <w:bookmarkEnd w:id="153"/>
    <w:bookmarkStart w:id="154" w:name="ref-Quinn2002"/>
    <w:p>
      <w:pPr>
        <w:pStyle w:val="Bibliography"/>
      </w:pPr>
      <w:r>
        <w:t xml:space="preserve">Quinn, G. P., &amp; Keough, M. J. (2002).</w:t>
      </w:r>
      <w:r>
        <w:t xml:space="preserve"> </w:t>
      </w:r>
      <w:r>
        <w:rPr>
          <w:i/>
          <w:iCs/>
        </w:rPr>
        <w:t xml:space="preserve">Experimental design and data analysis for biologists</w:t>
      </w:r>
      <w:r>
        <w:t xml:space="preserve">. Cambridge University Press.</w:t>
      </w:r>
    </w:p>
    <w:bookmarkEnd w:id="154"/>
    <w:bookmarkStart w:id="156" w:name="ref-Quinn1990"/>
    <w:p>
      <w:pPr>
        <w:pStyle w:val="Bibliography"/>
      </w:pPr>
      <w:r>
        <w:t xml:space="preserve">Quinn, J. M., &amp; Hickey, C. W. (1990). Magnitude of effects of substrate particle size, recent flooding, and catchment development on benthic invertebrates in 88</w:t>
      </w:r>
      <w:r>
        <w:t xml:space="preserve"> </w:t>
      </w:r>
      <w:r>
        <w:t xml:space="preserve">New Zealand</w:t>
      </w:r>
      <w:r>
        <w:t xml:space="preserve"> </w:t>
      </w:r>
      <w:r>
        <w:t xml:space="preserve">rivers.</w:t>
      </w:r>
      <w:r>
        <w:t xml:space="preserve"> </w:t>
      </w:r>
      <w:r>
        <w:rPr>
          <w:i/>
          <w:iCs/>
        </w:rPr>
        <w:t xml:space="preserve">New Zealand Journal of Marine and Freshwater Research</w:t>
      </w:r>
      <w:r>
        <w:t xml:space="preserve">,</w:t>
      </w:r>
      <w:r>
        <w:t xml:space="preserve"> </w:t>
      </w:r>
      <w:r>
        <w:rPr>
          <w:i/>
          <w:iCs/>
        </w:rPr>
        <w:t xml:space="preserve">24</w:t>
      </w:r>
      <w:r>
        <w:t xml:space="preserve">(3), 411–427.</w:t>
      </w:r>
      <w:r>
        <w:t xml:space="preserve"> </w:t>
      </w:r>
      <w:hyperlink r:id="rId155">
        <w:r>
          <w:rPr>
            <w:rStyle w:val="Hyperlink"/>
          </w:rPr>
          <w:t xml:space="preserve">https://doi.org/10.1080/00288330.1990.9516433</w:t>
        </w:r>
      </w:hyperlink>
    </w:p>
    <w:bookmarkEnd w:id="156"/>
    <w:bookmarkStart w:id="158" w:name="ref-RCoreTeam2025"/>
    <w:p>
      <w:pPr>
        <w:pStyle w:val="Bibliography"/>
      </w:pPr>
      <w:r>
        <w:t xml:space="preserve">R Core Team. (2025).</w:t>
      </w:r>
      <w:r>
        <w:t xml:space="preserve"> </w:t>
      </w:r>
      <w:r>
        <w:rPr>
          <w:i/>
          <w:iCs/>
        </w:rPr>
        <w:t xml:space="preserve">R</w:t>
      </w:r>
      <w:r>
        <w:rPr>
          <w:i/>
          <w:iCs/>
        </w:rPr>
        <w:t xml:space="preserve">: A language and environment for statistical computing</w:t>
      </w:r>
      <w:r>
        <w:t xml:space="preserve">. R Foundation for Statistical Computing.</w:t>
      </w:r>
      <w:r>
        <w:t xml:space="preserve"> </w:t>
      </w:r>
      <w:hyperlink r:id="rId157">
        <w:r>
          <w:rPr>
            <w:rStyle w:val="Hyperlink"/>
          </w:rPr>
          <w:t xml:space="preserve">https://www.R-project.org/</w:t>
        </w:r>
      </w:hyperlink>
    </w:p>
    <w:bookmarkEnd w:id="158"/>
    <w:bookmarkStart w:id="160" w:name="ref-Richman2015"/>
    <w:p>
      <w:pPr>
        <w:pStyle w:val="Bibliography"/>
      </w:pPr>
      <w:r>
        <w:t xml:space="preserve">Richman, N. I., Böhm, M., Adams, S. B., Alvarez, F., Bergey, E. A., Bunn, J. J. S., Burnham, Q., Cordeiro, J., Coughran, J., Crandall, K. A., et al.</w:t>
      </w:r>
      <w:r>
        <w:t xml:space="preserve"> (2015).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59">
        <w:r>
          <w:rPr>
            <w:rStyle w:val="Hyperlink"/>
          </w:rPr>
          <w:t xml:space="preserve">https://doi.org/10.1098/rstb.2014.0060</w:t>
        </w:r>
      </w:hyperlink>
    </w:p>
    <w:bookmarkEnd w:id="160"/>
    <w:bookmarkStart w:id="162" w:name="ref-Rosewarne2013"/>
    <w:p>
      <w:pPr>
        <w:pStyle w:val="Bibliography"/>
      </w:pPr>
      <w:r>
        <w:t xml:space="preserve">Rosewarne, P., Piper, A., Wright, R., &amp; Dunn, A. (2013). Do low-head riverine structures hinder the spread of invasive crayfish? Case study of signal crayfish (</w:t>
      </w:r>
      <w:r>
        <w:rPr>
          <w:i/>
          <w:iCs/>
        </w:rPr>
        <w:t xml:space="preserve">pacifastacus leniusculus</w:t>
      </w:r>
      <w:r>
        <w:t xml:space="preserve">) movements at a flow gauging weir.</w:t>
      </w:r>
      <w:r>
        <w:t xml:space="preserve"> </w:t>
      </w:r>
      <w:r>
        <w:rPr>
          <w:i/>
          <w:iCs/>
        </w:rPr>
        <w:t xml:space="preserve">Management of Biological Invasions</w:t>
      </w:r>
      <w:r>
        <w:t xml:space="preserve">,</w:t>
      </w:r>
      <w:r>
        <w:t xml:space="preserve"> </w:t>
      </w:r>
      <w:r>
        <w:rPr>
          <w:i/>
          <w:iCs/>
        </w:rPr>
        <w:t xml:space="preserve">4</w:t>
      </w:r>
      <w:r>
        <w:t xml:space="preserve">(4), 273–282.</w:t>
      </w:r>
      <w:r>
        <w:t xml:space="preserve"> </w:t>
      </w:r>
      <w:hyperlink r:id="rId161">
        <w:r>
          <w:rPr>
            <w:rStyle w:val="Hyperlink"/>
          </w:rPr>
          <w:t xml:space="preserve">https://doi.org/10.3391/mbi.2013.4.4.02</w:t>
        </w:r>
      </w:hyperlink>
    </w:p>
    <w:bookmarkEnd w:id="162"/>
    <w:bookmarkStart w:id="164"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w:t>
      </w:r>
      <w:r>
        <w:t xml:space="preserve"> </w:t>
      </w:r>
      <w:r>
        <w:rPr>
          <w:i/>
          <w:iCs/>
        </w:rPr>
        <w:t xml:space="preserve">New Zealand Journal of Marine and Freshwater Research</w:t>
      </w:r>
      <w:r>
        <w:t xml:space="preserve">,</w:t>
      </w:r>
      <w:r>
        <w:t xml:space="preserve"> </w:t>
      </w:r>
      <w:r>
        <w:rPr>
          <w:i/>
          <w:iCs/>
        </w:rPr>
        <w:t xml:space="preserve">27</w:t>
      </w:r>
      <w:r>
        <w:t xml:space="preserve">(1), 87–100.</w:t>
      </w:r>
      <w:r>
        <w:t xml:space="preserve"> </w:t>
      </w:r>
      <w:hyperlink r:id="rId163">
        <w:r>
          <w:rPr>
            <w:rStyle w:val="Hyperlink"/>
          </w:rPr>
          <w:t xml:space="preserve">https://doi.org/10.1080/00288330.1993.9516548</w:t>
        </w:r>
      </w:hyperlink>
    </w:p>
    <w:bookmarkEnd w:id="164"/>
    <w:bookmarkStart w:id="166" w:name="ref-Schoen2015"/>
    <w:p>
      <w:pPr>
        <w:pStyle w:val="Bibliography"/>
      </w:pPr>
      <w:r>
        <w:t xml:space="preserve">Schoen, E. R., Beauchamp, D. A., Buettner, A. R., &amp; Overman, N. C. (2015). Temperature and depth mediate resource competition and apparent competition between</w:t>
      </w:r>
      <w:r>
        <w:t xml:space="preserve"> </w:t>
      </w:r>
      <w:r>
        <w:rPr>
          <w:i/>
          <w:iCs/>
        </w:rPr>
        <w:t xml:space="preserve">mysis diluviana</w:t>
      </w:r>
      <w:r>
        <w:t xml:space="preserve"> </w:t>
      </w:r>
      <w:r>
        <w:t xml:space="preserve">and kokanee.</w:t>
      </w:r>
      <w:r>
        <w:t xml:space="preserve"> </w:t>
      </w:r>
      <w:r>
        <w:rPr>
          <w:i/>
          <w:iCs/>
        </w:rPr>
        <w:t xml:space="preserve">Ecological Applications</w:t>
      </w:r>
      <w:r>
        <w:t xml:space="preserve">,</w:t>
      </w:r>
      <w:r>
        <w:t xml:space="preserve"> </w:t>
      </w:r>
      <w:r>
        <w:rPr>
          <w:i/>
          <w:iCs/>
        </w:rPr>
        <w:t xml:space="preserve">25</w:t>
      </w:r>
      <w:r>
        <w:t xml:space="preserve">(7), 1962–1975.</w:t>
      </w:r>
      <w:r>
        <w:t xml:space="preserve"> </w:t>
      </w:r>
      <w:hyperlink r:id="rId165">
        <w:r>
          <w:rPr>
            <w:rStyle w:val="Hyperlink"/>
          </w:rPr>
          <w:t xml:space="preserve">https://doi.org/10.1890/14-1822.1</w:t>
        </w:r>
      </w:hyperlink>
    </w:p>
    <w:bookmarkEnd w:id="166"/>
    <w:bookmarkStart w:id="168" w:name="ref-Schrank2019"/>
    <w:p>
      <w:pPr>
        <w:pStyle w:val="Bibliography"/>
      </w:pPr>
      <w:r>
        <w:t xml:space="preserve">Schrank, A. J., &amp; Lishawa, S. C. (2019). Invasive cattail reduces fish diversity and abundance in the emergent marsh of a</w:t>
      </w:r>
      <w:r>
        <w:t xml:space="preserve"> </w:t>
      </w:r>
      <w:r>
        <w:t xml:space="preserve">Great Lakes</w:t>
      </w:r>
      <w:r>
        <w:t xml:space="preserve"> </w:t>
      </w:r>
      <w:r>
        <w:t xml:space="preserve">coastal wetland.</w:t>
      </w:r>
      <w:r>
        <w:t xml:space="preserve"> </w:t>
      </w:r>
      <w:r>
        <w:rPr>
          <w:i/>
          <w:iCs/>
        </w:rPr>
        <w:t xml:space="preserve">Journal of Great Lakes Research</w:t>
      </w:r>
      <w:r>
        <w:t xml:space="preserve">,</w:t>
      </w:r>
      <w:r>
        <w:t xml:space="preserve"> </w:t>
      </w:r>
      <w:r>
        <w:rPr>
          <w:i/>
          <w:iCs/>
        </w:rPr>
        <w:t xml:space="preserve">45</w:t>
      </w:r>
      <w:r>
        <w:t xml:space="preserve">(6), 1251–1259.</w:t>
      </w:r>
      <w:r>
        <w:t xml:space="preserve"> </w:t>
      </w:r>
      <w:hyperlink r:id="rId167">
        <w:r>
          <w:rPr>
            <w:rStyle w:val="Hyperlink"/>
          </w:rPr>
          <w:t xml:space="preserve">https://doi.org/10.1016/j.jglr.2019.09.013</w:t>
        </w:r>
      </w:hyperlink>
    </w:p>
    <w:bookmarkEnd w:id="168"/>
    <w:bookmarkStart w:id="170"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w:t>
      </w:r>
      <w:r>
        <w:t xml:space="preserve"> </w:t>
      </w:r>
      <w:r>
        <w:rPr>
          <w:i/>
          <w:iCs/>
        </w:rPr>
        <w:t xml:space="preserve">Fisheries Research</w:t>
      </w:r>
      <w:r>
        <w:t xml:space="preserve">,</w:t>
      </w:r>
      <w:r>
        <w:t xml:space="preserve"> </w:t>
      </w:r>
      <w:r>
        <w:rPr>
          <w:i/>
          <w:iCs/>
        </w:rPr>
        <w:t xml:space="preserve">93</w:t>
      </w:r>
      <w:r>
        <w:t xml:space="preserve">(1–2), 154–162.</w:t>
      </w:r>
      <w:r>
        <w:t xml:space="preserve"> </w:t>
      </w:r>
      <w:hyperlink r:id="rId169">
        <w:r>
          <w:rPr>
            <w:rStyle w:val="Hyperlink"/>
          </w:rPr>
          <w:t xml:space="preserve">https://doi.org/10.1016/j.fishres.2008.03.006</w:t>
        </w:r>
      </w:hyperlink>
    </w:p>
    <w:bookmarkEnd w:id="170"/>
    <w:bookmarkStart w:id="172" w:name="ref-Statzner2003"/>
    <w:p>
      <w:pPr>
        <w:pStyle w:val="Bibliography"/>
      </w:pPr>
      <w:r>
        <w:t xml:space="preserve">Statzner, B., Peltret, O., &amp; Tomanova, S. (2003). Crayfish as geomorphic agents and ecosystem engineers: Effect of a biomass gradient on baseflow and flood-induced transport of gravel and sand in experimental streams.</w:t>
      </w:r>
      <w:r>
        <w:t xml:space="preserve"> </w:t>
      </w:r>
      <w:r>
        <w:rPr>
          <w:i/>
          <w:iCs/>
        </w:rPr>
        <w:t xml:space="preserve">Freshwater Biology</w:t>
      </w:r>
      <w:r>
        <w:t xml:space="preserve">,</w:t>
      </w:r>
      <w:r>
        <w:t xml:space="preserve"> </w:t>
      </w:r>
      <w:r>
        <w:rPr>
          <w:i/>
          <w:iCs/>
        </w:rPr>
        <w:t xml:space="preserve">48</w:t>
      </w:r>
      <w:r>
        <w:t xml:space="preserve">(1), 147–163.</w:t>
      </w:r>
      <w:r>
        <w:t xml:space="preserve"> </w:t>
      </w:r>
      <w:hyperlink r:id="rId171">
        <w:r>
          <w:rPr>
            <w:rStyle w:val="Hyperlink"/>
          </w:rPr>
          <w:t xml:space="preserve">https://doi.org/10.1046/j.1365-2427.2003.00984.x</w:t>
        </w:r>
      </w:hyperlink>
    </w:p>
    <w:bookmarkEnd w:id="172"/>
    <w:bookmarkStart w:id="174" w:name="ref-Stevens2004"/>
    <w:p>
      <w:pPr>
        <w:pStyle w:val="Bibliography"/>
      </w:pPr>
      <w:r>
        <w:t xml:space="preserve">Stevens, D. L., &amp; Olsen, A. R. (2004). Spatially balanced sampling of natural resources.</w:t>
      </w:r>
      <w:r>
        <w:t xml:space="preserve"> </w:t>
      </w:r>
      <w:r>
        <w:rPr>
          <w:i/>
          <w:iCs/>
        </w:rPr>
        <w:t xml:space="preserve">Journal of the American Statistical Association</w:t>
      </w:r>
      <w:r>
        <w:t xml:space="preserve">,</w:t>
      </w:r>
      <w:r>
        <w:t xml:space="preserve"> </w:t>
      </w:r>
      <w:r>
        <w:rPr>
          <w:i/>
          <w:iCs/>
        </w:rPr>
        <w:t xml:space="preserve">99</w:t>
      </w:r>
      <w:r>
        <w:t xml:space="preserve">(465), 262–278.</w:t>
      </w:r>
      <w:r>
        <w:t xml:space="preserve"> </w:t>
      </w:r>
      <w:hyperlink r:id="rId173">
        <w:r>
          <w:rPr>
            <w:rStyle w:val="Hyperlink"/>
          </w:rPr>
          <w:t xml:space="preserve">https://doi.org/10.1198/016214504000000250</w:t>
        </w:r>
      </w:hyperlink>
    </w:p>
    <w:bookmarkEnd w:id="174"/>
    <w:bookmarkStart w:id="176" w:name="ref-Strayer2010"/>
    <w:p>
      <w:pPr>
        <w:pStyle w:val="Bibliography"/>
      </w:pPr>
      <w:r>
        <w:t xml:space="preserve">Strayer, D. L., &amp; Findlay, S. E. G. (2010). Ecology of freshwater shore zones.</w:t>
      </w:r>
      <w:r>
        <w:t xml:space="preserve"> </w:t>
      </w:r>
      <w:r>
        <w:rPr>
          <w:i/>
          <w:iCs/>
        </w:rPr>
        <w:t xml:space="preserve">Aquatic Sciences</w:t>
      </w:r>
      <w:r>
        <w:t xml:space="preserve">,</w:t>
      </w:r>
      <w:r>
        <w:t xml:space="preserve"> </w:t>
      </w:r>
      <w:r>
        <w:rPr>
          <w:i/>
          <w:iCs/>
        </w:rPr>
        <w:t xml:space="preserve">72</w:t>
      </w:r>
      <w:r>
        <w:t xml:space="preserve">(2), 127–163.</w:t>
      </w:r>
      <w:r>
        <w:t xml:space="preserve"> </w:t>
      </w:r>
      <w:hyperlink r:id="rId175">
        <w:r>
          <w:rPr>
            <w:rStyle w:val="Hyperlink"/>
          </w:rPr>
          <w:t xml:space="preserve">https://doi.org/10.1007/s00027-010-0128-9</w:t>
        </w:r>
      </w:hyperlink>
    </w:p>
    <w:bookmarkEnd w:id="176"/>
    <w:bookmarkStart w:id="178" w:name="ref-Taylor2019"/>
    <w:p>
      <w:pPr>
        <w:pStyle w:val="Bibliography"/>
      </w:pPr>
      <w:r>
        <w:t xml:space="preserve">Taylor, C. A., DiStefano, R. J., Larson, E. R., &amp; Stoeckel, J. (2019). Towards a cohesive strategy for the conservation of the</w:t>
      </w:r>
      <w:r>
        <w:t xml:space="preserve"> </w:t>
      </w:r>
      <w:r>
        <w:t xml:space="preserve">United States</w:t>
      </w:r>
      <w:r>
        <w:t xml:space="preserve">’ diverse and highly endemic crayfish fauna.</w:t>
      </w:r>
      <w:r>
        <w:t xml:space="preserve"> </w:t>
      </w:r>
      <w:r>
        <w:rPr>
          <w:i/>
          <w:iCs/>
        </w:rPr>
        <w:t xml:space="preserve">Hydrobiologia</w:t>
      </w:r>
      <w:r>
        <w:t xml:space="preserve">,</w:t>
      </w:r>
      <w:r>
        <w:t xml:space="preserve"> </w:t>
      </w:r>
      <w:r>
        <w:rPr>
          <w:i/>
          <w:iCs/>
        </w:rPr>
        <w:t xml:space="preserve">846</w:t>
      </w:r>
      <w:r>
        <w:t xml:space="preserve">(1), 39–58.</w:t>
      </w:r>
      <w:r>
        <w:t xml:space="preserve"> </w:t>
      </w:r>
      <w:hyperlink r:id="rId177">
        <w:r>
          <w:rPr>
            <w:rStyle w:val="Hyperlink"/>
          </w:rPr>
          <w:t xml:space="preserve">https://doi.org/10.1007/s10750-019-04066-3</w:t>
        </w:r>
      </w:hyperlink>
    </w:p>
    <w:bookmarkEnd w:id="178"/>
    <w:bookmarkStart w:id="180" w:name="ref-Usio2000"/>
    <w:p>
      <w:pPr>
        <w:pStyle w:val="Bibliography"/>
      </w:pPr>
      <w:r>
        <w:t xml:space="preserve">Usio, N., &amp; Townsend, C. 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79">
        <w:r>
          <w:rPr>
            <w:rStyle w:val="Hyperlink"/>
          </w:rPr>
          <w:t xml:space="preserve">https://doi.org/10.1080/00288330.2000.9516957</w:t>
        </w:r>
      </w:hyperlink>
    </w:p>
    <w:bookmarkEnd w:id="180"/>
    <w:bookmarkStart w:id="182"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81">
        <w:r>
          <w:rPr>
            <w:rStyle w:val="Hyperlink"/>
          </w:rPr>
          <w:t xml:space="preserve">https://doi.org/10.1890/02-0618</w:t>
        </w:r>
      </w:hyperlink>
    </w:p>
    <w:bookmarkEnd w:id="182"/>
    <w:bookmarkStart w:id="184" w:name="ref-Vincent1984"/>
    <w:p>
      <w:pPr>
        <w:pStyle w:val="Bibliography"/>
      </w:pPr>
      <w:r>
        <w:t xml:space="preserve">Vincent, W. F., Gibbs, M. M., &amp; Dryden, S. 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w:t>
      </w:r>
      <w:r>
        <w:t xml:space="preserve"> </w:t>
      </w:r>
      <w:r>
        <w:rPr>
          <w:i/>
          <w:iCs/>
        </w:rPr>
        <w:t xml:space="preserve">18</w:t>
      </w:r>
      <w:r>
        <w:t xml:space="preserve">(4), 431–440.</w:t>
      </w:r>
      <w:r>
        <w:t xml:space="preserve"> </w:t>
      </w:r>
      <w:hyperlink r:id="rId183">
        <w:r>
          <w:rPr>
            <w:rStyle w:val="Hyperlink"/>
          </w:rPr>
          <w:t xml:space="preserve">https://doi.org/10.1080/00288330.1984.9516064</w:t>
        </w:r>
      </w:hyperlink>
    </w:p>
    <w:bookmarkEnd w:id="184"/>
    <w:bookmarkStart w:id="186" w:name="ref-vonWesternhagen2010"/>
    <w:p>
      <w:pPr>
        <w:pStyle w:val="Bibliography"/>
      </w:pPr>
      <w:r>
        <w:t xml:space="preserve">Westernhagen, N. von, Hamilton, D. P., &amp; Pilditch, C. A. (2010). Temporal and spatial variations in phytoplankton productivity in surface waters of a warm-temperate, monomictic lake in</w:t>
      </w:r>
      <w:r>
        <w:t xml:space="preserve"> </w:t>
      </w:r>
      <w:r>
        <w:t xml:space="preserve">New Zealand</w:t>
      </w:r>
      <w:r>
        <w:t xml:space="preserve">.</w:t>
      </w:r>
      <w:r>
        <w:t xml:space="preserve"> </w:t>
      </w:r>
      <w:r>
        <w:rPr>
          <w:i/>
          <w:iCs/>
        </w:rPr>
        <w:t xml:space="preserve">Hydrobiologia</w:t>
      </w:r>
      <w:r>
        <w:t xml:space="preserve">,</w:t>
      </w:r>
      <w:r>
        <w:t xml:space="preserve"> </w:t>
      </w:r>
      <w:r>
        <w:rPr>
          <w:i/>
          <w:iCs/>
        </w:rPr>
        <w:t xml:space="preserve">652</w:t>
      </w:r>
      <w:r>
        <w:t xml:space="preserve">(1), 57–70.</w:t>
      </w:r>
      <w:r>
        <w:t xml:space="preserve"> </w:t>
      </w:r>
      <w:hyperlink r:id="rId185">
        <w:r>
          <w:rPr>
            <w:rStyle w:val="Hyperlink"/>
          </w:rPr>
          <w:t xml:space="preserve">https://doi.org/10.1007/s10750-010-0318-4</w:t>
        </w:r>
      </w:hyperlink>
    </w:p>
    <w:bookmarkEnd w:id="186"/>
    <w:bookmarkStart w:id="187" w:name="ref-Wetzel2001"/>
    <w:p>
      <w:pPr>
        <w:pStyle w:val="Bibliography"/>
      </w:pPr>
      <w:r>
        <w:t xml:space="preserve">Wetzel, R. G. (2001).</w:t>
      </w:r>
      <w:r>
        <w:t xml:space="preserve"> </w:t>
      </w:r>
      <w:r>
        <w:rPr>
          <w:i/>
          <w:iCs/>
        </w:rPr>
        <w:t xml:space="preserve">Limnology: Lake and river ecosystems</w:t>
      </w:r>
      <w:r>
        <w:t xml:space="preserve">. Gulf Professional Publishing.</w:t>
      </w:r>
    </w:p>
    <w:bookmarkEnd w:id="187"/>
    <w:bookmarkStart w:id="189" w:name="ref-White2003"/>
    <w:p>
      <w:pPr>
        <w:pStyle w:val="Bibliography"/>
      </w:pPr>
      <w:r>
        <w:t xml:space="preserve">White, J., &amp; Irvine, K. (2003). The use of littoral mesohabitats and their macroinvertebrate assemblages in the ecological assessment of lakes.</w:t>
      </w:r>
      <w:r>
        <w:t xml:space="preserve"> </w:t>
      </w:r>
      <w:r>
        <w:rPr>
          <w:i/>
          <w:iCs/>
        </w:rPr>
        <w:t xml:space="preserve">Aquatic Conservation: Marine and Freshwater Ecosystems</w:t>
      </w:r>
      <w:r>
        <w:t xml:space="preserve">,</w:t>
      </w:r>
      <w:r>
        <w:t xml:space="preserve"> </w:t>
      </w:r>
      <w:r>
        <w:rPr>
          <w:i/>
          <w:iCs/>
        </w:rPr>
        <w:t xml:space="preserve">13</w:t>
      </w:r>
      <w:r>
        <w:t xml:space="preserve">(4), 331–351.</w:t>
      </w:r>
      <w:r>
        <w:t xml:space="preserve"> </w:t>
      </w:r>
      <w:hyperlink r:id="rId188">
        <w:r>
          <w:rPr>
            <w:rStyle w:val="Hyperlink"/>
          </w:rPr>
          <w:t xml:space="preserve">https://doi.org/10.1002/aqc.586</w:t>
        </w:r>
      </w:hyperlink>
    </w:p>
    <w:bookmarkEnd w:id="189"/>
    <w:bookmarkStart w:id="191" w:name="ref-Wood2004"/>
    <w:p>
      <w:pPr>
        <w:pStyle w:val="Bibliography"/>
      </w:pPr>
      <w:r>
        <w:t xml:space="preserve">Wood, S. N. (2004). Stable and efficient multiple smoothing parameter estimation for generalized additive models.</w:t>
      </w:r>
      <w:r>
        <w:t xml:space="preserve"> </w:t>
      </w:r>
      <w:r>
        <w:rPr>
          <w:i/>
          <w:iCs/>
        </w:rPr>
        <w:t xml:space="preserve">Journal of the American Statistical Association</w:t>
      </w:r>
      <w:r>
        <w:t xml:space="preserve">,</w:t>
      </w:r>
      <w:r>
        <w:t xml:space="preserve"> </w:t>
      </w:r>
      <w:r>
        <w:rPr>
          <w:i/>
          <w:iCs/>
        </w:rPr>
        <w:t xml:space="preserve">99</w:t>
      </w:r>
      <w:r>
        <w:t xml:space="preserve">(467), 673–686.</w:t>
      </w:r>
      <w:r>
        <w:t xml:space="preserve"> </w:t>
      </w:r>
      <w:hyperlink r:id="rId190">
        <w:r>
          <w:rPr>
            <w:rStyle w:val="Hyperlink"/>
          </w:rPr>
          <w:t xml:space="preserve">https://doi.org/10.1198/016214504000000980</w:t>
        </w:r>
      </w:hyperlink>
    </w:p>
    <w:bookmarkEnd w:id="191"/>
    <w:bookmarkStart w:id="193"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192">
        <w:r>
          <w:rPr>
            <w:rStyle w:val="Hyperlink"/>
          </w:rPr>
          <w:t xml:space="preserve">https://doi.org/10.1201/9781315370279</w:t>
        </w:r>
      </w:hyperlink>
    </w:p>
    <w:bookmarkEnd w:id="193"/>
    <w:bookmarkStart w:id="195" w:name="ref-Woolway2021"/>
    <w:p>
      <w:pPr>
        <w:pStyle w:val="Bibliography"/>
      </w:pPr>
      <w:r>
        <w:t xml:space="preserve">Woolway, R. I., Sharma, S., Weyhenmeyer, G. A., Debolskiy, A., Golub, M., Mercado-Bettín, D., Perroud, M., Stepanenko, V., Tan, Z., Grant, L., et al.</w:t>
      </w:r>
      <w:r>
        <w:t xml:space="preserve"> (2021). Phenological shifts in lake stratification under climate change.</w:t>
      </w:r>
      <w:r>
        <w:t xml:space="preserve"> </w:t>
      </w:r>
      <w:r>
        <w:rPr>
          <w:i/>
          <w:iCs/>
        </w:rPr>
        <w:t xml:space="preserve">Nature Communications</w:t>
      </w:r>
      <w:r>
        <w:t xml:space="preserve">,</w:t>
      </w:r>
      <w:r>
        <w:t xml:space="preserve"> </w:t>
      </w:r>
      <w:r>
        <w:rPr>
          <w:i/>
          <w:iCs/>
        </w:rPr>
        <w:t xml:space="preserve">12</w:t>
      </w:r>
      <w:r>
        <w:t xml:space="preserve">(1), 2318.</w:t>
      </w:r>
      <w:r>
        <w:t xml:space="preserve"> </w:t>
      </w:r>
      <w:hyperlink r:id="rId194">
        <w:r>
          <w:rPr>
            <w:rStyle w:val="Hyperlink"/>
          </w:rPr>
          <w:t xml:space="preserve">https://doi.org/10.1038/s41467-021-22657-4</w:t>
        </w:r>
      </w:hyperlink>
    </w:p>
    <w:bookmarkEnd w:id="195"/>
    <w:bookmarkStart w:id="197" w:name="ref-Zhang2024"/>
    <w:p>
      <w:pPr>
        <w:pStyle w:val="Bibliography"/>
      </w:pPr>
      <w:r>
        <w:t xml:space="preserve">Zhang, Y., Shen, J., He, L., Feng, J., Chi, L., &amp; Wang, X. (2024). Challenge to lake ecosystems: Changes in thermal structure triggered by climate change.</w:t>
      </w:r>
      <w:r>
        <w:t xml:space="preserve"> </w:t>
      </w:r>
      <w:r>
        <w:rPr>
          <w:i/>
          <w:iCs/>
        </w:rPr>
        <w:t xml:space="preserve">Water</w:t>
      </w:r>
      <w:r>
        <w:t xml:space="preserve">,</w:t>
      </w:r>
      <w:r>
        <w:t xml:space="preserve"> </w:t>
      </w:r>
      <w:r>
        <w:rPr>
          <w:i/>
          <w:iCs/>
        </w:rPr>
        <w:t xml:space="preserve">16</w:t>
      </w:r>
      <w:r>
        <w:t xml:space="preserve">(6), 888.</w:t>
      </w:r>
      <w:r>
        <w:t xml:space="preserve"> </w:t>
      </w:r>
      <w:hyperlink r:id="rId196">
        <w:r>
          <w:rPr>
            <w:rStyle w:val="Hyperlink"/>
          </w:rPr>
          <w:t xml:space="preserve">https://doi.org/10.3390/w16060888</w:t>
        </w:r>
      </w:hyperlink>
    </w:p>
    <w:bookmarkEnd w:id="197"/>
    <w:bookmarkStart w:id="199" w:name="ref-Zuur2009"/>
    <w:p>
      <w:pPr>
        <w:pStyle w:val="Bibliography"/>
      </w:pPr>
      <w:r>
        <w:t xml:space="preserve">Zuur, A. F., Ieno, E. N., Walker, N., Saveliev, A. A., &amp; Smith, G. M. (2009).</w:t>
      </w:r>
      <w:r>
        <w:t xml:space="preserve"> </w:t>
      </w:r>
      <w:r>
        <w:rPr>
          <w:i/>
          <w:iCs/>
        </w:rPr>
        <w:t xml:space="preserve">Mixed effects models and extensions in ecology with</w:t>
      </w:r>
      <w:r>
        <w:rPr>
          <w:i/>
          <w:iCs/>
        </w:rPr>
        <w:t xml:space="preserve"> </w:t>
      </w:r>
      <w:r>
        <w:rPr>
          <w:i/>
          <w:iCs/>
        </w:rPr>
        <w:t xml:space="preserve">R</w:t>
      </w:r>
      <w:r>
        <w:t xml:space="preserve">. Springer.</w:t>
      </w:r>
      <w:r>
        <w:t xml:space="preserve"> </w:t>
      </w:r>
      <w:hyperlink r:id="rId198">
        <w:r>
          <w:rPr>
            <w:rStyle w:val="Hyperlink"/>
          </w:rPr>
          <w:t xml:space="preserve">https://doi.org/10.1007/978-0-387-87458-6</w:t>
        </w:r>
      </w:hyperlink>
    </w:p>
    <w:bookmarkEnd w:id="199"/>
    <w:bookmarkEnd w:id="200"/>
    <w:bookmarkEnd w:id="201"/>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hyperlink" Id="rId55" Target="https://OlivierRaven.github.io/Koura_shoreline_habitats/analysis-preview.html#cell-fig-bpue-hurdle" TargetMode="External" /><Relationship Type="http://schemas.openxmlformats.org/officeDocument/2006/relationships/hyperlink" Id="rId50" Target="https://OlivierRaven.github.io/Koura_shoreline_habitats/analysis-preview.html#cell-fig-cpue-hurdle" TargetMode="External" /><Relationship Type="http://schemas.openxmlformats.org/officeDocument/2006/relationships/hyperlink" Id="rId40" Target="https://OlivierRaven.github.io/Koura_shoreline_habitats/analysis-preview.html#cell-fig-koura-by-lake" TargetMode="External" /><Relationship Type="http://schemas.openxmlformats.org/officeDocument/2006/relationships/hyperlink" Id="rId61" Target="https://OlivierRaven.github.io/Koura_shoreline_habitats/analysis-preview.html#cell-fig-length-weight" TargetMode="External" /><Relationship Type="http://schemas.openxmlformats.org/officeDocument/2006/relationships/hyperlink" Id="rId45" Target="https://OlivierRaven.github.io/Koura_shoreline_habitats/analysis-preview.html#cell-fig-occupancy-model" TargetMode="External" /><Relationship Type="http://schemas.openxmlformats.org/officeDocument/2006/relationships/hyperlink" Id="rId66" Target="https://OlivierRaven.github.io/Koura_shoreline_habitats/analysis-preview.html#cell-fig-raw-data-plots" TargetMode="External" /><Relationship Type="http://schemas.openxmlformats.org/officeDocument/2006/relationships/hyperlink" Id="rId29"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88"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198"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75" Target="https://doi.org/10.1007/s00027-010-0128-9" TargetMode="External" /><Relationship Type="http://schemas.openxmlformats.org/officeDocument/2006/relationships/hyperlink" Id="rId120" Target="https://doi.org/10.1007/s10750-007-9108-z" TargetMode="External" /><Relationship Type="http://schemas.openxmlformats.org/officeDocument/2006/relationships/hyperlink" Id="rId185" Target="https://doi.org/10.1007/s10750-010-0318-4" TargetMode="External" /><Relationship Type="http://schemas.openxmlformats.org/officeDocument/2006/relationships/hyperlink" Id="rId177" Target="https://doi.org/10.1007/s10750-019-04066-3" TargetMode="External" /><Relationship Type="http://schemas.openxmlformats.org/officeDocument/2006/relationships/hyperlink" Id="rId140" Target="https://doi.org/10.1007/s10750-021-04771-y" TargetMode="External" /><Relationship Type="http://schemas.openxmlformats.org/officeDocument/2006/relationships/hyperlink" Id="rId79" Target="https://doi.org/10.1007/s13157-010-0051-9" TargetMode="External" /><Relationship Type="http://schemas.openxmlformats.org/officeDocument/2006/relationships/hyperlink" Id="rId107" Target="https://doi.org/10.1016/j.aquaculture.2005.05.032" TargetMode="External" /><Relationship Type="http://schemas.openxmlformats.org/officeDocument/2006/relationships/hyperlink" Id="rId146" Target="https://doi.org/10.1016/j.biocon.2005.12.019" TargetMode="External" /><Relationship Type="http://schemas.openxmlformats.org/officeDocument/2006/relationships/hyperlink" Id="rId169" Target="https://doi.org/10.1016/j.fishres.2008.03.006" TargetMode="External" /><Relationship Type="http://schemas.openxmlformats.org/officeDocument/2006/relationships/hyperlink" Id="rId125" Target="https://doi.org/10.1016/j.fishres.2015.03.015" TargetMode="External" /><Relationship Type="http://schemas.openxmlformats.org/officeDocument/2006/relationships/hyperlink" Id="rId167"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5"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2" Target="https://doi.org/10.1023/B:BINV.0000022131.40783.f0" TargetMode="External" /><Relationship Type="http://schemas.openxmlformats.org/officeDocument/2006/relationships/hyperlink" Id="rId148" Target="https://doi.org/10.1023/B:HYDR.0000043189.91134.94" TargetMode="External" /><Relationship Type="http://schemas.openxmlformats.org/officeDocument/2006/relationships/hyperlink" Id="rId194" Target="https://doi.org/10.1038/s41467-021-22657-4" TargetMode="External" /><Relationship Type="http://schemas.openxmlformats.org/officeDocument/2006/relationships/hyperlink" Id="rId117" Target="https://doi.org/10.1038/s41586-021-03550-y" TargetMode="External" /><Relationship Type="http://schemas.openxmlformats.org/officeDocument/2006/relationships/hyperlink" Id="rId150" Target="https://doi.org/10.1046/j.1365-2427.2001.00702.x" TargetMode="External" /><Relationship Type="http://schemas.openxmlformats.org/officeDocument/2006/relationships/hyperlink" Id="rId171"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29" Target="https://doi.org/10.1071/MF14148" TargetMode="External" /><Relationship Type="http://schemas.openxmlformats.org/officeDocument/2006/relationships/hyperlink" Id="rId115" Target="https://doi.org/10.1080/00288330.1970.9515347" TargetMode="External" /><Relationship Type="http://schemas.openxmlformats.org/officeDocument/2006/relationships/hyperlink" Id="rId183" Target="https://doi.org/10.1080/00288330.1984.9516064" TargetMode="External" /><Relationship Type="http://schemas.openxmlformats.org/officeDocument/2006/relationships/hyperlink" Id="rId122" Target="https://doi.org/10.1080/00288330.1990.9516399" TargetMode="External" /><Relationship Type="http://schemas.openxmlformats.org/officeDocument/2006/relationships/hyperlink" Id="rId155" Target="https://doi.org/10.1080/00288330.1990.9516433" TargetMode="External" /><Relationship Type="http://schemas.openxmlformats.org/officeDocument/2006/relationships/hyperlink" Id="rId163" Target="https://doi.org/10.1080/00288330.1993.9516548" TargetMode="External" /><Relationship Type="http://schemas.openxmlformats.org/officeDocument/2006/relationships/hyperlink" Id="rId179" Target="https://doi.org/10.1080/00288330.2000.9516957" TargetMode="External" /><Relationship Type="http://schemas.openxmlformats.org/officeDocument/2006/relationships/hyperlink" Id="rId152" Target="https://doi.org/10.1080/00288330909510034" TargetMode="External" /><Relationship Type="http://schemas.openxmlformats.org/officeDocument/2006/relationships/hyperlink" Id="rId127" Target="https://doi.org/10.1080/00288330909510036" TargetMode="External" /><Relationship Type="http://schemas.openxmlformats.org/officeDocument/2006/relationships/hyperlink" Id="rId142" Target="https://doi.org/10.1080/10641269509388566" TargetMode="External" /><Relationship Type="http://schemas.openxmlformats.org/officeDocument/2006/relationships/hyperlink" Id="rId68" Target="https://doi.org/10.1086/700884" TargetMode="External" /><Relationship Type="http://schemas.openxmlformats.org/officeDocument/2006/relationships/hyperlink" Id="rId70" Target="https://doi.org/10.1093/icb/44.6.498" TargetMode="External" /><Relationship Type="http://schemas.openxmlformats.org/officeDocument/2006/relationships/hyperlink" Id="rId159" Target="https://doi.org/10.1098/rstb.2014.0060" TargetMode="External" /><Relationship Type="http://schemas.openxmlformats.org/officeDocument/2006/relationships/hyperlink" Id="rId81" Target="https://doi.org/10.1111/cobi.12043" TargetMode="External" /><Relationship Type="http://schemas.openxmlformats.org/officeDocument/2006/relationships/hyperlink" Id="rId138" Target="https://doi.org/10.1111/fwb.14141" TargetMode="External" /><Relationship Type="http://schemas.openxmlformats.org/officeDocument/2006/relationships/hyperlink" Id="rId144" Target="https://doi.org/10.1111/j.1365-2427.2006.01641.x" TargetMode="External" /><Relationship Type="http://schemas.openxmlformats.org/officeDocument/2006/relationships/hyperlink" Id="rId101" Target="https://doi.org/10.1139/f47-018" TargetMode="External" /><Relationship Type="http://schemas.openxmlformats.org/officeDocument/2006/relationships/hyperlink" Id="rId83" Target="https://doi.org/10.1139/f87-204" TargetMode="External" /><Relationship Type="http://schemas.openxmlformats.org/officeDocument/2006/relationships/hyperlink" Id="rId173" Target="https://doi.org/10.1198/016214504000000250" TargetMode="External" /><Relationship Type="http://schemas.openxmlformats.org/officeDocument/2006/relationships/hyperlink" Id="rId190" Target="https://doi.org/10.1198/016214504000000980" TargetMode="External" /><Relationship Type="http://schemas.openxmlformats.org/officeDocument/2006/relationships/hyperlink" Id="rId192"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81" Target="https://doi.org/10.1890/02-0618" TargetMode="External" /><Relationship Type="http://schemas.openxmlformats.org/officeDocument/2006/relationships/hyperlink" Id="rId165"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36" Target="https://doi.org/10.2307/1941447" TargetMode="External" /><Relationship Type="http://schemas.openxmlformats.org/officeDocument/2006/relationships/hyperlink" Id="rId77" Target="https://doi.org/10.32614/RJ-2017-066" TargetMode="External" /><Relationship Type="http://schemas.openxmlformats.org/officeDocument/2006/relationships/hyperlink" Id="rId196" Target="https://doi.org/10.3390/w16060888" TargetMode="External" /><Relationship Type="http://schemas.openxmlformats.org/officeDocument/2006/relationships/hyperlink" Id="rId161" Target="https://doi.org/10.3391/mbi.2013.4.4.02" TargetMode="External" /><Relationship Type="http://schemas.openxmlformats.org/officeDocument/2006/relationships/hyperlink" Id="rId134"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72" Target="https://researchcommons.waikato.ac.nz/items/24cf02c1-8c2f-4b63-ba89-e8a509e9ba05" TargetMode="External" /><Relationship Type="http://schemas.openxmlformats.org/officeDocument/2006/relationships/hyperlink" Id="rId157" Target="https://www.R-project.org/" TargetMode="External" /><Relationship Type="http://schemas.openxmlformats.org/officeDocument/2006/relationships/hyperlink" Id="rId132"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55" Target="https://OlivierRaven.github.io/Koura_shoreline_habitats/analysis-preview.html#cell-fig-bpue-hurdle" TargetMode="External" /><Relationship Type="http://schemas.openxmlformats.org/officeDocument/2006/relationships/hyperlink" Id="rId50" Target="https://OlivierRaven.github.io/Koura_shoreline_habitats/analysis-preview.html#cell-fig-cpue-hurdle" TargetMode="External" /><Relationship Type="http://schemas.openxmlformats.org/officeDocument/2006/relationships/hyperlink" Id="rId40" Target="https://OlivierRaven.github.io/Koura_shoreline_habitats/analysis-preview.html#cell-fig-koura-by-lake" TargetMode="External" /><Relationship Type="http://schemas.openxmlformats.org/officeDocument/2006/relationships/hyperlink" Id="rId61" Target="https://OlivierRaven.github.io/Koura_shoreline_habitats/analysis-preview.html#cell-fig-length-weight" TargetMode="External" /><Relationship Type="http://schemas.openxmlformats.org/officeDocument/2006/relationships/hyperlink" Id="rId45" Target="https://OlivierRaven.github.io/Koura_shoreline_habitats/analysis-preview.html#cell-fig-occupancy-model" TargetMode="External" /><Relationship Type="http://schemas.openxmlformats.org/officeDocument/2006/relationships/hyperlink" Id="rId66" Target="https://OlivierRaven.github.io/Koura_shoreline_habitats/analysis-preview.html#cell-fig-raw-data-plots" TargetMode="External" /><Relationship Type="http://schemas.openxmlformats.org/officeDocument/2006/relationships/hyperlink" Id="rId29"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88"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198"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75" Target="https://doi.org/10.1007/s00027-010-0128-9" TargetMode="External" /><Relationship Type="http://schemas.openxmlformats.org/officeDocument/2006/relationships/hyperlink" Id="rId120" Target="https://doi.org/10.1007/s10750-007-9108-z" TargetMode="External" /><Relationship Type="http://schemas.openxmlformats.org/officeDocument/2006/relationships/hyperlink" Id="rId185" Target="https://doi.org/10.1007/s10750-010-0318-4" TargetMode="External" /><Relationship Type="http://schemas.openxmlformats.org/officeDocument/2006/relationships/hyperlink" Id="rId177" Target="https://doi.org/10.1007/s10750-019-04066-3" TargetMode="External" /><Relationship Type="http://schemas.openxmlformats.org/officeDocument/2006/relationships/hyperlink" Id="rId140" Target="https://doi.org/10.1007/s10750-021-04771-y" TargetMode="External" /><Relationship Type="http://schemas.openxmlformats.org/officeDocument/2006/relationships/hyperlink" Id="rId79" Target="https://doi.org/10.1007/s13157-010-0051-9" TargetMode="External" /><Relationship Type="http://schemas.openxmlformats.org/officeDocument/2006/relationships/hyperlink" Id="rId107" Target="https://doi.org/10.1016/j.aquaculture.2005.05.032" TargetMode="External" /><Relationship Type="http://schemas.openxmlformats.org/officeDocument/2006/relationships/hyperlink" Id="rId146" Target="https://doi.org/10.1016/j.biocon.2005.12.019" TargetMode="External" /><Relationship Type="http://schemas.openxmlformats.org/officeDocument/2006/relationships/hyperlink" Id="rId169" Target="https://doi.org/10.1016/j.fishres.2008.03.006" TargetMode="External" /><Relationship Type="http://schemas.openxmlformats.org/officeDocument/2006/relationships/hyperlink" Id="rId125" Target="https://doi.org/10.1016/j.fishres.2015.03.015" TargetMode="External" /><Relationship Type="http://schemas.openxmlformats.org/officeDocument/2006/relationships/hyperlink" Id="rId167"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5"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2" Target="https://doi.org/10.1023/B:BINV.0000022131.40783.f0" TargetMode="External" /><Relationship Type="http://schemas.openxmlformats.org/officeDocument/2006/relationships/hyperlink" Id="rId148" Target="https://doi.org/10.1023/B:HYDR.0000043189.91134.94" TargetMode="External" /><Relationship Type="http://schemas.openxmlformats.org/officeDocument/2006/relationships/hyperlink" Id="rId194" Target="https://doi.org/10.1038/s41467-021-22657-4" TargetMode="External" /><Relationship Type="http://schemas.openxmlformats.org/officeDocument/2006/relationships/hyperlink" Id="rId117" Target="https://doi.org/10.1038/s41586-021-03550-y" TargetMode="External" /><Relationship Type="http://schemas.openxmlformats.org/officeDocument/2006/relationships/hyperlink" Id="rId150" Target="https://doi.org/10.1046/j.1365-2427.2001.00702.x" TargetMode="External" /><Relationship Type="http://schemas.openxmlformats.org/officeDocument/2006/relationships/hyperlink" Id="rId171"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29" Target="https://doi.org/10.1071/MF14148" TargetMode="External" /><Relationship Type="http://schemas.openxmlformats.org/officeDocument/2006/relationships/hyperlink" Id="rId115" Target="https://doi.org/10.1080/00288330.1970.9515347" TargetMode="External" /><Relationship Type="http://schemas.openxmlformats.org/officeDocument/2006/relationships/hyperlink" Id="rId183" Target="https://doi.org/10.1080/00288330.1984.9516064" TargetMode="External" /><Relationship Type="http://schemas.openxmlformats.org/officeDocument/2006/relationships/hyperlink" Id="rId122" Target="https://doi.org/10.1080/00288330.1990.9516399" TargetMode="External" /><Relationship Type="http://schemas.openxmlformats.org/officeDocument/2006/relationships/hyperlink" Id="rId155" Target="https://doi.org/10.1080/00288330.1990.9516433" TargetMode="External" /><Relationship Type="http://schemas.openxmlformats.org/officeDocument/2006/relationships/hyperlink" Id="rId163" Target="https://doi.org/10.1080/00288330.1993.9516548" TargetMode="External" /><Relationship Type="http://schemas.openxmlformats.org/officeDocument/2006/relationships/hyperlink" Id="rId179" Target="https://doi.org/10.1080/00288330.2000.9516957" TargetMode="External" /><Relationship Type="http://schemas.openxmlformats.org/officeDocument/2006/relationships/hyperlink" Id="rId152" Target="https://doi.org/10.1080/00288330909510034" TargetMode="External" /><Relationship Type="http://schemas.openxmlformats.org/officeDocument/2006/relationships/hyperlink" Id="rId127" Target="https://doi.org/10.1080/00288330909510036" TargetMode="External" /><Relationship Type="http://schemas.openxmlformats.org/officeDocument/2006/relationships/hyperlink" Id="rId142" Target="https://doi.org/10.1080/10641269509388566" TargetMode="External" /><Relationship Type="http://schemas.openxmlformats.org/officeDocument/2006/relationships/hyperlink" Id="rId68" Target="https://doi.org/10.1086/700884" TargetMode="External" /><Relationship Type="http://schemas.openxmlformats.org/officeDocument/2006/relationships/hyperlink" Id="rId70" Target="https://doi.org/10.1093/icb/44.6.498" TargetMode="External" /><Relationship Type="http://schemas.openxmlformats.org/officeDocument/2006/relationships/hyperlink" Id="rId159" Target="https://doi.org/10.1098/rstb.2014.0060" TargetMode="External" /><Relationship Type="http://schemas.openxmlformats.org/officeDocument/2006/relationships/hyperlink" Id="rId81" Target="https://doi.org/10.1111/cobi.12043" TargetMode="External" /><Relationship Type="http://schemas.openxmlformats.org/officeDocument/2006/relationships/hyperlink" Id="rId138" Target="https://doi.org/10.1111/fwb.14141" TargetMode="External" /><Relationship Type="http://schemas.openxmlformats.org/officeDocument/2006/relationships/hyperlink" Id="rId144" Target="https://doi.org/10.1111/j.1365-2427.2006.01641.x" TargetMode="External" /><Relationship Type="http://schemas.openxmlformats.org/officeDocument/2006/relationships/hyperlink" Id="rId101" Target="https://doi.org/10.1139/f47-018" TargetMode="External" /><Relationship Type="http://schemas.openxmlformats.org/officeDocument/2006/relationships/hyperlink" Id="rId83" Target="https://doi.org/10.1139/f87-204" TargetMode="External" /><Relationship Type="http://schemas.openxmlformats.org/officeDocument/2006/relationships/hyperlink" Id="rId173" Target="https://doi.org/10.1198/016214504000000250" TargetMode="External" /><Relationship Type="http://schemas.openxmlformats.org/officeDocument/2006/relationships/hyperlink" Id="rId190" Target="https://doi.org/10.1198/016214504000000980" TargetMode="External" /><Relationship Type="http://schemas.openxmlformats.org/officeDocument/2006/relationships/hyperlink" Id="rId192"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81" Target="https://doi.org/10.1890/02-0618" TargetMode="External" /><Relationship Type="http://schemas.openxmlformats.org/officeDocument/2006/relationships/hyperlink" Id="rId165"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36" Target="https://doi.org/10.2307/1941447" TargetMode="External" /><Relationship Type="http://schemas.openxmlformats.org/officeDocument/2006/relationships/hyperlink" Id="rId77" Target="https://doi.org/10.32614/RJ-2017-066" TargetMode="External" /><Relationship Type="http://schemas.openxmlformats.org/officeDocument/2006/relationships/hyperlink" Id="rId196" Target="https://doi.org/10.3390/w16060888" TargetMode="External" /><Relationship Type="http://schemas.openxmlformats.org/officeDocument/2006/relationships/hyperlink" Id="rId161" Target="https://doi.org/10.3391/mbi.2013.4.4.02" TargetMode="External" /><Relationship Type="http://schemas.openxmlformats.org/officeDocument/2006/relationships/hyperlink" Id="rId134"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72" Target="https://researchcommons.waikato.ac.nz/items/24cf02c1-8c2f-4b63-ba89-e8a509e9ba05" TargetMode="External" /><Relationship Type="http://schemas.openxmlformats.org/officeDocument/2006/relationships/hyperlink" Id="rId157" Target="https://www.R-project.org/" TargetMode="External" /><Relationship Type="http://schemas.openxmlformats.org/officeDocument/2006/relationships/hyperlink" Id="rId132"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Olivier V. Raven; Francis J. Burdon; Ian A. K. Kusabs; Robin Holmes; Deniz Özkundakci</dc:creator>
  <cp:keywords>Te Arawa Lakes, North Island, Habitat structure, Thermal stress, Generalised additive mixed models, Paranephrops planifrons</cp:keywords>
  <dcterms:created xsi:type="dcterms:W3CDTF">2026-06-08T02:09:35Z</dcterms:created>
  <dcterms:modified xsi:type="dcterms:W3CDTF">2026-06-08T02:09:35Z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increasingly threatened by habitat degradation, declining water quality, and invasive species. In Aotearoa New Zealand, lake populations of the endemic northern freshwater crayfish Paranephrops planifrons (kōura) have declined by up to 90%. Identifying key habitat requirements is essential to improve the conservation of freshwater crayfish in the face of multiple threats. To assess littoral habitat associations, we surveyed shoreline habitats in five Aotearoa lakes and modelled kōura occupancy, abundance, and biomass using generalised additive mixed models. Kōura distribution was best explained by habitat characteristics rather than lake-scale processes. Occupancy increased with shoreline habitat characteristics, particularly coarser substrate types and greater riparian vegetation cover. Elevated summer surface water temperatures were negatively associated with kōura occupancy and abundance, indicating reduced habitat suitability during warm periods. Water chemistry variables, conductivity and pH, were positively related to kōura presence and biomass. In contrast, emergent macrophyte-dominated shorelines were associated with lower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2026-06-08</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