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2.png" ContentType="image/png"/>
  <Override PartName="/word/media/rId47.png" ContentType="image/png"/>
  <Override PartName="/word/media/rId37.png" ContentType="image/png"/>
  <Override PartName="/word/media/rId58.png" ContentType="image/png"/>
  <Override PartName="/word/media/rId4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Author"/>
      </w:pPr>
      <w:r>
        <w:t xml:space="preserve">Olivier V. Raven</w:t>
      </w:r>
    </w:p>
    <w:p>
      <w:pPr>
        <w:pStyle w:val="Author"/>
      </w:pPr>
      <w:r>
        <w:t xml:space="preserve">Francis J. Burdon</w:t>
      </w:r>
    </w:p>
    <w:p>
      <w:pPr>
        <w:pStyle w:val="Author"/>
      </w:pPr>
      <w:r>
        <w:t xml:space="preserve">Ian A. K. Kusabs</w:t>
      </w:r>
    </w:p>
    <w:p>
      <w:pPr>
        <w:pStyle w:val="Author"/>
      </w:pPr>
      <w:r>
        <w:t xml:space="preserve">Robin Holmes</w:t>
      </w:r>
    </w:p>
    <w:p>
      <w:pPr>
        <w:pStyle w:val="Author"/>
      </w:pPr>
      <w:r>
        <w:t xml:space="preserve">Deniz Özkundakci</w:t>
      </w:r>
    </w:p>
    <w:p>
      <w:pPr>
        <w:pStyle w:val="Date"/>
      </w:pPr>
      <w:r>
        <w:t xml:space="preserve">2026-06-15</w:t>
      </w:r>
    </w:p>
    <w:p>
      <w:pPr>
        <w:pStyle w:val="AbstractTitle"/>
      </w:pPr>
      <w:r>
        <w:t xml:space="preserve">Abstract</w:t>
      </w:r>
    </w:p>
    <w:p>
      <w:pPr>
        <w:pStyle w:val="Abstract"/>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Start w:id="9"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9"/>
    <w:bookmarkStart w:id="13" w:name="materials-and-methods"/>
    <w:p>
      <w:pPr>
        <w:pStyle w:val="Heading1"/>
      </w:pPr>
      <w:r>
        <w:t xml:space="preserve">Materials and Methods</w:t>
      </w:r>
    </w:p>
    <w:bookmarkStart w:id="10"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0"/>
    <w:bookmarkStart w:id="11"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ms">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box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1"/>
    <w:bookmarkStart w:id="12"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 in R</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(LID)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2"/>
    <w:bookmarkEnd w:id="13"/>
    <w:bookmarkStart w:id="17"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ms">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14"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 &lt;0.001),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14"/>
    <w:bookmarkStart w:id="15"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 &lt;0.001)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 &lt;0.001)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15"/>
    <w:bookmarkStart w:id="16"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is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16"/>
    <w:bookmarkEnd w:id="17"/>
    <w:bookmarkStart w:id="22"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18"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and giant spike rush (</w:t>
      </w:r>
      <w:r>
        <w:rPr>
          <w:i/>
          <w:iCs/>
        </w:rPr>
        <w:t xml:space="preserve">Eleocharis sphacelata</w:t>
      </w:r>
      <w:r>
        <w:t xml:space="preserve">),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18"/>
    <w:bookmarkStart w:id="19"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19"/>
    <w:bookmarkStart w:id="20"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0"/>
    <w:bookmarkStart w:id="21"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1"/>
    <w:bookmarkEnd w:id="22"/>
    <w:bookmarkStart w:id="28"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23" w:name="funding"/>
    <w:p>
      <w:pPr>
        <w:pStyle w:val="Heading2"/>
      </w:pPr>
      <w:r>
        <w:t xml:space="preserve">Funding</w:t>
      </w:r>
    </w:p>
    <w:p>
      <w:pPr>
        <w:pStyle w:val="FirstParagraph"/>
      </w:pPr>
      <w:r>
        <w:t xml:space="preserve">This research was supported by the Fish Futures programme funded through a Ministry of Business, Innovation and Employment grant (CAWX2101).</w:t>
      </w:r>
    </w:p>
    <w:bookmarkEnd w:id="23"/>
    <w:bookmarkStart w:id="24"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24"/>
    <w:bookmarkStart w:id="25"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25"/>
    <w:bookmarkStart w:id="26" w:name="declarations"/>
    <w:p>
      <w:pPr>
        <w:pStyle w:val="Heading2"/>
      </w:pPr>
      <w:r>
        <w:t xml:space="preserve">Declarations</w:t>
      </w:r>
    </w:p>
    <w:p>
      <w:pPr>
        <w:pStyle w:val="FirstParagraph"/>
      </w:pPr>
      <w:r>
        <w:t xml:space="preserve">The corresponding author has declared that none of the authors has any competing interests.</w:t>
      </w:r>
    </w:p>
    <w:bookmarkEnd w:id="26"/>
    <w:bookmarkStart w:id="2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27"/>
    <w:bookmarkEnd w:id="28"/>
    <w:bookmarkStart w:id="3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lake-overview-ms"/>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9"/>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environmental-biotic-overview-ms"/>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 (LID)</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31"/>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End w:id="32"/>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site-map"/>
          <w:p>
            <w:pPr>
              <w:pStyle w:val="Compact"/>
              <w:jc w:val="center"/>
            </w:pPr>
            <w:r>
              <w:drawing>
                <wp:inline>
                  <wp:extent cx="5727700" cy="4050383"/>
                  <wp:effectExtent b="0" l="0" r="0" t="0"/>
                  <wp:docPr descr="" title="" id="34" name="Picture"/>
                  <a:graphic>
                    <a:graphicData uri="http://schemas.openxmlformats.org/drawingml/2006/picture">
                      <pic:pic>
                        <pic:nvPicPr>
                          <pic:cNvPr descr="images/Natural_habitat_map.png" id="35" name="Picture"/>
                          <pic:cNvPicPr>
                            <a:picLocks noChangeArrowheads="1" noChangeAspect="1"/>
                          </pic:cNvPicPr>
                        </pic:nvPicPr>
                        <pic:blipFill>
                          <a:blip r:embed="rId3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koura-by-lake"/>
          <w:p>
            <w:pPr>
              <w:pStyle w:val="Compact"/>
              <w:jc w:val="center"/>
            </w:pPr>
            <w:r>
              <w:drawing>
                <wp:inline>
                  <wp:extent cx="2757562" cy="4595937"/>
                  <wp:effectExtent b="0" l="0" r="0" t="0"/>
                  <wp:docPr descr="" title="" id="38" name="Picture"/>
                  <a:graphic>
                    <a:graphicData uri="http://schemas.openxmlformats.org/drawingml/2006/picture">
                      <pic:pic>
                        <pic:nvPicPr>
                          <pic:cNvPr descr="index_files/figure-docx/analysis-fig-koura-by-lake-output-1.png" id="39" name="Picture"/>
                          <pic:cNvPicPr>
                            <a:picLocks noChangeArrowheads="1" noChangeAspect="1"/>
                          </pic:cNvPicPr>
                        </pic:nvPicPr>
                        <pic:blipFill>
                          <a:blip r:embed="rId37"/>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5" w:name="fig-occupancy-model"/>
          <w:p>
            <w:pPr>
              <w:pStyle w:val="Compact"/>
              <w:jc w:val="center"/>
            </w:pPr>
            <w:r>
              <w:drawing>
                <wp:inline>
                  <wp:extent cx="5727700" cy="4091214"/>
                  <wp:effectExtent b="0" l="0" r="0" t="0"/>
                  <wp:docPr descr="" title="" id="43" name="Picture"/>
                  <a:graphic>
                    <a:graphicData uri="http://schemas.openxmlformats.org/drawingml/2006/picture">
                      <pic:pic>
                        <pic:nvPicPr>
                          <pic:cNvPr descr="index_files/figure-docx/analysis-fig-occupancy-model-output-2.png" id="44" name="Picture"/>
                          <pic:cNvPicPr>
                            <a:picLocks noChangeArrowheads="1" noChangeAspect="1"/>
                          </pic:cNvPicPr>
                        </pic:nvPicPr>
                        <pic:blipFill>
                          <a:blip r:embed="rId42"/>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fig-cpue-hurdle"/>
          <w:p>
            <w:pPr>
              <w:pStyle w:val="Compact"/>
              <w:jc w:val="center"/>
            </w:pPr>
            <w:r>
              <w:drawing>
                <wp:inline>
                  <wp:extent cx="5055530" cy="4595937"/>
                  <wp:effectExtent b="0" l="0" r="0" t="0"/>
                  <wp:docPr descr="" title="" id="48" name="Picture"/>
                  <a:graphic>
                    <a:graphicData uri="http://schemas.openxmlformats.org/drawingml/2006/picture">
                      <pic:pic>
                        <pic:nvPicPr>
                          <pic:cNvPr descr="index_files/figure-docx/analysis-fig-cpue-hurdle-output-1.png" id="49" name="Picture"/>
                          <pic:cNvPicPr>
                            <a:picLocks noChangeArrowheads="1" noChangeAspect="1"/>
                          </pic:cNvPicPr>
                        </pic:nvPicPr>
                        <pic:blipFill>
                          <a:blip r:embed="rId47"/>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bpue-hurdle"/>
          <w:p>
            <w:pPr>
              <w:pStyle w:val="Compact"/>
              <w:jc w:val="center"/>
            </w:pPr>
            <w:r>
              <w:drawing>
                <wp:inline>
                  <wp:extent cx="3676749" cy="4595937"/>
                  <wp:effectExtent b="0" l="0" r="0" t="0"/>
                  <wp:docPr descr="" title="" id="53" name="Picture"/>
                  <a:graphic>
                    <a:graphicData uri="http://schemas.openxmlformats.org/drawingml/2006/picture">
                      <pic:pic>
                        <pic:nvPicPr>
                          <pic:cNvPr descr="index_files/figure-docx/analysis-fig-bpue-hurdle-output-1.png" id="54" name="Picture"/>
                          <pic:cNvPicPr>
                            <a:picLocks noChangeArrowheads="1" noChangeAspect="1"/>
                          </pic:cNvPicPr>
                        </pic:nvPicPr>
                        <pic:blipFill>
                          <a:blip r:embed="rId52"/>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20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1" w:name="fig-length-weight"/>
          <w:p>
            <w:pPr>
              <w:pStyle w:val="Compact"/>
              <w:jc w:val="center"/>
            </w:pPr>
            <w:r>
              <w:drawing>
                <wp:inline>
                  <wp:extent cx="5727700" cy="4091214"/>
                  <wp:effectExtent b="0" l="0" r="0" t="0"/>
                  <wp:docPr descr="" title="" id="59" name="Picture"/>
                  <a:graphic>
                    <a:graphicData uri="http://schemas.openxmlformats.org/drawingml/2006/picture">
                      <pic:pic>
                        <pic:nvPicPr>
                          <pic:cNvPr descr="index_files/figure-docx/analysis-fig-length-weight-output-1.png" id="60" name="Picture"/>
                          <pic:cNvPicPr>
                            <a:picLocks noChangeArrowheads="1" noChangeAspect="1"/>
                          </pic:cNvPicPr>
                        </pic:nvPicPr>
                        <pic:blipFill>
                          <a:blip r:embed="rId58"/>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6" w:name="fig-raw-data-all-predictors"/>
          <w:p>
            <w:pPr>
              <w:pStyle w:val="Compact"/>
              <w:jc w:val="center"/>
            </w:pPr>
            <w:r>
              <w:drawing>
                <wp:inline>
                  <wp:extent cx="4595937" cy="9191874"/>
                  <wp:effectExtent b="0" l="0" r="0" t="0"/>
                  <wp:docPr descr="" title="" id="64" name="Picture"/>
                  <a:graphic>
                    <a:graphicData uri="http://schemas.openxmlformats.org/drawingml/2006/picture">
                      <pic:pic>
                        <pic:nvPicPr>
                          <pic:cNvPr descr="index_files/figure-docx/analysis-fig-raw-data-all-predictors-output-1.png" id="65" name="Picture"/>
                          <pic:cNvPicPr>
                            <a:picLocks noChangeArrowheads="1" noChangeAspect="1"/>
                          </pic:cNvPicPr>
                        </pic:nvPicPr>
                        <pic:blipFill>
                          <a:blip r:embed="rId63"/>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8" w:name="tbl-env-fish-summary-ms"/>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0.26</w:t>
                  </w:r>
                </w:p>
              </w:tc>
              <w:tc>
                <w:tcPr/>
                <w:p>
                  <w:pPr>
                    <w:pStyle w:val="Compact"/>
                    <w:jc w:val="right"/>
                    <w:jc w:val="center"/>
                  </w:pPr>
                  <w:r>
                    <w:t xml:space="preserve">0.91</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0.61</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bl>
          <w:bookmarkEnd w:id="68"/>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Start w:id="203" w:name="refs"/>
    <w:bookmarkStart w:id="70"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9">
        <w:r>
          <w:rPr>
            <w:rStyle w:val="Hyperlink"/>
          </w:rPr>
          <w:t xml:space="preserve">https://doi.org/10.1086/700884</w:t>
        </w:r>
      </w:hyperlink>
      <w:r>
        <w:t xml:space="preserve">.</w:t>
      </w:r>
    </w:p>
    <w:bookmarkEnd w:id="70"/>
    <w:bookmarkStart w:id="72"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1">
        <w:r>
          <w:rPr>
            <w:rStyle w:val="Hyperlink"/>
          </w:rPr>
          <w:t xml:space="preserve">https://doi.org/10.1093/icb/44.6.498</w:t>
        </w:r>
      </w:hyperlink>
      <w:r>
        <w:t xml:space="preserve">.</w:t>
      </w:r>
    </w:p>
    <w:bookmarkEnd w:id="72"/>
    <w:bookmarkStart w:id="74" w:name="ref-Barnes1996"/>
    <w:p>
      <w:pPr>
        <w:pStyle w:val="Bibliography"/>
      </w:pPr>
      <w:r>
        <w:t xml:space="preserve">Barnes, G. E., 1996.</w:t>
      </w:r>
      <w:r>
        <w:t xml:space="preserve"> </w:t>
      </w:r>
      <w:hyperlink r:id="rId73">
        <w:r>
          <w:rPr>
            <w:rStyle w:val="Hyperlink"/>
          </w:rPr>
          <w:t xml:space="preserve">The biology and general ecology of the brown bullhead catfish (</w:t>
        </w:r>
        <w:r>
          <w:rPr>
            <w:rStyle w:val="Hyperlink"/>
            <w:i/>
            <w:iCs/>
          </w:rPr>
          <w:t xml:space="preserve">ameiurus nebulosus</w:t>
        </w:r>
        <w:r>
          <w:rPr>
            <w:rStyle w:val="Hyperlink"/>
          </w:rPr>
          <w:t xml:space="preserve">) in lake taupo</w:t>
        </w:r>
      </w:hyperlink>
      <w:r>
        <w:t xml:space="preserve">. Master of Science thesis, University of Waikato.</w:t>
      </w:r>
    </w:p>
    <w:bookmarkEnd w:id="74"/>
    <w:bookmarkStart w:id="75" w:name="ref-Barnes2003"/>
    <w:p>
      <w:pPr>
        <w:pStyle w:val="Bibliography"/>
      </w:pPr>
      <w:r>
        <w:t xml:space="preserve">Barnes, G. E., &amp; B. J. Hicks, 2003. Brown bullhead catfish (</w:t>
      </w:r>
      <w:r>
        <w:rPr>
          <w:i/>
          <w:iCs/>
        </w:rPr>
        <w:t xml:space="preserve">ameiurus nebulosus</w:t>
      </w:r>
      <w:r>
        <w:t xml:space="preserve">) in lake taupo. In Managing invasive freshwater fish in new zealand: Proceedings of a workshop hosted by department of conservation, 10–12 may 2001, hamilton. Department of Conservation.</w:t>
      </w:r>
    </w:p>
    <w:bookmarkEnd w:id="75"/>
    <w:bookmarkStart w:id="77"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6">
        <w:r>
          <w:rPr>
            <w:rStyle w:val="Hyperlink"/>
          </w:rPr>
          <w:t xml:space="preserve">https://doi.org/10.1016/j.tree.2008.10.008</w:t>
        </w:r>
      </w:hyperlink>
      <w:r>
        <w:t xml:space="preserve">.</w:t>
      </w:r>
    </w:p>
    <w:bookmarkEnd w:id="77"/>
    <w:bookmarkStart w:id="79"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78">
        <w:r>
          <w:rPr>
            <w:rStyle w:val="Hyperlink"/>
          </w:rPr>
          <w:t xml:space="preserve">https://doi.org/10.32614/RJ-2017-066</w:t>
        </w:r>
      </w:hyperlink>
      <w:r>
        <w:t xml:space="preserve">.</w:t>
      </w:r>
    </w:p>
    <w:bookmarkEnd w:id="79"/>
    <w:bookmarkStart w:id="81" w:name="ref-Bunch2010"/>
    <w:p>
      <w:pPr>
        <w:pStyle w:val="Bibliography"/>
      </w:pPr>
      <w:r>
        <w:t xml:space="preserve">Bunch, A. J., M. S. Allen, &amp; D. C. Gwinn, 2010. Spatial and temporal hypoxia dynamics in dense emergent macrophytes in a florida lake. Wetlands 30: 429–435.</w:t>
      </w:r>
      <w:r>
        <w:t xml:space="preserve"> </w:t>
      </w:r>
      <w:hyperlink r:id="rId80">
        <w:r>
          <w:rPr>
            <w:rStyle w:val="Hyperlink"/>
          </w:rPr>
          <w:t xml:space="preserve">https://doi.org/10.1007/s13157-010-0051-9</w:t>
        </w:r>
      </w:hyperlink>
      <w:r>
        <w:t xml:space="preserve">.</w:t>
      </w:r>
    </w:p>
    <w:bookmarkEnd w:id="81"/>
    <w:bookmarkStart w:id="83"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82">
        <w:r>
          <w:rPr>
            <w:rStyle w:val="Hyperlink"/>
          </w:rPr>
          <w:t xml:space="preserve">https://doi.org/10.1111/cobi.12043</w:t>
        </w:r>
      </w:hyperlink>
      <w:r>
        <w:t xml:space="preserve">.</w:t>
      </w:r>
    </w:p>
    <w:bookmarkEnd w:id="83"/>
    <w:bookmarkStart w:id="85"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4">
        <w:r>
          <w:rPr>
            <w:rStyle w:val="Hyperlink"/>
          </w:rPr>
          <w:t xml:space="preserve">https://doi.org/10.1139/f87-204</w:t>
        </w:r>
      </w:hyperlink>
      <w:r>
        <w:t xml:space="preserve">.</w:t>
      </w:r>
    </w:p>
    <w:bookmarkEnd w:id="85"/>
    <w:bookmarkStart w:id="86" w:name="ref-Collier1997"/>
    <w:p>
      <w:pPr>
        <w:pStyle w:val="Bibliography"/>
      </w:pPr>
      <w:r>
        <w:t xml:space="preserve">Collier, K. J., S. M. Parkyn, &amp; C. F. Rabeni, 1997. Koura: A keystone species. Water and Atmosphere 5: 18–20.</w:t>
      </w:r>
    </w:p>
    <w:bookmarkEnd w:id="86"/>
    <w:bookmarkStart w:id="88"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7">
        <w:r>
          <w:rPr>
            <w:rStyle w:val="Hyperlink"/>
          </w:rPr>
          <w:t xml:space="preserve">https://doi.org/10.1899/0887-3593(2004)023&lt;0224:EEBCIA&gt;2.0.CO;2</w:t>
        </w:r>
      </w:hyperlink>
      <w:r>
        <w:t xml:space="preserve">.</w:t>
      </w:r>
    </w:p>
    <w:bookmarkEnd w:id="88"/>
    <w:bookmarkStart w:id="90"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9">
        <w:r>
          <w:rPr>
            <w:rStyle w:val="Hyperlink"/>
          </w:rPr>
          <w:t xml:space="preserve">https://doi.org/10.1051/kmae/2022016</w:t>
        </w:r>
      </w:hyperlink>
      <w:r>
        <w:t xml:space="preserve">.</w:t>
      </w:r>
    </w:p>
    <w:bookmarkEnd w:id="90"/>
    <w:bookmarkStart w:id="92" w:name="ref-Dedual2002"/>
    <w:p>
      <w:pPr>
        <w:pStyle w:val="Bibliography"/>
      </w:pPr>
      <w:r>
        <w:t xml:space="preserve">Dedual, M., 2002.</w:t>
      </w:r>
      <w:r>
        <w:t xml:space="preserve"> </w:t>
      </w:r>
      <w:hyperlink r:id="rId91">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 1819) in motuoapa bay, southern lake taupo,</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92"/>
    <w:bookmarkStart w:id="93"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 (</w:t>
      </w:r>
      <w:r>
        <w:t xml:space="preserve">Decapoda</w:t>
      </w:r>
      <w:r>
        <w:t xml:space="preserve">:</w:t>
      </w:r>
      <w:r>
        <w:t xml:space="preserve"> </w:t>
      </w:r>
      <w:r>
        <w:t xml:space="preserve">Parastacidae</w:t>
      </w:r>
      <w:r>
        <w:t xml:space="preserve">) in lake rotoiti, north island. PhD thesis, University of Waikato.</w:t>
      </w:r>
    </w:p>
    <w:bookmarkEnd w:id="93"/>
    <w:bookmarkStart w:id="95"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4">
        <w:r>
          <w:rPr>
            <w:rStyle w:val="Hyperlink"/>
          </w:rPr>
          <w:t xml:space="preserve">https://doi.org/10.18637/jss.v105.i03</w:t>
        </w:r>
      </w:hyperlink>
      <w:r>
        <w:t xml:space="preserve">.</w:t>
      </w:r>
    </w:p>
    <w:bookmarkEnd w:id="95"/>
    <w:bookmarkStart w:id="97"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6">
        <w:r>
          <w:rPr>
            <w:rStyle w:val="Hyperlink"/>
          </w:rPr>
          <w:t xml:space="preserve">https://doi.org/10.1017/S0376892997000088</w:t>
        </w:r>
      </w:hyperlink>
      <w:r>
        <w:t xml:space="preserve">.</w:t>
      </w:r>
    </w:p>
    <w:bookmarkEnd w:id="97"/>
    <w:bookmarkStart w:id="99"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8">
        <w:r>
          <w:rPr>
            <w:rStyle w:val="Hyperlink"/>
          </w:rPr>
          <w:t xml:space="preserve">https://doi.org/10.1016/j.jtherbio.2004.09.004</w:t>
        </w:r>
      </w:hyperlink>
      <w:r>
        <w:t xml:space="preserve">.</w:t>
      </w:r>
    </w:p>
    <w:bookmarkEnd w:id="99"/>
    <w:bookmarkStart w:id="101" w:name="ref-Francis2019"/>
    <w:p>
      <w:pPr>
        <w:pStyle w:val="Bibliography"/>
      </w:pPr>
      <w:r>
        <w:t xml:space="preserve">Francis, L. 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 lake rotoiti</w:t>
        </w:r>
      </w:hyperlink>
      <w:r>
        <w:t xml:space="preserve">. Master’s thesis, University of Waikato.</w:t>
      </w:r>
    </w:p>
    <w:bookmarkEnd w:id="101"/>
    <w:bookmarkStart w:id="103" w:name="ref-Fry1948"/>
    <w:p>
      <w:pPr>
        <w:pStyle w:val="Bibliography"/>
      </w:pPr>
      <w:r>
        <w:t xml:space="preserve">Fry, F. E. J., &amp; J. S. Hart, 1948. Cruising speed of goldfish in relation to water temperature. Journal of the Fisheries Research Board of Canada 7b: 169–175.</w:t>
      </w:r>
      <w:r>
        <w:t xml:space="preserve"> </w:t>
      </w:r>
      <w:hyperlink r:id="rId102">
        <w:r>
          <w:rPr>
            <w:rStyle w:val="Hyperlink"/>
          </w:rPr>
          <w:t xml:space="preserve">https://doi.org/10.1139/f47-018</w:t>
        </w:r>
      </w:hyperlink>
      <w:r>
        <w:t xml:space="preserve">.</w:t>
      </w:r>
    </w:p>
    <w:bookmarkEnd w:id="103"/>
    <w:bookmarkStart w:id="105" w:name="ref-Grayling2020"/>
    <w:p>
      <w:pPr>
        <w:pStyle w:val="Bibliography"/>
      </w:pPr>
      <w:r>
        <w:t xml:space="preserve">Grayling, S., 2020.</w:t>
      </w:r>
      <w:r>
        <w:t xml:space="preserve"> </w:t>
      </w:r>
      <w:hyperlink r:id="rId104">
        <w:r>
          <w:rPr>
            <w:rStyle w:val="Hyperlink"/>
          </w:rPr>
          <w:t xml:space="preserve">Bay of plenty regional pest management plan 2011–2016 annual report for 2019/2020</w:t>
        </w:r>
      </w:hyperlink>
      <w:r>
        <w:t xml:space="preserve">. Bay of Plenty Regional Council.</w:t>
      </w:r>
    </w:p>
    <w:bookmarkEnd w:id="105"/>
    <w:bookmarkStart w:id="10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6"/>
    <w:bookmarkStart w:id="107" w:name="ref-Hamilton2005"/>
    <w:p>
      <w:pPr>
        <w:pStyle w:val="Bibliography"/>
      </w:pPr>
      <w:r>
        <w:t xml:space="preserve">Hamilton, D., C. McBride, &amp; T. Uraoka, 2005. Lake rotoiti fieldwork and modelling to support considerations of</w:t>
      </w:r>
      <w:r>
        <w:t xml:space="preserve"> </w:t>
      </w:r>
      <w:r>
        <w:t xml:space="preserve">Ohau</w:t>
      </w:r>
      <w:r>
        <w:t xml:space="preserve"> </w:t>
      </w:r>
      <w:r>
        <w:t xml:space="preserve">channel diversion from lake rotoiti. NIWA &amp; University of Waikato.</w:t>
      </w:r>
    </w:p>
    <w:bookmarkEnd w:id="107"/>
    <w:bookmarkStart w:id="10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8">
        <w:r>
          <w:rPr>
            <w:rStyle w:val="Hyperlink"/>
          </w:rPr>
          <w:t xml:space="preserve">https://doi.org/10.1016/j.aquaculture.2005.05.032</w:t>
        </w:r>
      </w:hyperlink>
      <w:r>
        <w:t xml:space="preserve">.</w:t>
      </w:r>
    </w:p>
    <w:bookmarkEnd w:id="109"/>
    <w:bookmarkStart w:id="11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0"/>
    <w:bookmarkStart w:id="11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1">
        <w:r>
          <w:rPr>
            <w:rStyle w:val="Hyperlink"/>
          </w:rPr>
          <w:t xml:space="preserve">https://doi.org/10.1002/rra.1168</w:t>
        </w:r>
      </w:hyperlink>
      <w:r>
        <w:t xml:space="preserve">.</w:t>
      </w:r>
    </w:p>
    <w:bookmarkEnd w:id="112"/>
    <w:bookmarkStart w:id="113" w:name="ref-Hesni2009"/>
    <w:p>
      <w:pPr>
        <w:pStyle w:val="Bibliography"/>
      </w:pPr>
      <w:r>
        <w:t xml:space="preserve">Hesni, M. A., N. Shabanipour, A. Zahmatkesh, &amp; M. M. Toutouni, 2009. Effects of temperature and salinity on survival and moulting of the narrow-clawed crayfish, astacus leptodactylus eschscholtz, 1823 (decapoda, astacidea). Brill. Crustaceana 82: 1495–1507.</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 lake rotorua,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 aotearoa new zealand lakes. Springer Science; Business Media LLC.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2"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1">
        <w:r>
          <w:rPr>
            <w:rStyle w:val="Hyperlink"/>
          </w:rPr>
          <w:t xml:space="preserve">https://doi.org/10.1023/B:HYDR.0000043189.91134.94</w:t>
        </w:r>
      </w:hyperlink>
      <w:r>
        <w:t xml:space="preserve">.</w:t>
      </w:r>
    </w:p>
    <w:bookmarkEnd w:id="152"/>
    <w:bookmarkStart w:id="154" w:name="ref-Parkyn2001"/>
    <w:p>
      <w:pPr>
        <w:pStyle w:val="Bibliography"/>
      </w:pPr>
      <w:r>
        <w:t xml:space="preserve">Parkyn, S. M., K. J. Collier, &amp; B. J. Hicks, 2001. New</w:t>
      </w:r>
      <w:r>
        <w:t xml:space="preserve"> </w:t>
      </w:r>
      <w:r>
        <w:t xml:space="preserve">Zealand</w:t>
      </w:r>
      <w:r>
        <w:t xml:space="preserve"> </w:t>
      </w:r>
      <w:r>
        <w:t xml:space="preserve">stream crayfish: Functional omnivores but trophic predators? Freshwater Biology 46: 641–652.</w:t>
      </w:r>
      <w:r>
        <w:t xml:space="preserve"> </w:t>
      </w:r>
      <w:hyperlink r:id="rId153">
        <w:r>
          <w:rPr>
            <w:rStyle w:val="Hyperlink"/>
          </w:rPr>
          <w:t xml:space="preserve">https://doi.org/10.1046/j.1365-2427.2001.00702.x</w:t>
        </w:r>
      </w:hyperlink>
      <w:r>
        <w:t xml:space="preserve">.</w:t>
      </w:r>
    </w:p>
    <w:bookmarkEnd w:id="154"/>
    <w:bookmarkStart w:id="156"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5">
        <w:r>
          <w:rPr>
            <w:rStyle w:val="Hyperlink"/>
          </w:rPr>
          <w:t xml:space="preserve">https://doi.org/10.1080/00288330909510034</w:t>
        </w:r>
      </w:hyperlink>
      <w:r>
        <w:t xml:space="preserve">.</w:t>
      </w:r>
    </w:p>
    <w:bookmarkEnd w:id="156"/>
    <w:bookmarkStart w:id="157" w:name="ref-Quinn2002"/>
    <w:p>
      <w:pPr>
        <w:pStyle w:val="Bibliography"/>
      </w:pPr>
      <w:r>
        <w:t xml:space="preserve">Quinn, G. P., &amp; M. J. Keough, 2002. Experimental design and data analysis for biologists. Cambridge University Press.</w:t>
      </w:r>
    </w:p>
    <w:bookmarkEnd w:id="157"/>
    <w:bookmarkStart w:id="159"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8">
        <w:r>
          <w:rPr>
            <w:rStyle w:val="Hyperlink"/>
          </w:rPr>
          <w:t xml:space="preserve">https://doi.org/10.1080/00288330.1990.9516433</w:t>
        </w:r>
      </w:hyperlink>
      <w:r>
        <w:t xml:space="preserve">.</w:t>
      </w:r>
    </w:p>
    <w:bookmarkEnd w:id="159"/>
    <w:bookmarkStart w:id="161" w:name="ref-RCoreTeam2025"/>
    <w:p>
      <w:pPr>
        <w:pStyle w:val="Bibliography"/>
      </w:pPr>
      <w:r>
        <w:t xml:space="preserve">R Core Team, 2025.</w:t>
      </w:r>
      <w:r>
        <w:t xml:space="preserve"> </w:t>
      </w:r>
      <w:hyperlink r:id="rId160">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1"/>
    <w:bookmarkStart w:id="163"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2">
        <w:r>
          <w:rPr>
            <w:rStyle w:val="Hyperlink"/>
          </w:rPr>
          <w:t xml:space="preserve">https://doi.org/10.1098/rstb.2014.0060</w:t>
        </w:r>
      </w:hyperlink>
      <w:r>
        <w:t xml:space="preserve">.</w:t>
      </w:r>
    </w:p>
    <w:bookmarkEnd w:id="163"/>
    <w:bookmarkStart w:id="165"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4">
        <w:r>
          <w:rPr>
            <w:rStyle w:val="Hyperlink"/>
          </w:rPr>
          <w:t xml:space="preserve">https://doi.org/10.3391/mbi.2013.4.4.02</w:t>
        </w:r>
      </w:hyperlink>
      <w:r>
        <w:t xml:space="preserve">.</w:t>
      </w:r>
    </w:p>
    <w:bookmarkEnd w:id="165"/>
    <w:bookmarkStart w:id="167"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 New Zealand Journal of Marine and Freshwater Research 27: 87–100.</w:t>
      </w:r>
      <w:r>
        <w:t xml:space="preserve"> </w:t>
      </w:r>
      <w:hyperlink r:id="rId166">
        <w:r>
          <w:rPr>
            <w:rStyle w:val="Hyperlink"/>
          </w:rPr>
          <w:t xml:space="preserve">https://doi.org/10.1080/00288330.1993.9516548</w:t>
        </w:r>
      </w:hyperlink>
      <w:r>
        <w:t xml:space="preserve">.</w:t>
      </w:r>
    </w:p>
    <w:bookmarkEnd w:id="167"/>
    <w:bookmarkStart w:id="169"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8">
        <w:r>
          <w:rPr>
            <w:rStyle w:val="Hyperlink"/>
          </w:rPr>
          <w:t xml:space="preserve">https://doi.org/10.1890/14-1822.1</w:t>
        </w:r>
      </w:hyperlink>
      <w:r>
        <w:t xml:space="preserve">.</w:t>
      </w:r>
    </w:p>
    <w:bookmarkEnd w:id="169"/>
    <w:bookmarkStart w:id="171"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0">
        <w:r>
          <w:rPr>
            <w:rStyle w:val="Hyperlink"/>
          </w:rPr>
          <w:t xml:space="preserve">https://doi.org/10.1016/j.jglr.2019.09.013</w:t>
        </w:r>
      </w:hyperlink>
      <w:r>
        <w:t xml:space="preserve">.</w:t>
      </w:r>
    </w:p>
    <w:bookmarkEnd w:id="171"/>
    <w:bookmarkStart w:id="173"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2">
        <w:r>
          <w:rPr>
            <w:rStyle w:val="Hyperlink"/>
          </w:rPr>
          <w:t xml:space="preserve">https://doi.org/10.1016/j.fishres.2008.03.006</w:t>
        </w:r>
      </w:hyperlink>
      <w:r>
        <w:t xml:space="preserve">.</w:t>
      </w:r>
    </w:p>
    <w:bookmarkEnd w:id="173"/>
    <w:bookmarkStart w:id="17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4">
        <w:r>
          <w:rPr>
            <w:rStyle w:val="Hyperlink"/>
          </w:rPr>
          <w:t xml:space="preserve">https://doi.org/10.1046/j.1365-2427.2003.00984.x</w:t>
        </w:r>
      </w:hyperlink>
      <w:r>
        <w:t xml:space="preserve">.</w:t>
      </w:r>
    </w:p>
    <w:bookmarkEnd w:id="175"/>
    <w:bookmarkStart w:id="177" w:name="ref-Stevens2004"/>
    <w:p>
      <w:pPr>
        <w:pStyle w:val="Bibliography"/>
      </w:pPr>
      <w:r>
        <w:t xml:space="preserve">Stevens, D. L., &amp; A. R. Olsen, 2004. Spatially balanced sampling of natural resources. Journal of the American Statistical Association 99: 262–278.</w:t>
      </w:r>
      <w:r>
        <w:t xml:space="preserve"> </w:t>
      </w:r>
      <w:hyperlink r:id="rId176">
        <w:r>
          <w:rPr>
            <w:rStyle w:val="Hyperlink"/>
          </w:rPr>
          <w:t xml:space="preserve">https://doi.org/10.1198/016214504000000250</w:t>
        </w:r>
      </w:hyperlink>
      <w:r>
        <w:t xml:space="preserve">.</w:t>
      </w:r>
    </w:p>
    <w:bookmarkEnd w:id="177"/>
    <w:bookmarkStart w:id="179" w:name="ref-Strayer2010"/>
    <w:p>
      <w:pPr>
        <w:pStyle w:val="Bibliography"/>
      </w:pPr>
      <w:r>
        <w:t xml:space="preserve">Strayer, D. L., &amp; S. E. G. Findlay, 2010. Ecology of freshwater shore zones. Aquatic Sciences 72: 127–163.</w:t>
      </w:r>
      <w:r>
        <w:t xml:space="preserve"> </w:t>
      </w:r>
      <w:hyperlink r:id="rId178">
        <w:r>
          <w:rPr>
            <w:rStyle w:val="Hyperlink"/>
          </w:rPr>
          <w:t xml:space="preserve">https://doi.org/10.1007/s00027-010-0128-9</w:t>
        </w:r>
      </w:hyperlink>
      <w:r>
        <w:t xml:space="preserve">.</w:t>
      </w:r>
    </w:p>
    <w:bookmarkEnd w:id="179"/>
    <w:bookmarkStart w:id="18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0">
        <w:r>
          <w:rPr>
            <w:rStyle w:val="Hyperlink"/>
          </w:rPr>
          <w:t xml:space="preserve">https://doi.org/10.1007/s10750-019-04066-3</w:t>
        </w:r>
      </w:hyperlink>
      <w:r>
        <w:t xml:space="preserve">.</w:t>
      </w:r>
    </w:p>
    <w:bookmarkEnd w:id="181"/>
    <w:bookmarkStart w:id="18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2">
        <w:r>
          <w:rPr>
            <w:rStyle w:val="Hyperlink"/>
          </w:rPr>
          <w:t xml:space="preserve">https://doi.org/10.1080/00288330.2000.9516957</w:t>
        </w:r>
      </w:hyperlink>
      <w:r>
        <w:t xml:space="preserve">.</w:t>
      </w:r>
    </w:p>
    <w:bookmarkEnd w:id="183"/>
    <w:bookmarkStart w:id="185" w:name="ref-Usio2004"/>
    <w:p>
      <w:pPr>
        <w:pStyle w:val="Bibliography"/>
      </w:pPr>
      <w:r>
        <w:t xml:space="preserve">Usio, N., &amp; C. R. Townsend, 2004. Roles of crayfish: Consequences of predation and bioturbation for stream invertebrates. Ecology 85: 807–822.</w:t>
      </w:r>
      <w:r>
        <w:t xml:space="preserve"> </w:t>
      </w:r>
      <w:hyperlink r:id="rId184">
        <w:r>
          <w:rPr>
            <w:rStyle w:val="Hyperlink"/>
          </w:rPr>
          <w:t xml:space="preserve">https://doi.org/10.1890/02-0618</w:t>
        </w:r>
      </w:hyperlink>
      <w:r>
        <w:t xml:space="preserve">.</w:t>
      </w:r>
    </w:p>
    <w:bookmarkEnd w:id="185"/>
    <w:bookmarkStart w:id="187"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86">
        <w:r>
          <w:rPr>
            <w:rStyle w:val="Hyperlink"/>
          </w:rPr>
          <w:t xml:space="preserve">https://doi.org/10.1080/00288330.1984.9516064</w:t>
        </w:r>
      </w:hyperlink>
      <w:r>
        <w:t xml:space="preserve">.</w:t>
      </w:r>
    </w:p>
    <w:bookmarkEnd w:id="187"/>
    <w:bookmarkStart w:id="189"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88">
        <w:r>
          <w:rPr>
            <w:rStyle w:val="Hyperlink"/>
          </w:rPr>
          <w:t xml:space="preserve">https://doi.org/10.1007/s10750-010-0318-4</w:t>
        </w:r>
      </w:hyperlink>
      <w:r>
        <w:t xml:space="preserve">.</w:t>
      </w:r>
    </w:p>
    <w:bookmarkEnd w:id="189"/>
    <w:bookmarkStart w:id="190" w:name="ref-Wetzel2001"/>
    <w:p>
      <w:pPr>
        <w:pStyle w:val="Bibliography"/>
      </w:pPr>
      <w:r>
        <w:t xml:space="preserve">Wetzel, R. G., 2001. Limnology: Lake and river ecosystems. Gulf Professional Publishing.</w:t>
      </w:r>
    </w:p>
    <w:bookmarkEnd w:id="190"/>
    <w:bookmarkStart w:id="192"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1">
        <w:r>
          <w:rPr>
            <w:rStyle w:val="Hyperlink"/>
          </w:rPr>
          <w:t xml:space="preserve">https://doi.org/10.1002/aqc.586</w:t>
        </w:r>
      </w:hyperlink>
      <w:r>
        <w:t xml:space="preserve">.</w:t>
      </w:r>
    </w:p>
    <w:bookmarkEnd w:id="192"/>
    <w:bookmarkStart w:id="194"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3">
        <w:r>
          <w:rPr>
            <w:rStyle w:val="Hyperlink"/>
          </w:rPr>
          <w:t xml:space="preserve">https://doi.org/10.1198/016214504000000980</w:t>
        </w:r>
      </w:hyperlink>
      <w:r>
        <w:t xml:space="preserve">.</w:t>
      </w:r>
    </w:p>
    <w:bookmarkEnd w:id="194"/>
    <w:bookmarkStart w:id="196" w:name="ref-Wood2017"/>
    <w:p>
      <w:pPr>
        <w:pStyle w:val="Bibliography"/>
      </w:pPr>
      <w:r>
        <w:t xml:space="preserve">Wood, S. N., 2017.</w:t>
      </w:r>
      <w:r>
        <w:t xml:space="preserve"> </w:t>
      </w:r>
      <w:hyperlink r:id="rId195">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196"/>
    <w:bookmarkStart w:id="198"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197">
        <w:r>
          <w:rPr>
            <w:rStyle w:val="Hyperlink"/>
          </w:rPr>
          <w:t xml:space="preserve">https://doi.org/10.1038/s41467-021-22657-4</w:t>
        </w:r>
      </w:hyperlink>
      <w:r>
        <w:t xml:space="preserve">.</w:t>
      </w:r>
    </w:p>
    <w:bookmarkEnd w:id="198"/>
    <w:bookmarkStart w:id="200" w:name="ref-Zhang2024"/>
    <w:p>
      <w:pPr>
        <w:pStyle w:val="Bibliography"/>
      </w:pPr>
      <w:r>
        <w:t xml:space="preserve">Zhang, Y., J. Shen, L. He, J. Feng, L. Chi, &amp; X. Wang, 2024. Challenge to lake ecosystems: Changes in thermal structure triggered by climate change. Water 16: 888.</w:t>
      </w:r>
      <w:r>
        <w:t xml:space="preserve"> </w:t>
      </w:r>
      <w:hyperlink r:id="rId199">
        <w:r>
          <w:rPr>
            <w:rStyle w:val="Hyperlink"/>
          </w:rPr>
          <w:t xml:space="preserve">https://doi.org/10.3390/w16060888</w:t>
        </w:r>
      </w:hyperlink>
      <w:r>
        <w:t xml:space="preserve">.</w:t>
      </w:r>
    </w:p>
    <w:bookmarkEnd w:id="200"/>
    <w:bookmarkStart w:id="202" w:name="ref-Zuur2009"/>
    <w:p>
      <w:pPr>
        <w:pStyle w:val="Bibliography"/>
      </w:pPr>
      <w:r>
        <w:t xml:space="preserve">Zuur, A. F., E. N. Ieno, N. Walker, A. A. Saveliev, &amp; G. M. Smith, 2009.</w:t>
      </w:r>
      <w:r>
        <w:t xml:space="preserve"> </w:t>
      </w:r>
      <w:hyperlink r:id="rId201">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2"/>
    <w:bookmarkEnd w:id="203"/>
    <w:bookmarkEnd w:id="204"/>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Olivier V. Raven; Francis J. Burdon; Ian A. K. Kusabs; Robin Holmes; Deniz Özkundakci</dc:creator>
  <cp:keywords>Rotorua Te Arawa Lakes, North Island, Habitat structure, Thermal stress, Generalised additive mixed models, Paranephrops planifrons</cp:keywords>
  <dcterms:created xsi:type="dcterms:W3CDTF">2026-06-15T02:44:42Z</dcterms:created>
  <dcterms:modified xsi:type="dcterms:W3CDTF">2026-06-15T02:44:42Z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increasingly threatened by habitat degradation, declining water quality, and invasive species. In Aotearoa New Zealand, lake populations of the endemic northern freshwater crayfish Paranephrops planifrons (kōura)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references/hydrobiologia.csl</vt:lpwstr>
  </property>
  <property fmtid="{D5CDD505-2E9C-101B-9397-08002B2CF9AE}" pid="12" name="date">
    <vt:lpwstr>2026-06-15</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