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and 91%,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warm-temperate volcanic plateau (280-355 m) where winters are mild and year-round temperatures typically vary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by surface area; “sandy” if sand was the dominant sediment (≥50%) and rocky conditions were not met; “muddy” if soft mud or organic matter was dominant and rocky/sandy conditions were not met; and “emergent macrophyte” if emergent native macrophytes exceeded 25%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w:t>
      </w:r>
      <w:r>
        <w:rPr>
          <w:i/>
          <w:iCs/>
        </w:rPr>
        <w:t xml:space="preserve">n</w:t>
      </w:r>
      <w:r>
        <w:t xml:space="preserve"> </w:t>
      </w:r>
      <w:r>
        <w:t xml:space="preserve">=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(mg/L), and conductivity (μS/cm),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w:t>
      </w:r>
      <w:r>
        <w:rPr>
          <w:i/>
          <w:iCs/>
        </w:rPr>
        <w:t xml:space="preserve">n</w:t>
      </w:r>
      <w:r>
        <w:t xml:space="preserve"> </w:t>
      </w:r>
      <w:r>
        <w:t xml:space="preserve">= 81) were estimated using a log₁₀–log₁₀ length–weight regression fitted to individuals with both measurements (</w:t>
      </w:r>
      <w:r>
        <w:rPr>
          <w:i/>
          <w:iCs/>
        </w:rPr>
        <w:t xml:space="preserve">n</w:t>
      </w:r>
      <w:r>
        <w:t xml:space="preserve"> </w:t>
      </w:r>
      <w:r>
        <w:t xml:space="preserve">=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(mg/L), pH, specific conductivity (μS/cm),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terms were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w:t>
            </w:r>
            <w:r>
              <w:t xml:space="preserve"> </w:t>
            </w:r>
            <w:r>
              <w:t xml:space="preserve"> </w:t>
            </w:r>
            <w:r>
              <w:t xml:space="preserve">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of the deviance (AIC = 122; adj. R² = 0.19;</w:t>
      </w:r>
      <w:r>
        <w:t xml:space="preserve"> </w:t>
      </w:r>
      <w:r>
        <w:rPr>
          <w:i/>
          <w:iCs/>
        </w:rPr>
        <w:t xml:space="preserve">n</w:t>
      </w:r>
      <w:r>
        <w:t xml:space="preserve"> </w:t>
      </w:r>
      <w:r>
        <w:t xml:space="preserve">=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w:t>
            </w:r>
            <w:r>
              <w:t xml:space="preserve"> </w:t>
            </w:r>
            <w:r>
              <w:t xml:space="preserve"> </w:t>
            </w:r>
            <w:r>
              <w:t xml:space="preserve">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of the deviance (AIC = 266; adj. R² = 0.76;</w:t>
      </w:r>
      <w:r>
        <w:t xml:space="preserve"> </w:t>
      </w:r>
      <w:r>
        <w:rPr>
          <w:i/>
          <w:iCs/>
        </w:rPr>
        <w:t xml:space="preserve">n</w:t>
      </w:r>
      <w:r>
        <w:t xml:space="preserve"> </w:t>
      </w:r>
      <w:r>
        <w:t xml:space="preserve">= 33). Stepwise ML selection (</w:t>
      </w:r>
      <m:oMath>
        <m:r>
          <m:t>α</m:t>
        </m:r>
        <m:r>
          <m:rPr>
            <m:sty m:val="p"/>
          </m:rPr>
          <m:t>=</m:t>
        </m:r>
        <m:r>
          <m:t>0.05</m:t>
        </m:r>
      </m:oMath>
      <w:r>
        <w:t xml:space="preserve">) retained pH, emergent native macrophytes, and the lake identity random effect. The resulting reduced model had a higher AIC (318) and explained 26% of the deviance (adj. R² = 0.141). As the full model was overfitting the data the reduced model was chosen for inference.</w:t>
      </w:r>
      <w:r>
        <w:t xml:space="preserve"> </w:t>
      </w:r>
      <w:r>
        <w:t xml:space="preserve">The final REML-fitted BPUE model explained 25.9%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w:t>
            </w:r>
            <w:r>
              <w:t xml:space="preserve"> </w:t>
            </w:r>
            <w:r>
              <w:t xml:space="preserve"> </w:t>
            </w:r>
            <w:r>
              <w:t xml:space="preserve">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while smaller interstitial spaces within mixed substrates may provide refugia for juveniles, suggesting that heterogeneous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temperatures exceeding 21 °C are considered thermally stressful and may induce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K.,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K.,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K.,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2026-09-23T04:59:33Z</dcterms:created>
  <dcterms:modified xsi:type="dcterms:W3CDTF">2026-09-23T04:59:33Z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