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39.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co-evolved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2026-04-17</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9"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are often naïve to these predators, making them especially vulnerable to direct predation</w:t>
      </w:r>
      <w:r>
        <w:t xml:space="preserve"> </w:t>
      </w:r>
      <w:r>
        <w:t xml:space="preserve">(Gamradt &amp; Kats, 1996; Smith et al., 2008)</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 within local ecosystems</w:t>
      </w:r>
      <w:r>
        <w:t xml:space="preserve"> </w:t>
      </w:r>
      <w:r>
        <w:t xml:space="preserve">(Abrams, 2000)</w:t>
      </w:r>
      <w:r>
        <w:t xml:space="preserve">.</w:t>
      </w:r>
    </w:p>
    <w:p>
      <w:pPr>
        <w:pStyle w:val="BodyText"/>
      </w:pPr>
      <w:r>
        <w:t xml:space="preserve">Freshwater crayfish often live in turbid flowing water or in the dark depths of lakes, therefore they often rely primarily on chemical cues (kairomones) rather than visual cues to detect and respond to predatory fish</w:t>
      </w:r>
      <w:r>
        <w:t xml:space="preserve"> </w:t>
      </w:r>
      <w:r>
        <w:t xml:space="preserve">(BLAKE &amp; HART, 1993; Brönmark &amp; Hansson, 2012; Wood &amp; Moore, 2020b)</w:t>
      </w:r>
      <w:r>
        <w:t xml:space="preserve">. The kairomones carry signals via excreta, mucus, or skin, that crayfish use to assess predator risk, responding more strongly to predators that have consumed conspecifics and to alarm cues released when prey are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individual experiences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‘culturally treasured’ taonga species and a valued food resource for Māori the indigenous people of Aotearoa</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w:t>
      </w:r>
      <w:r>
        <w:t xml:space="preserve">and have been shown to respond more strongly to eel kairomones than to those of introduced non-native brown trout (</w:t>
      </w:r>
      <w:r>
        <w:rPr>
          <w:i/>
          <w:iCs/>
        </w:rPr>
        <w:t xml:space="preserve">Salmo trutta</w:t>
      </w:r>
      <w:r>
        <w:t xml:space="preserve">). This was even when kōura were sourced from streams where both eel and trout predators were present, suggesting that co-evolutionary history, rather than individual experience alone, shaped kōura predator recognition</w:t>
      </w:r>
      <w:r>
        <w:t xml:space="preserve"> </w:t>
      </w:r>
      <w:r>
        <w:t xml:space="preserve">(Shave et al., 1994)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 One of the invasive species that threatens kōura is the non-native brown bullhead catfish (</w:t>
      </w:r>
      <w:r>
        <w:rPr>
          <w:i/>
          <w:iCs/>
        </w:rPr>
        <w:t xml:space="preserve">Ameiurus nebulosus</w:t>
      </w:r>
      <w:r>
        <w:t xml:space="preserve">) (hereafter catfish) which was introduced to Aotearoa in 1878 and has since spread through various waterways on the North Island</w:t>
      </w:r>
      <w:r>
        <w:t xml:space="preserve"> </w:t>
      </w:r>
      <w:r>
        <w:t xml:space="preserve">(Barnes &amp; Hicks, 2003; Dedual, 2019; Lee et al., 2025; McDowall, 1990)</w:t>
      </w:r>
      <w:r>
        <w:t xml:space="preserve">. The brown bullhead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The recent and ongoing spread of brown bullhead catfish into North Island waterways therefore represents a novel predation threat to which kōura may lack adequate behavioural or sensory adaptations.</w:t>
      </w:r>
    </w:p>
    <w:p>
      <w:pPr>
        <w:pStyle w:val="BodyText"/>
      </w:pPr>
      <w:r>
        <w:t xml:space="preserve">In this study, controlled laboratory experiments were used to test whether predator presence and associated chemical cues induced changes in refuge-seeking and feeding behaviour, thereby providing insight into the behavioural mechanisms underlying NCEs of kōura responses to native and invasive predation threats. It is expected that kōura would show more shelter-seeking behaviour when presented with eels compared to catfish, due to naivety of the kōura towards a novel predator such as catfish</w:t>
      </w:r>
      <w:r>
        <w:t xml:space="preserve"> </w:t>
      </w:r>
      <w:r>
        <w:t xml:space="preserve">(Carthey &amp; Banks, 2014)</w:t>
      </w:r>
      <w:r>
        <w:t xml:space="preserve">. However, an alternative prediction, consistent with fear generalisation theory, is that kōura may instead exhibit a heightened, overcautious response to the unfamiliar catfish cues, overresponding relative to the actual predation risk</w:t>
      </w:r>
      <w:r>
        <w:t xml:space="preserve"> </w:t>
      </w:r>
      <w:r>
        <w:t xml:space="preserve">(Sih et al., 2023)</w:t>
      </w:r>
      <w:r>
        <w:t xml:space="preserve">. These two hypotheses generate opposite predictions, and the present study was designed to test which better describes kōura behavioural responses to native and invasive predator cues. Further, it is expected that light regime would have an influence on shelter seeking behaviour of kōura, which like many crayfish, are most active nocturnally</w:t>
      </w:r>
      <w:r>
        <w:t xml:space="preserve"> </w:t>
      </w:r>
      <w:r>
        <w:t xml:space="preserve">(Devcich, 1979; Johnson et al., 2014)</w:t>
      </w:r>
      <w:r>
        <w:t xml:space="preserve">. It was also predicted that kōura feeding would be more inhibited when exposed to eel kairomones than to those of the novel catfish, reflecting the same co-evolutionary recognition expected to drive greater refuge use in response to eels. The overall aim of the refuge and feeding behaviour studies are to contribute to understanding the behavioural mechanisms underlying kōura vulnerability to invasive catfish and how these may differ from and be additional to, those already manifested in the presence of native predators such as eels.</w:t>
      </w:r>
    </w:p>
    <w:bookmarkEnd w:id="9"/>
    <w:bookmarkStart w:id="13" w:name="materials-and-methods"/>
    <w:p>
      <w:pPr>
        <w:pStyle w:val="Heading1"/>
      </w:pPr>
      <w:r>
        <w:t xml:space="preserve">Materials and Methods</w:t>
      </w:r>
    </w:p>
    <w:bookmarkStart w:id="10" w:name="animal-collection-and-preparation"/>
    <w:p>
      <w:pPr>
        <w:pStyle w:val="Heading2"/>
      </w:pPr>
      <w:r>
        <w:t xml:space="preserve">Animal collection and preparation</w:t>
      </w:r>
    </w:p>
    <w:p>
      <w:pPr>
        <w:pStyle w:val="FirstParagraph"/>
      </w:pPr>
      <w:r>
        <w:t xml:space="preserve">In mid-August 2025, kōura were sourced from two catfish-free lakes, (Ōkāreka and Tikitapu (Blue Lake)) in the Rotorua Te Awara Lakes area, Bay of Plenty region of the North Island.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important) species, permission had to be sought from relevant iwi (Māori tribal unit), as well as relevant government regulator to source a limited number of individuals. Consequently, the experiments were carefully adapted, particularly the feeding study to maximize the use of this finite sample. Similarly, eels, also regarded as taonga, along with individual catfish, were reused throughout the study, respecting ethical and welfare considerations, since their presence alone fulfilled the experimental requirements.</w:t>
      </w:r>
    </w:p>
    <w:bookmarkEnd w:id="10"/>
    <w:bookmarkStart w:id="11"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lodged at the top of the barrier in each tank.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The response variable was the number of observations where kōura were using a refuge out of total observations per experiment round, treatment (catfish, eel, control), light condition (light, dark), period (before, during, after fish addition / mechanical disturbance) included as fixed effects. A beta-binomial distribution was used to account for overdispersion in the binomial proportion data. Model selection was conducted by comparing candidate models differing in fixed effect structure and random effects inclusion using AIC, with the model with the lowest AIC selected as optimal. The need for a tank-level and round-level random intercept was evaluated by comparing AIC between models with and without this term.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were also used to investigate potential relationships between kōura body size (OCL) and overall refuge use (all time intervals combined) in the three treatments.</w:t>
      </w:r>
    </w:p>
    <w:bookmarkEnd w:id="11"/>
    <w:bookmarkStart w:id="12"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tap water was added. Next, 10 Hikari Tropical carnivore pellets were added to each tank. Trial experiments showed these pellets remained intact for over 24 hours in tap water. In three rounds, a total of 48 kōura (46 male, 2 female) were weighed and measured. Their mean (± SD) wet weight of 15.65 g (± 8.84), ranging from 6.00 to 44.00 g, and the mean (± SD) OCL was 27.84 mm (± 4.72), with a range of 20.48 to 41.15 mm. Each kōura was then placed individually in a tank. For each round kōura were starved for different periods (either 0, 3 or 4 days) prior to the feeding experiment to also investigate how starvation period influenced feeding motivation. After 0 days starvation, 16 kōura (14 male and 2 female) were exposed to eel water (n = 5), catfish water (n = 6) or control water (n = 5). After 3 days starvation, 16 kōura (male only) were exposed to eel water (n = 6), catfish water (n = 5) or control water (n = 5). After 4 days starvation, 16 kōura (male only) were exposed to eel water (n = 5), catfish water (n = 5) or control water (n = 6). After 24 hours, when each experiment was terminated, the number of pellets eaten (to the nearest quarter pellet) was counted and the feeding rate (pellets eaten per gram of wet weight (WW) of kōura) calculated. As stated previously, the feeding study was adapted to make the best use of a finite number of collected taonga animals. Kōura feeding rate was analysed using a linear model with pellets consumed per gram body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2"/>
    <w:bookmarkEnd w:id="13"/>
    <w:bookmarkStart w:id="16" w:name="results"/>
    <w:p>
      <w:pPr>
        <w:pStyle w:val="Heading1"/>
      </w:pPr>
      <w:r>
        <w:t xml:space="preserve">Results</w:t>
      </w:r>
    </w:p>
    <w:bookmarkStart w:id="14"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plot">
        <w:r>
          <w:rPr>
            <w:rStyle w:val="Hyperlink"/>
          </w:rPr>
          <w:t xml:space="preserve">Figure 3</w:t>
        </w:r>
      </w:hyperlink>
      <w:r>
        <w:t xml:space="preserve">,</w:t>
      </w:r>
      <w:r>
        <w:t xml:space="preserve"> </w:t>
      </w:r>
      <w:hyperlink w:anchor="tbl-s1-refuge-prop">
        <w:r>
          <w:rPr>
            <w:rStyle w:val="Hyperlink"/>
          </w:rPr>
          <w:t xml:space="preserve">Table 1</w:t>
        </w:r>
      </w:hyperlink>
      <w:r>
        <w:t xml:space="preserve">). A beta-binomial GLMM without a random intercept was the best-supported model based on the lowest AIC, with full model coefficients reported in</w:t>
      </w:r>
      <w:r>
        <w:t xml:space="preserve"> </w:t>
      </w:r>
      <w:hyperlink w:anchor="tbl-s2-fixed-effects">
        <w:r>
          <w:rPr>
            <w:rStyle w:val="Hyperlink"/>
          </w:rPr>
          <w:t xml:space="preserve">Table 2</w:t>
        </w:r>
      </w:hyperlink>
      <w:r>
        <w:t xml:space="preserve">. Refuge use by kōura was consistently higher when exposed to catfish than eel (</w:t>
      </w:r>
      <w:r>
        <w:rPr>
          <w:i/>
          <w:iCs/>
        </w:rPr>
        <w:t xml:space="preserve">p</w:t>
      </w:r>
      <w:r>
        <w:t xml:space="preserve"> </w:t>
      </w:r>
      <w:r>
        <w:t xml:space="preserve">= 0.01,</w:t>
      </w:r>
      <w:r>
        <w:t xml:space="preserve"> </w:t>
      </w:r>
      <w:hyperlink w:anchor="fig-emmeans-plot">
        <w:r>
          <w:rPr>
            <w:rStyle w:val="Hyperlink"/>
          </w:rPr>
          <w:t xml:space="preserve">Figure 3</w:t>
        </w:r>
      </w:hyperlink>
      <w:r>
        <w:t xml:space="preserve">,</w:t>
      </w:r>
      <w:r>
        <w:t xml:space="preserve"> </w:t>
      </w:r>
      <w:hyperlink w:anchor="tbl-s3-emmeans">
        <w:r>
          <w:rPr>
            <w:rStyle w:val="Hyperlink"/>
          </w:rPr>
          <w:t xml:space="preserve">Table 3</w:t>
        </w:r>
      </w:hyperlink>
      <w:r>
        <w:t xml:space="preserve">). However, there were no significant differences in kōura refuge use between either fish treatment and the control (both</w:t>
      </w:r>
      <w:r>
        <w:t xml:space="preserve"> </w:t>
      </w:r>
      <w:r>
        <w:rPr>
          <w:i/>
          <w:iCs/>
        </w:rPr>
        <w:t xml:space="preserve">p</w:t>
      </w:r>
      <w:r>
        <w:t xml:space="preserve"> </w:t>
      </w:r>
      <w:r>
        <w:t xml:space="preserve">= for catfish and control and eel and control;</w:t>
      </w:r>
      <w:r>
        <w:t xml:space="preserve"> </w:t>
      </w:r>
      <w:hyperlink w:anchor="fig-emmeans-plot">
        <w:r>
          <w:rPr>
            <w:rStyle w:val="Hyperlink"/>
          </w:rPr>
          <w:t xml:space="preserve">Figure 3</w:t>
        </w:r>
      </w:hyperlink>
      <w:r>
        <w:t xml:space="preserve">). Under light conditions, the pattern of refuge use in the control treatment was more similar to the catfish treatment, whereas under dark conditions it more resembled the eel treatment (</w:t>
      </w:r>
      <w:hyperlink w:anchor="fig-refuge-plot">
        <w:r>
          <w:rPr>
            <w:rStyle w:val="Hyperlink"/>
          </w:rPr>
          <w:t xml:space="preserve">Figure 2</w:t>
        </w:r>
      </w:hyperlink>
      <w:r>
        <w:t xml:space="preserve">). Light regime had a significant effect on refuge use (</w:t>
      </w:r>
      <w:r>
        <w:rPr>
          <w:i/>
          <w:iCs/>
        </w:rPr>
        <w:t xml:space="preserve">p</w:t>
      </w:r>
      <w:r>
        <w:t xml:space="preserve"> </w:t>
      </w:r>
      <w:r>
        <w:t xml:space="preserve">= ), with greater refuge use under light compared to dark conditions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Regarding experimental periods, refuge use was significantly lower in the period just before fish were introduced (or first 30-second mechanical disturbance initiated) compared to period just after the fish had been removed (or second mechanical disturbance ceased) (</w:t>
      </w:r>
      <w:r>
        <w:rPr>
          <w:i/>
          <w:iCs/>
        </w:rPr>
        <w:t xml:space="preserve">p</w:t>
      </w:r>
      <w:r>
        <w:t xml:space="preserve"> </w:t>
      </w:r>
      <w:r>
        <w:t xml:space="preserve">= 0.007;</w:t>
      </w:r>
      <w:r>
        <w:t xml:space="preserve"> </w:t>
      </w:r>
      <w:hyperlink w:anchor="fig-emmeans-plot">
        <w:r>
          <w:rPr>
            <w:rStyle w:val="Hyperlink"/>
          </w:rPr>
          <w:t xml:space="preserve">Figure 3</w:t>
        </w:r>
      </w:hyperlink>
      <w:r>
        <w:t xml:space="preserve"> </w:t>
      </w:r>
      <w:r>
        <w:t xml:space="preserve">and</w:t>
      </w:r>
      <w:r>
        <w:t xml:space="preserve"> </w:t>
      </w:r>
      <w:hyperlink w:anchor="fig-refuge-plot">
        <w:r>
          <w:rPr>
            <w:rStyle w:val="Hyperlink"/>
          </w:rPr>
          <w:t xml:space="preserve">Figure 2</w:t>
        </w:r>
      </w:hyperlink>
      <w:r>
        <w:t xml:space="preserve">). No significant differences were found between the before and during periods, or between the during and after periods. There was also no relationship between kōura OCL and refuge use in any of the three treatments (rs = -0.09, 0.09 and 0.17 for catfish, eel and control treatments respectively, all NS).</w:t>
      </w:r>
    </w:p>
    <w:p>
      <w:pPr>
        <w:pStyle w:val="BodyText"/>
      </w:pPr>
      <w:r>
        <w:t xml:space="preserve">For all treatments, we observed individual kōura within the laboratory population appeared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(0.440 % to 0.8282 %), driven primarily by a sharp rise in the after period, while the catfish treatment showed a more sustained increase across all periods (0.5252 % to 0.7373 %) and the eel treatment the smallest increase (0.3535 % to 0.5353 %;</w:t>
      </w:r>
      <w:r>
        <w:t xml:space="preserve"> </w:t>
      </w:r>
      <w:hyperlink w:anchor="fig-refuge-plot">
        <w:r>
          <w:rPr>
            <w:rStyle w:val="Hyperlink"/>
          </w:rPr>
          <w:t xml:space="preserve">Figure 2</w:t>
        </w:r>
      </w:hyperlink>
      <w:r>
        <w:t xml:space="preserve">). Under dark conditions, the pattern shifted, with the catfish treatment showing the greatest increase (0.3939 % to 0.770 %), while the eel treatment showed a modest and non-sustained increase (0.2727 % to 0.4141 % during exposure, returning to 0.3636 % after), and the control remained comparatively low throughout (0.4737 % to 0.4747 %).</w:t>
      </w:r>
    </w:p>
    <w:bookmarkEnd w:id="14"/>
    <w:bookmarkStart w:id="15" w:name="feeding-experiment-1"/>
    <w:p>
      <w:pPr>
        <w:pStyle w:val="Heading2"/>
      </w:pPr>
      <w:r>
        <w:t xml:space="preserve">Feeding experiment</w:t>
      </w:r>
    </w:p>
    <w:p>
      <w:pPr>
        <w:pStyle w:val="FirstParagraph"/>
      </w:pPr>
      <w:r>
        <w:t xml:space="preserve">While the linear model showed starvation period had a significant effect on feeding rate (</w:t>
      </w:r>
      <w:r>
        <w:rPr>
          <w:i/>
          <w:iCs/>
        </w:rPr>
        <w:t xml:space="preserve">p</w:t>
      </w:r>
      <w:r>
        <w:t xml:space="preserve"> </w:t>
      </w:r>
      <w:r>
        <w:t xml:space="preserve">= 4</w:t>
      </w:r>
      <w:r>
        <w:t xml:space="preserve">^{-4},</w:t>
      </w:r>
      <w:r>
        <w:t xml:space="preserve"> </w:t>
      </w:r>
      <w:hyperlink w:anchor="fig-feeding-plot">
        <w:r>
          <w:rPr>
            <w:rStyle w:val="Hyperlink"/>
          </w:rPr>
          <w:t xml:space="preserve">Figure 4</w:t>
        </w:r>
      </w:hyperlink>
      <w:r>
        <w:t xml:space="preserve">;</w:t>
      </w:r>
      <w:r>
        <w:t xml:space="preserve"> </w:t>
      </w:r>
      <w:r>
        <w:rPr>
          <w:b/>
          <w:bCs/>
        </w:rPr>
        <w:t xml:space="preserve">?@tbl-s4-feeding-ano</w:t>
      </w:r>
      <w:r>
        <w:t xml:space="preserve">), there was no significant difference in feeding rate between catfish, eel, and control treatments (</w:t>
      </w:r>
      <w:r>
        <w:rPr>
          <w:i/>
          <w:iCs/>
        </w:rPr>
        <w:t xml:space="preserve">p</w:t>
      </w:r>
      <w:r>
        <w:t xml:space="preserve"> </w:t>
      </w:r>
      <w:r>
        <w:t xml:space="preserve">= 0.968). There was a marginal interaction between treatment and starvation period (</w:t>
      </w:r>
      <w:r>
        <w:rPr>
          <w:i/>
          <w:iCs/>
        </w:rPr>
        <w:t xml:space="preserve">p</w:t>
      </w:r>
      <w:r>
        <w:t xml:space="preserve"> </w:t>
      </w:r>
      <w:r>
        <w:t xml:space="preserve">= 0.082), with feeding rate in the control treatment appearing to increase with starvation period in a pattern not evident in the fish treatments. After 4 days starvation, the mean (±SE) kōura feeding rate (pellets g WW⁻¹) for the control was over two and a half times that of the catfish and eel treatments (0.148 ±0.050 pellets g WW⁻¹ compared to 0.059 ± 0.017 and 0.052 ± 0.028 pellets g WW⁻¹ respectively).</w:t>
      </w:r>
    </w:p>
    <w:bookmarkEnd w:id="15"/>
    <w:bookmarkEnd w:id="16"/>
    <w:bookmarkStart w:id="18" w:name="discussion"/>
    <w:p>
      <w:pPr>
        <w:pStyle w:val="Heading1"/>
      </w:pPr>
      <w:r>
        <w:t xml:space="preserve">Discussion</w:t>
      </w:r>
    </w:p>
    <w:p>
      <w:pPr>
        <w:pStyle w:val="FirstParagraph"/>
      </w:pPr>
      <w:r>
        <w:t xml:space="preserve">Predatory fish presence can generate a NCE on kōura by increasing the amount of time they spend in refuges. This can reduce the time available for foraging which may lead to reduced growth and reproduction, ultimately impacting the prey species at the population level (</w:t>
      </w:r>
      <w:r>
        <w:t xml:space="preserve">Preisser et al. (2005)</w:t>
      </w:r>
      <w:r>
        <w:t xml:space="preserve">;</w:t>
      </w:r>
      <w:r>
        <w:t xml:space="preserve"> </w:t>
      </w:r>
      <w:r>
        <w:t xml:space="preserve">Sheriff et al. (2020)</w:t>
      </w:r>
      <w:r>
        <w:t xml:space="preserve">). Although it was notable that refuge use in all treatments before fish were added, was similar and highly variable, our experiments nevertheless revealed clear differences between kōura responses to catfish and eels, with the invader consistently provoking greater refuge-use than the native. However, the control treatment, which had kōura exposed only to two 30 second periods of water disturbance during the same period that kōura were exposed to fish predators for three hours, also elicited increasing refuge use over time, particularly under light conditions. This is unsurprising given that kōura are nocturnally adapted, with the need to remain hidden during daylight to avoid visual predators such as birds</w:t>
      </w:r>
      <w:r>
        <w:t xml:space="preserve"> </w:t>
      </w:r>
      <w:r>
        <w:t xml:space="preserve">(Devcich, 1979)</w:t>
      </w:r>
      <w:r>
        <w:t xml:space="preserve">, but does indicate our interpretation of apparent NCEs need to be treated with caution, as the experimental set up was highly artificial and despite acclimatisation efforts, all kōura responses need to be judged in that context. Despite this, the same pattern of catfish presence causing greater refuge use than eel, in the dark, as well as the light does indicate we were witnessing real differences in NCEs.</w:t>
      </w:r>
    </w:p>
    <w:p>
      <w:pPr>
        <w:pStyle w:val="BodyText"/>
      </w:pPr>
      <w:r>
        <w:t xml:space="preserve">When exposed to an unfamiliar, novel predator cue, kōura significantly increased their refuge use, indicating a strong antipredator response. For naïve prey, unfamiliar cues could trigger a precautionary response because the consequences of ignoring a potentially real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This is consistent with the pattern observed in this study as, kōura demonstrated greater refuge-seeking behaviour when exposed to the non-native catfish than to native longfin eels, a difference that likely reflects their evolutionary history with eels but not catfish. The unfamiliar and unpredictable cues from catfish may therefore trigger a heightened precautionary response relative to the more familiar eel cues</w:t>
      </w:r>
      <w:r>
        <w:t xml:space="preserve"> </w:t>
      </w:r>
      <w:r>
        <w:t xml:space="preserve">(Ehlman et al., 2019; Sih et al., 2023)</w:t>
      </w:r>
      <w:r>
        <w:t xml:space="preserve">. While refuge use in the control group was intermediate and did not differ significantly from either predator treatment, the consistent difference between catfish and eel treatments, observed under light and dark conditions, supports a genuine and manifest difference in NCEs generated by native and non-native predator presence. The energetic cost of this elevated refuge use is itself a meaningful NCE, but the behaviour may simultaneously confer protection against direct predation. Experimental evidence that shelter reduces catfish predation on crayfish</w:t>
      </w:r>
      <w:r>
        <w:t xml:space="preserve"> </w:t>
      </w:r>
      <w:r>
        <w:t xml:space="preserve">(ADAMS, 2007; Zhao et al., 2024)</w:t>
      </w:r>
      <w:r>
        <w:t xml:space="preserve"> </w:t>
      </w:r>
      <w:r>
        <w:t xml:space="preserve">raises the possibility that providing or restoring refuge habitat in catfish-invaded lakes could be a practical management tool to reduce kōura vulnerability, though direct experimental testing in field conditions would be needed to confirm this.</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pattern was most pronounced in the dark conditions, where all three treatments began similarly but changed progressively over the course of the experiment with catfish treatment steadily increasing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one possibility is that our artificial refuges offer limited protection against eels, which can pursue prey into very confined spaces, making active avoidance and chela display a more effective strategy than sheltering</w:t>
      </w:r>
      <w:r>
        <w:t xml:space="preserve"> </w:t>
      </w:r>
      <w:r>
        <w:t xml:space="preserve">(Shave et al., 1994)</w:t>
      </w:r>
      <w:r>
        <w:t xml:space="preserve">.</w:t>
      </w:r>
    </w:p>
    <w:p>
      <w:pPr>
        <w:pStyle w:val="BodyText"/>
      </w:pPr>
      <w:r>
        <w:t xml:space="preserve">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may not reflect natural conditions where kōura and fish predators coexist, and higher concentrations may be required to elicit a detectable feeding suppression response</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 In addition, the pre-experiment starvation period for kōura may have been insufficient to elicit a very strong feeding response, as crayfish such as kōura are opportunistic predators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3 days</w:t>
      </w:r>
      <w:r>
        <w:t xml:space="preserve"> </w:t>
      </w:r>
      <w:r>
        <w:t xml:space="preserve">(Hazlett, 2003)</w:t>
      </w:r>
      <w:r>
        <w:t xml:space="preserve">. In the current study, the longest starvation period was 4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Another potential issue could be as feeding in this study was measured as a single endpoint after 24 hours, this provided no information on whether kōura initially suppressed feeding after immediate exposure to kairomones, before eventually resuming normal feeding activities</w:t>
      </w:r>
      <w:r>
        <w:t xml:space="preserve"> </w:t>
      </w:r>
      <w:r>
        <w:t xml:space="preserve">(Wright et al., 2010)</w:t>
      </w:r>
      <w:r>
        <w:t xml:space="preserve">. Further experiments addressing these various issues may clarify whether these non-visual cues manifest as NCE’s on kōura feeding.</w:t>
      </w:r>
    </w:p>
    <w:bookmarkStart w:id="17" w:name="conclusion"/>
    <w:p>
      <w:pPr>
        <w:pStyle w:val="Heading2"/>
      </w:pPr>
      <w:r>
        <w:t xml:space="preserve">Conclusion</w:t>
      </w:r>
    </w:p>
    <w:p>
      <w:pPr>
        <w:pStyle w:val="FirstParagraph"/>
      </w:pPr>
      <w:r>
        <w:t xml:space="preserve">This study provides experimental evidence that the invasive brown bullhead catfish exerts stronger NCEs on the native freshwater crayfish kōura, evidenced by significantly greater refuge-seeking behaviour than the co-evolved native longfin eel. The heightened response to the novel catfish could reflect a generalised antipredator response triggered by unfamiliar chemical and visual cues, consistent with a fear generalisation framework. In contrast, the reduced response to eels suggests that co-evolutionary experience may have enabled kōura to make more calibrated risk assessments and adjusted refuge use accordingly. Further comparative studies of kōura sourced from catfish invaded freshwaters as well as catfish absent areas would be worthwhile, to assess if catfish ‘experienced’ kōura react differently than catfish-naive kōura, when presented with the same catfish predator threat. If this was the case and despite catfish being only present in Aotearoa for two centuries, it could present the possibility of ‘teaching’ naive kōura to adjust their behaviour in an appropriate and proportionate way to catfish presence, by exposing selected naive populations to catfish under controlled laboratory conditions, before an actual catfish invasion event occurs. Although we found no significant NCE of fish exudates on feeding behaviour, our study suggests further investigations of such non-visual cues are warranted in this area.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 so far, underappreciated and ecologically significant dimension to this invasion.</w:t>
      </w:r>
    </w:p>
    <w:bookmarkEnd w:id="17"/>
    <w:bookmarkEnd w:id="18"/>
    <w:bookmarkStart w:id="1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19"/>
    <w:bookmarkStart w:id="20" w:name="authors-contributions"/>
    <w:p>
      <w:pPr>
        <w:pStyle w:val="Heading1"/>
      </w:pPr>
      <w:r>
        <w:t xml:space="preserve">Authors’ contributions</w:t>
      </w:r>
    </w:p>
    <w:p>
      <w:pPr>
        <w:pStyle w:val="FirstParagraph"/>
      </w:pPr>
      <w:r>
        <w:t xml:space="preserve">Study conception and design were undertaken by O.V.R, C.M. and R.H. Experiments were executed by O.V. R and C.M. Data analysis was performed by F. L. and O.V.R. Local ecological knowledge was contributed by I.A.K.K. Manuscript drafting was led by O.V.R. and C.M. All authors contributed to manuscript revision, approved the results, and the final manuscript.</w:t>
      </w:r>
    </w:p>
    <w:bookmarkEnd w:id="20"/>
    <w:bookmarkStart w:id="21"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21"/>
    <w:bookmarkStart w:id="22" w:name="declarations"/>
    <w:p>
      <w:pPr>
        <w:pStyle w:val="Heading1"/>
      </w:pPr>
      <w:r>
        <w:t xml:space="preserve">Declarations</w:t>
      </w:r>
    </w:p>
    <w:p>
      <w:pPr>
        <w:pStyle w:val="FirstParagraph"/>
      </w:pPr>
      <w:r>
        <w:t xml:space="preserve">The corresponding author has declared that none of the authors has any competing interests.</w:t>
      </w:r>
    </w:p>
    <w:bookmarkEnd w:id="22"/>
    <w:bookmarkStart w:id="23" w:name="data-availability-statement"/>
    <w:p>
      <w:pPr>
        <w:pStyle w:val="Heading1"/>
      </w:pPr>
      <w:r>
        <w:t xml:space="preserve">Data availability statement</w:t>
      </w:r>
    </w:p>
    <w:p>
      <w:pPr>
        <w:pStyle w:val="FirstParagraph"/>
      </w:pPr>
      <w:r>
        <w:t xml:space="preserve">The code and data supporting the findings of this study are openly available on Zenodo (add link) and GitHub https://github.com/OlivierRaven/NCE_Koura_catfish.</w:t>
      </w:r>
    </w:p>
    <w:bookmarkEnd w:id="23"/>
    <w:bookmarkStart w:id="24" w:name="references"/>
    <w:p>
      <w:pPr>
        <w:pStyle w:val="Heading1"/>
      </w:pPr>
      <w:r>
        <w:t xml:space="preserve">References</w:t>
      </w:r>
    </w:p>
    <w:bookmarkEnd w:id="24"/>
    <w:bookmarkStart w:id="44"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 w:name="fig-aquarium-setup"/>
          <w:p>
            <w:pPr>
              <w:pStyle w:val="Compact"/>
              <w:jc w:val="center"/>
            </w:pPr>
            <w:r>
              <w:drawing>
                <wp:inline>
                  <wp:extent cx="5727700" cy="4480989"/>
                  <wp:effectExtent b="0" l="0" r="0" t="0"/>
                  <wp:docPr descr="" title="" id="26" name="Picture"/>
                  <a:graphic>
                    <a:graphicData uri="http://schemas.openxmlformats.org/drawingml/2006/picture">
                      <pic:pic>
                        <pic:nvPicPr>
                          <pic:cNvPr descr="images/setup_combined.png" id="27" name="Picture"/>
                          <pic:cNvPicPr>
                            <a:picLocks noChangeArrowheads="1" noChangeAspect="1"/>
                          </pic:cNvPicPr>
                        </pic:nvPicPr>
                        <pic:blipFill>
                          <a:blip r:embed="rId25"/>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(C)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8"/>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32" w:name="fig-refuge-plot"/>
          <w:p>
            <w:pPr>
              <w:pStyle w:val="Compact"/>
              <w:jc w:val="center"/>
            </w:pPr>
            <w:r>
              <w:drawing>
                <wp:inline>
                  <wp:extent cx="5727700" cy="4295775"/>
                  <wp:effectExtent b="0" l="0" r="0" t="0"/>
                  <wp:docPr descr="" title="" id="30" name="Picture"/>
                  <a:graphic>
                    <a:graphicData uri="http://schemas.openxmlformats.org/drawingml/2006/picture">
                      <pic:pic>
                        <pic:nvPicPr>
                          <pic:cNvPr descr="index_files/figure-docx/analysis-fig-refuge-plot-output-2.png" id="31" name="Picture"/>
                          <pic:cNvPicPr>
                            <a:picLocks noChangeArrowheads="1" noChangeAspect="1"/>
                          </pic:cNvPicPr>
                        </pic:nvPicPr>
                        <pic:blipFill>
                          <a:blip r:embed="rId29"/>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use of refuge over course of experiment with the three periods (before, during, after), the treatment (catfish; red-solid circle, eel; green-dashed triangle, control; blue-dotdash square), and divided over light regime (combined, dark, light). The points represent the proportion within each period for each treatment.</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7" w:name="fig-emmeans-plot"/>
          <w:p>
            <w:pPr>
              <w:pStyle w:val="Compact"/>
              <w:jc w:val="center"/>
            </w:pPr>
            <w:r>
              <w:drawing>
                <wp:inline>
                  <wp:extent cx="5727700" cy="4295775"/>
                  <wp:effectExtent b="0" l="0" r="0" t="0"/>
                  <wp:docPr descr="" title="" id="35" name="Picture"/>
                  <a:graphic>
                    <a:graphicData uri="http://schemas.openxmlformats.org/drawingml/2006/picture">
                      <pic:pic>
                        <pic:nvPicPr>
                          <pic:cNvPr descr="index_files/figure-docx/analysis-fig-emmeans-plot-output-1.png" id="36" name="Picture"/>
                          <pic:cNvPicPr>
                            <a:picLocks noChangeArrowheads="1" noChangeAspect="1"/>
                          </pic:cNvPicPr>
                        </pic:nvPicPr>
                        <pic:blipFill>
                          <a:blip r:embed="rId34"/>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multiple comparison-adjusted pairwise comparisons. The dashed line at 0.5 marks the threshold where kōura spend half their time in refuge.</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2" w:name="fig-feeding-plot"/>
          <w:p>
            <w:pPr>
              <w:pStyle w:val="Compact"/>
              <w:jc w:val="center"/>
            </w:pPr>
            <w:r>
              <w:drawing>
                <wp:inline>
                  <wp:extent cx="5727700" cy="4295775"/>
                  <wp:effectExtent b="0" l="0" r="0" t="0"/>
                  <wp:docPr descr="" title="" id="40" name="Picture"/>
                  <a:graphic>
                    <a:graphicData uri="http://schemas.openxmlformats.org/drawingml/2006/picture">
                      <pic:pic>
                        <pic:nvPicPr>
                          <pic:cNvPr descr="index_files/figure-docx/analysis-fig-feeding-plot-output-1.png" id="41" name="Picture"/>
                          <pic:cNvPicPr>
                            <a:picLocks noChangeArrowheads="1" noChangeAspect="1"/>
                          </pic:cNvPicPr>
                        </pic:nvPicPr>
                        <pic:blipFill>
                          <a:blip r:embed="rId39"/>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Analysis Notebook</w:t>
        </w:r>
      </w:hyperlink>
    </w:p>
    <w:bookmarkEnd w:id="44"/>
    <w:bookmarkStart w:id="152"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45" w:name="tbl-s1-refuge-prop"/>
          <w:p>
            <w:pPr>
              <w:jc w:val="center"/>
            </w:pPr>
            <w:pPr>
              <w:jc w:val="left"/>
              <w:spacing w:before="200"/>
              <w:pStyle w:val="ImageCaption"/>
            </w:pPr>
            <w:r>
              <w:t xml:space="preserve">Table 1: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45"/>
        </w:tc>
      </w:tr>
    </w:tbl>
    <w:p>
      <w:pPr>
        <w:pStyle w:val="FirstParagraph"/>
      </w:pPr>
      <w:r>
        <w:rPr>
          <w:vertAlign w:val="subscript"/>
        </w:rPr>
        <w:t xml:space="preserve">Source:</w:t>
      </w:r>
      <w:r>
        <w:rPr>
          <w:vertAlign w:val="subscript"/>
        </w:rPr>
        <w:t xml:space="preserve"> </w:t>
      </w:r>
      <w:hyperlink r:id="rId4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7" w:name="tbl-s2-fixed-effects"/>
          <w:p>
            <w:pPr>
              <w:jc w:val="center"/>
            </w:pPr>
            <w:pPr>
              <w:jc w:val="left"/>
              <w:spacing w:before="200"/>
              <w:pStyle w:val="ImageCaption"/>
            </w:pPr>
            <w:r>
              <w:t xml:space="preserve">Table 2: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9" w:name="tbl-s3-emmeans"/>
          <w:p>
            <w:pPr>
              <w:jc w:val="center"/>
            </w:pPr>
            <w:pPr>
              <w:jc w:val="left"/>
              <w:spacing w:before="200"/>
              <w:pStyle w:val="ImageCaption"/>
            </w:pPr>
            <w:r>
              <w:t xml:space="preserve">Table 3: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1" w:name="tbl-s4-feeding-anova"/>
          <w:p>
            <w:pPr>
              <w:jc w:val="center"/>
            </w:pPr>
            <w:pPr>
              <w:jc w:val="left"/>
              <w:spacing w:before="200"/>
              <w:pStyle w:val="ImageCaption"/>
            </w:pPr>
            <w:r>
              <w:t xml:space="preserve">Table 4: Type III ANOVA table for the linear model of kōura feeding rate (pellets consumed per gram body weight). Treatment, starvation period, and their interaction were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0.004</w:t>
                  </w:r>
                </w:p>
              </w:tc>
              <w:tc>
                <w:tcPr/>
                <w:p>
                  <w:pPr>
                    <w:pStyle w:val="Compact"/>
                    <w:jc w:val="right"/>
                    <w:jc w:val="center"/>
                  </w:pPr>
                  <w:r>
                    <w:t xml:space="preserve">1</w:t>
                  </w:r>
                </w:p>
              </w:tc>
              <w:tc>
                <w:tcPr/>
                <w:p>
                  <w:pPr>
                    <w:pStyle w:val="Compact"/>
                    <w:jc w:val="right"/>
                    <w:jc w:val="center"/>
                  </w:pPr>
                  <w:r>
                    <w:t xml:space="preserve">0.640</w:t>
                  </w:r>
                </w:p>
              </w:tc>
              <w:tc>
                <w:tcPr/>
                <w:p>
                  <w:pPr>
                    <w:pStyle w:val="Compact"/>
                    <w:jc w:val="right"/>
                    <w:jc w:val="center"/>
                  </w:pPr>
                  <w:r>
                    <w:t xml:space="preserve">0.429</w:t>
                  </w:r>
                </w:p>
              </w:tc>
            </w:tr>
            <w:tr>
              <w:tc>
                <w:tcPr/>
                <w:p>
                  <w:pPr>
                    <w:pStyle w:val="Compact"/>
                    <w:jc w:val="left"/>
                    <w:jc w:val="center"/>
                  </w:pPr>
                  <w:r>
                    <w:t xml:space="preserve">treatment</w:t>
                  </w:r>
                </w:p>
              </w:tc>
              <w:tc>
                <w:tcPr/>
                <w:p>
                  <w:pPr>
                    <w:pStyle w:val="Compact"/>
                    <w:jc w:val="right"/>
                    <w:jc w:val="center"/>
                  </w:pPr>
                  <w:r>
                    <w:t xml:space="preserve">0.000</w:t>
                  </w:r>
                </w:p>
              </w:tc>
              <w:tc>
                <w:tcPr/>
                <w:p>
                  <w:pPr>
                    <w:pStyle w:val="Compact"/>
                    <w:jc w:val="right"/>
                    <w:jc w:val="center"/>
                  </w:pPr>
                  <w:r>
                    <w:t xml:space="preserve">2</w:t>
                  </w:r>
                </w:p>
              </w:tc>
              <w:tc>
                <w:tcPr/>
                <w:p>
                  <w:pPr>
                    <w:pStyle w:val="Compact"/>
                    <w:jc w:val="right"/>
                    <w:jc w:val="center"/>
                  </w:pPr>
                  <w:r>
                    <w:t xml:space="preserve">0.032</w:t>
                  </w:r>
                </w:p>
              </w:tc>
              <w:tc>
                <w:tcPr/>
                <w:p>
                  <w:pPr>
                    <w:pStyle w:val="Compact"/>
                    <w:jc w:val="right"/>
                    <w:jc w:val="center"/>
                  </w:pPr>
                  <w:r>
                    <w:t xml:space="preserve">0.968</w:t>
                  </w:r>
                </w:p>
              </w:tc>
            </w:tr>
            <w:tr>
              <w:tc>
                <w:tcPr/>
                <w:p>
                  <w:pPr>
                    <w:pStyle w:val="Compact"/>
                    <w:jc w:val="left"/>
                    <w:jc w:val="center"/>
                  </w:pPr>
                  <w:r>
                    <w:t xml:space="preserve">day_starve</w:t>
                  </w:r>
                </w:p>
              </w:tc>
              <w:tc>
                <w:tcPr/>
                <w:p>
                  <w:pPr>
                    <w:pStyle w:val="Compact"/>
                    <w:jc w:val="right"/>
                    <w:jc w:val="center"/>
                  </w:pPr>
                  <w:r>
                    <w:t xml:space="preserve">0.132</w:t>
                  </w:r>
                </w:p>
              </w:tc>
              <w:tc>
                <w:tcPr/>
                <w:p>
                  <w:pPr>
                    <w:pStyle w:val="Compact"/>
                    <w:jc w:val="right"/>
                    <w:jc w:val="center"/>
                  </w:pPr>
                  <w:r>
                    <w:t xml:space="preserve">2</w:t>
                  </w:r>
                </w:p>
              </w:tc>
              <w:tc>
                <w:tcPr/>
                <w:p>
                  <w:pPr>
                    <w:pStyle w:val="Compact"/>
                    <w:jc w:val="right"/>
                    <w:jc w:val="center"/>
                  </w:pPr>
                  <w:r>
                    <w:t xml:space="preserve">9.571</w:t>
                  </w:r>
                </w:p>
              </w:tc>
              <w:tc>
                <w:tcPr/>
                <w:p>
                  <w:pPr>
                    <w:pStyle w:val="Compact"/>
                    <w:jc w:val="right"/>
                    <w:jc w:val="center"/>
                  </w:pPr>
                  <w:r>
                    <w:t xml:space="preserve">0.000</w:t>
                  </w:r>
                </w:p>
              </w:tc>
            </w:tr>
            <w:tr>
              <w:tc>
                <w:tcPr/>
                <w:p>
                  <w:pPr>
                    <w:pStyle w:val="Compact"/>
                    <w:jc w:val="left"/>
                    <w:jc w:val="center"/>
                  </w:pPr>
                  <w:r>
                    <w:t xml:space="preserve">treatment:day_starve</w:t>
                  </w:r>
                </w:p>
              </w:tc>
              <w:tc>
                <w:tcPr/>
                <w:p>
                  <w:pPr>
                    <w:pStyle w:val="Compact"/>
                    <w:jc w:val="right"/>
                    <w:jc w:val="center"/>
                  </w:pPr>
                  <w:r>
                    <w:t xml:space="preserve">0.062</w:t>
                  </w:r>
                </w:p>
              </w:tc>
              <w:tc>
                <w:tcPr/>
                <w:p>
                  <w:pPr>
                    <w:pStyle w:val="Compact"/>
                    <w:jc w:val="right"/>
                    <w:jc w:val="center"/>
                  </w:pPr>
                  <w:r>
                    <w:t xml:space="preserve">4</w:t>
                  </w:r>
                </w:p>
              </w:tc>
              <w:tc>
                <w:tcPr/>
                <w:p>
                  <w:pPr>
                    <w:pStyle w:val="Compact"/>
                    <w:jc w:val="right"/>
                    <w:jc w:val="center"/>
                  </w:pPr>
                  <w:r>
                    <w:t xml:space="preserve">2.241</w:t>
                  </w:r>
                </w:p>
              </w:tc>
              <w:tc>
                <w:tcPr/>
                <w:p>
                  <w:pPr>
                    <w:pStyle w:val="Compact"/>
                    <w:jc w:val="right"/>
                    <w:jc w:val="center"/>
                  </w:pPr>
                  <w:r>
                    <w:t xml:space="preserve">0.082</w:t>
                  </w:r>
                </w:p>
              </w:tc>
            </w:tr>
            <w:tr>
              <w:tc>
                <w:tcPr/>
                <w:p>
                  <w:pPr>
                    <w:pStyle w:val="Compact"/>
                    <w:jc w:val="left"/>
                    <w:jc w:val="center"/>
                  </w:pPr>
                  <w:r>
                    <w:t xml:space="preserve">Residuals</w:t>
                  </w:r>
                </w:p>
              </w:tc>
              <w:tc>
                <w:tcPr/>
                <w:p>
                  <w:pPr>
                    <w:pStyle w:val="Compact"/>
                    <w:jc w:val="right"/>
                    <w:jc w:val="center"/>
                  </w:pPr>
                  <w:r>
                    <w:t xml:space="preserve">0.268</w:t>
                  </w:r>
                </w:p>
              </w:tc>
              <w:tc>
                <w:tcPr/>
                <w:p>
                  <w:pPr>
                    <w:pStyle w:val="Compact"/>
                    <w:jc w:val="right"/>
                    <w:jc w:val="center"/>
                  </w:pPr>
                  <w:r>
                    <w:t xml:space="preserve">39</w:t>
                  </w:r>
                </w:p>
              </w:tc>
              <w:tc>
                <w:tcPr/>
                <w:p>
                  <w:pPr>
                    <w:pStyle w:val="Compact"/>
                    <w:jc w:val="right"/>
                    <w:jc w:val="center"/>
                  </w:pPr>
                  <w:r>
                    <w:t xml:space="preserve">NA</w:t>
                  </w:r>
                </w:p>
              </w:tc>
              <w:tc>
                <w:tcPr/>
                <w:p>
                  <w:pPr>
                    <w:pStyle w:val="Compact"/>
                    <w:jc w:val="right"/>
                    <w:jc w:val="center"/>
                  </w:pPr>
                  <w:r>
                    <w:t xml:space="preserve">NA</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Analysis Notebook</w:t>
        </w:r>
      </w:hyperlink>
    </w:p>
    <w:bookmarkStart w:id="151" w:name="refs"/>
    <w:bookmarkStart w:id="54"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53">
        <w:r>
          <w:rPr>
            <w:rStyle w:val="Hyperlink"/>
          </w:rPr>
          <w:t xml:space="preserve">https://doi.org/10.1146/annurev.ecolsys.31.1.79</w:t>
        </w:r>
      </w:hyperlink>
    </w:p>
    <w:bookmarkEnd w:id="54"/>
    <w:bookmarkStart w:id="56"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55">
        <w:r>
          <w:rPr>
            <w:rStyle w:val="Hyperlink"/>
          </w:rPr>
          <w:t xml:space="preserve">https://doi.org/10.1371/journal.pone.0340001</w:t>
        </w:r>
      </w:hyperlink>
    </w:p>
    <w:bookmarkEnd w:id="56"/>
    <w:bookmarkStart w:id="58"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57">
        <w:r>
          <w:rPr>
            <w:rStyle w:val="Hyperlink"/>
          </w:rPr>
          <w:t xml:space="preserve">https://doi.org/10.1674/0003-0031(2007)158[85:daieoc]2.0.co;2</w:t>
        </w:r>
      </w:hyperlink>
    </w:p>
    <w:bookmarkEnd w:id="58"/>
    <w:bookmarkStart w:id="59"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59"/>
    <w:bookmarkStart w:id="61"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60">
        <w:r>
          <w:rPr>
            <w:rStyle w:val="Hyperlink"/>
          </w:rPr>
          <w:t xml:space="preserve">https://doi.org/10.1163/1568539x-00003501</w:t>
        </w:r>
      </w:hyperlink>
    </w:p>
    <w:bookmarkEnd w:id="61"/>
    <w:bookmarkStart w:id="63"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62">
        <w:r>
          <w:rPr>
            <w:rStyle w:val="Hyperlink"/>
          </w:rPr>
          <w:t xml:space="preserve">https://doi.org/10.1111/j.1365-2427.1993.tb00747.x</w:t>
        </w:r>
      </w:hyperlink>
    </w:p>
    <w:bookmarkEnd w:id="63"/>
    <w:bookmarkStart w:id="64"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64"/>
    <w:bookmarkStart w:id="66"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65">
        <w:r>
          <w:rPr>
            <w:rStyle w:val="Hyperlink"/>
          </w:rPr>
          <w:t xml:space="preserve">https://doi.org/10.32614/rj-2017-066</w:t>
        </w:r>
      </w:hyperlink>
    </w:p>
    <w:bookmarkEnd w:id="66"/>
    <w:bookmarkStart w:id="68"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67">
        <w:r>
          <w:rPr>
            <w:rStyle w:val="Hyperlink"/>
          </w:rPr>
          <w:t xml:space="preserve">https://doi.org/10.1093/beheco/arh084</w:t>
        </w:r>
      </w:hyperlink>
    </w:p>
    <w:bookmarkEnd w:id="68"/>
    <w:bookmarkStart w:id="70"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69">
        <w:r>
          <w:rPr>
            <w:rStyle w:val="Hyperlink"/>
          </w:rPr>
          <w:t xml:space="preserve">http://hdl.handle.net/10179/1168</w:t>
        </w:r>
      </w:hyperlink>
    </w:p>
    <w:bookmarkEnd w:id="70"/>
    <w:bookmarkStart w:id="72"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71">
        <w:r>
          <w:rPr>
            <w:rStyle w:val="Hyperlink"/>
          </w:rPr>
          <w:t xml:space="preserve">https://doi.org/10.1111/brv.12087</w:t>
        </w:r>
      </w:hyperlink>
    </w:p>
    <w:bookmarkEnd w:id="72"/>
    <w:bookmarkStart w:id="73"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3"/>
    <w:bookmarkStart w:id="75"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74">
        <w:r>
          <w:rPr>
            <w:rStyle w:val="Hyperlink"/>
          </w:rPr>
          <w:t xml:space="preserve">https://doi.org/10.1098/rspb.1979.0081</w:t>
        </w:r>
      </w:hyperlink>
    </w:p>
    <w:bookmarkEnd w:id="75"/>
    <w:bookmarkStart w:id="77"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76">
        <w:r>
          <w:rPr>
            <w:rStyle w:val="Hyperlink"/>
          </w:rPr>
          <w:t xml:space="preserve">https://atlas.boprc.govt.nz/api/v1/edms/document/A3591759/content</w:t>
        </w:r>
      </w:hyperlink>
    </w:p>
    <w:bookmarkEnd w:id="77"/>
    <w:bookmarkStart w:id="78"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78"/>
    <w:bookmarkStart w:id="80"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79">
        <w:r>
          <w:rPr>
            <w:rStyle w:val="Hyperlink"/>
          </w:rPr>
          <w:t xml:space="preserve">https://doi.org/10.1073/pnas.1602480113</w:t>
        </w:r>
      </w:hyperlink>
    </w:p>
    <w:bookmarkEnd w:id="80"/>
    <w:bookmarkStart w:id="82"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81">
        <w:r>
          <w:rPr>
            <w:rStyle w:val="Hyperlink"/>
          </w:rPr>
          <w:t xml:space="preserve">https://doi.org/10.1086/702252</w:t>
        </w:r>
      </w:hyperlink>
    </w:p>
    <w:bookmarkEnd w:id="82"/>
    <w:bookmarkStart w:id="84"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3">
        <w:r>
          <w:rPr>
            <w:rStyle w:val="Hyperlink"/>
          </w:rPr>
          <w:t xml:space="preserve">https://doi.org/10.1080/10236240500376477</w:t>
        </w:r>
      </w:hyperlink>
    </w:p>
    <w:bookmarkEnd w:id="84"/>
    <w:bookmarkStart w:id="85"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85"/>
    <w:bookmarkStart w:id="87" w:name="ref-Gamradt1996"/>
    <w:p>
      <w:pPr>
        <w:pStyle w:val="Bibliography"/>
      </w:pPr>
      <w:r>
        <w:t xml:space="preserve">Gamradt, S. C., &amp; Kats, L. B. (1996). Effect of introduced crayfish and mosquitofish on california newts.</w:t>
      </w:r>
      <w:r>
        <w:t xml:space="preserve"> </w:t>
      </w:r>
      <w:r>
        <w:rPr>
          <w:i/>
          <w:iCs/>
        </w:rPr>
        <w:t xml:space="preserve">Conservation Biology</w:t>
      </w:r>
      <w:r>
        <w:t xml:space="preserve">,</w:t>
      </w:r>
      <w:r>
        <w:t xml:space="preserve"> </w:t>
      </w:r>
      <w:r>
        <w:rPr>
          <w:i/>
          <w:iCs/>
        </w:rPr>
        <w:t xml:space="preserve">10</w:t>
      </w:r>
      <w:r>
        <w:t xml:space="preserve">(4), 1155–1162.</w:t>
      </w:r>
      <w:r>
        <w:t xml:space="preserve"> </w:t>
      </w:r>
      <w:hyperlink r:id="rId86">
        <w:r>
          <w:rPr>
            <w:rStyle w:val="Hyperlink"/>
          </w:rPr>
          <w:t xml:space="preserve">https://doi.org/10.1046/j.1523-1739.1996.10041155.x</w:t>
        </w:r>
      </w:hyperlink>
    </w:p>
    <w:bookmarkEnd w:id="87"/>
    <w:bookmarkStart w:id="89"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88">
        <w:r>
          <w:rPr>
            <w:rStyle w:val="Hyperlink"/>
          </w:rPr>
          <w:t xml:space="preserve">https://doi.org/10.1111/j.1365-2427.2011.02595.x</w:t>
        </w:r>
      </w:hyperlink>
    </w:p>
    <w:bookmarkEnd w:id="89"/>
    <w:bookmarkStart w:id="91"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90">
        <w:r>
          <w:rPr>
            <w:rStyle w:val="Hyperlink"/>
          </w:rPr>
          <w:t xml:space="preserve">https://cran.r-project.org/web/packages/DHARMa/index.html</w:t>
        </w:r>
      </w:hyperlink>
    </w:p>
    <w:bookmarkEnd w:id="91"/>
    <w:bookmarkStart w:id="93"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92">
        <w:r>
          <w:rPr>
            <w:rStyle w:val="Hyperlink"/>
          </w:rPr>
          <w:t xml:space="preserve">https://doi.org/10.1046/j.1439-0310.2003.00902.x</w:t>
        </w:r>
      </w:hyperlink>
    </w:p>
    <w:bookmarkEnd w:id="93"/>
    <w:bookmarkStart w:id="95"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94">
        <w:r>
          <w:rPr>
            <w:rStyle w:val="Hyperlink"/>
          </w:rPr>
          <w:t xml:space="preserve">https://doi.org/10.1080/00288330.1997.9516796</w:t>
        </w:r>
      </w:hyperlink>
    </w:p>
    <w:bookmarkEnd w:id="95"/>
    <w:bookmarkStart w:id="97"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96">
        <w:r>
          <w:rPr>
            <w:rStyle w:val="Hyperlink"/>
          </w:rPr>
          <w:t xml:space="preserve">https://doi.org/10.1007/s10750-013-1708-1</w:t>
        </w:r>
      </w:hyperlink>
    </w:p>
    <w:bookmarkEnd w:id="97"/>
    <w:bookmarkStart w:id="99"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98">
        <w:r>
          <w:rPr>
            <w:rStyle w:val="Hyperlink"/>
          </w:rPr>
          <w:t xml:space="preserve">https://doi.org/10.1007/s10530-016-1268-1</w:t>
        </w:r>
      </w:hyperlink>
    </w:p>
    <w:bookmarkEnd w:id="99"/>
    <w:bookmarkStart w:id="100"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100"/>
    <w:bookmarkStart w:id="102"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1">
        <w:r>
          <w:rPr>
            <w:rStyle w:val="Hyperlink"/>
          </w:rPr>
          <w:t xml:space="preserve">https://doi.org/10.1080/00288330909510036</w:t>
        </w:r>
      </w:hyperlink>
    </w:p>
    <w:bookmarkEnd w:id="102"/>
    <w:bookmarkStart w:id="104"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3">
        <w:r>
          <w:rPr>
            <w:rStyle w:val="Hyperlink"/>
          </w:rPr>
          <w:t xml:space="preserve">https://doi.org/10.5194/we-25-221-2025</w:t>
        </w:r>
      </w:hyperlink>
    </w:p>
    <w:bookmarkEnd w:id="104"/>
    <w:bookmarkStart w:id="106"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05">
        <w:r>
          <w:rPr>
            <w:rStyle w:val="Hyperlink"/>
          </w:rPr>
          <w:t xml:space="preserve">https://cran.r-project.org/web/packages/emmeans/index.html</w:t>
        </w:r>
      </w:hyperlink>
    </w:p>
    <w:bookmarkEnd w:id="106"/>
    <w:bookmarkStart w:id="108"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07">
        <w:r>
          <w:rPr>
            <w:rStyle w:val="Hyperlink"/>
          </w:rPr>
          <w:t xml:space="preserve">https://doi.org/10.1139/z90-092</w:t>
        </w:r>
      </w:hyperlink>
    </w:p>
    <w:bookmarkEnd w:id="108"/>
    <w:bookmarkStart w:id="110"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09">
        <w:r>
          <w:rPr>
            <w:rStyle w:val="Hyperlink"/>
          </w:rPr>
          <w:t xml:space="preserve">https://doi.org/10.1051/kmae/2025022</w:t>
        </w:r>
      </w:hyperlink>
    </w:p>
    <w:bookmarkEnd w:id="110"/>
    <w:bookmarkStart w:id="112"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11">
        <w:r>
          <w:rPr>
            <w:rStyle w:val="Hyperlink"/>
          </w:rPr>
          <w:t xml:space="preserve">https://doi.org/10.7717/peerj.665</w:t>
        </w:r>
      </w:hyperlink>
    </w:p>
    <w:bookmarkEnd w:id="112"/>
    <w:bookmarkStart w:id="114"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13">
        <w:r>
          <w:rPr>
            <w:rStyle w:val="Hyperlink"/>
          </w:rPr>
          <w:t xml:space="preserve">https://agris.fao.org/search/en/providers/122621/records/6473966cce9437aa76003d0e</w:t>
        </w:r>
      </w:hyperlink>
    </w:p>
    <w:bookmarkEnd w:id="114"/>
    <w:bookmarkStart w:id="116"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15">
        <w:r>
          <w:rPr>
            <w:rStyle w:val="Hyperlink"/>
          </w:rPr>
          <w:t xml:space="preserve">https://doi.org/10.1111/j.1365-2427.2005.01438.x</w:t>
        </w:r>
      </w:hyperlink>
    </w:p>
    <w:bookmarkEnd w:id="116"/>
    <w:bookmarkStart w:id="118"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7">
        <w:r>
          <w:rPr>
            <w:rStyle w:val="Hyperlink"/>
          </w:rPr>
          <w:t xml:space="preserve">https://doi.org/10.1046/j.1365-2427.2001.00702.x</w:t>
        </w:r>
      </w:hyperlink>
    </w:p>
    <w:bookmarkEnd w:id="118"/>
    <w:bookmarkStart w:id="120"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19">
        <w:r>
          <w:rPr>
            <w:rStyle w:val="Hyperlink"/>
          </w:rPr>
          <w:t xml:space="preserve">https://doi.org/10.1890/04-0719</w:t>
        </w:r>
      </w:hyperlink>
    </w:p>
    <w:bookmarkEnd w:id="120"/>
    <w:bookmarkStart w:id="122"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21">
        <w:r>
          <w:rPr>
            <w:rStyle w:val="Hyperlink"/>
          </w:rPr>
          <w:t xml:space="preserve">https://www.R-project.org/</w:t>
        </w:r>
      </w:hyperlink>
    </w:p>
    <w:bookmarkEnd w:id="122"/>
    <w:bookmarkStart w:id="124"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23">
        <w:r>
          <w:rPr>
            <w:rStyle w:val="Hyperlink"/>
          </w:rPr>
          <w:t xml:space="preserve">https://doi.org/10.1080/10236244.2020.1717338</w:t>
        </w:r>
      </w:hyperlink>
    </w:p>
    <w:bookmarkEnd w:id="124"/>
    <w:bookmarkStart w:id="126"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25">
        <w:r>
          <w:rPr>
            <w:rStyle w:val="Hyperlink"/>
          </w:rPr>
          <w:t xml:space="preserve">https://teara.govt.nz/en/eels</w:t>
        </w:r>
      </w:hyperlink>
    </w:p>
    <w:bookmarkEnd w:id="126"/>
    <w:bookmarkStart w:id="127"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27"/>
    <w:bookmarkStart w:id="128"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28"/>
    <w:bookmarkStart w:id="130"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29">
        <w:r>
          <w:rPr>
            <w:rStyle w:val="Hyperlink"/>
          </w:rPr>
          <w:t xml:space="preserve">https://doi.org/10.1111/1365-2656.13213</w:t>
        </w:r>
      </w:hyperlink>
    </w:p>
    <w:bookmarkEnd w:id="130"/>
    <w:bookmarkStart w:id="132"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31">
        <w:r>
          <w:rPr>
            <w:rStyle w:val="Hyperlink"/>
          </w:rPr>
          <w:t xml:space="preserve">https://doi.org/10.1111/j.1600-0706.2009.18039.x</w:t>
        </w:r>
      </w:hyperlink>
    </w:p>
    <w:bookmarkEnd w:id="132"/>
    <w:bookmarkStart w:id="134"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33">
        <w:r>
          <w:rPr>
            <w:rStyle w:val="Hyperlink"/>
          </w:rPr>
          <w:t xml:space="preserve">https://doi.org/10.1016/j.tree.2022.11.001</w:t>
        </w:r>
      </w:hyperlink>
    </w:p>
    <w:bookmarkEnd w:id="134"/>
    <w:bookmarkStart w:id="136" w:name="ref-Smith2008"/>
    <w:p>
      <w:pPr>
        <w:pStyle w:val="Bibliography"/>
      </w:pPr>
      <w:r>
        <w:t xml:space="preserve">Smith, G. R., Boyd, A., Dayer, C. B., &amp; Winter, K. E. (2008). Behavioral responses of american toad and bullfrog tadpoles to the presence of cues from the invasive fish, gambusia affinis.</w:t>
      </w:r>
      <w:r>
        <w:t xml:space="preserve"> </w:t>
      </w:r>
      <w:r>
        <w:rPr>
          <w:i/>
          <w:iCs/>
        </w:rPr>
        <w:t xml:space="preserve">Biological Invasions</w:t>
      </w:r>
      <w:r>
        <w:t xml:space="preserve">,</w:t>
      </w:r>
      <w:r>
        <w:t xml:space="preserve"> </w:t>
      </w:r>
      <w:r>
        <w:rPr>
          <w:i/>
          <w:iCs/>
        </w:rPr>
        <w:t xml:space="preserve">10</w:t>
      </w:r>
      <w:r>
        <w:t xml:space="preserve">(5), 743–748.</w:t>
      </w:r>
      <w:r>
        <w:t xml:space="preserve"> </w:t>
      </w:r>
      <w:hyperlink r:id="rId135">
        <w:r>
          <w:rPr>
            <w:rStyle w:val="Hyperlink"/>
          </w:rPr>
          <w:t xml:space="preserve">https://doi.org/10.1007/s10530-007-9166-1</w:t>
        </w:r>
      </w:hyperlink>
    </w:p>
    <w:bookmarkEnd w:id="136"/>
    <w:bookmarkStart w:id="138"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37">
        <w:r>
          <w:rPr>
            <w:rStyle w:val="Hyperlink"/>
          </w:rPr>
          <w:t xml:space="preserve">https://doi.org/10.1080/10236244.2010.487301</w:t>
        </w:r>
      </w:hyperlink>
    </w:p>
    <w:bookmarkEnd w:id="138"/>
    <w:bookmarkStart w:id="140"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39">
        <w:r>
          <w:rPr>
            <w:rStyle w:val="Hyperlink"/>
          </w:rPr>
          <w:t xml:space="preserve">https://doi.org/10.2307/1936188</w:t>
        </w:r>
      </w:hyperlink>
    </w:p>
    <w:bookmarkEnd w:id="140"/>
    <w:bookmarkStart w:id="142"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41">
        <w:r>
          <w:rPr>
            <w:rStyle w:val="Hyperlink"/>
          </w:rPr>
          <w:t xml:space="preserve">https://doi.org/10.1890/02-0618</w:t>
        </w:r>
      </w:hyperlink>
    </w:p>
    <w:bookmarkEnd w:id="142"/>
    <w:bookmarkStart w:id="144"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43">
        <w:r>
          <w:rPr>
            <w:rStyle w:val="Hyperlink"/>
          </w:rPr>
          <w:t xml:space="preserve">https://doi.org/10.1139/cjz-2019-0089</w:t>
        </w:r>
      </w:hyperlink>
    </w:p>
    <w:bookmarkEnd w:id="144"/>
    <w:bookmarkStart w:id="146"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45">
        <w:r>
          <w:rPr>
            <w:rStyle w:val="Hyperlink"/>
          </w:rPr>
          <w:t xml:space="preserve">https://doi.org/10.1002/ecs2.3188</w:t>
        </w:r>
      </w:hyperlink>
    </w:p>
    <w:bookmarkEnd w:id="146"/>
    <w:bookmarkStart w:id="148"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47">
        <w:r>
          <w:rPr>
            <w:rStyle w:val="Hyperlink"/>
          </w:rPr>
          <w:t xml:space="preserve">https://doi.org/10.1080/03949370.2010.505580</w:t>
        </w:r>
      </w:hyperlink>
    </w:p>
    <w:bookmarkEnd w:id="148"/>
    <w:bookmarkStart w:id="150"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9">
        <w:r>
          <w:rPr>
            <w:rStyle w:val="Hyperlink"/>
          </w:rPr>
          <w:t xml:space="preserve">https://doi.org/10.3390/ani14081147</w:t>
        </w:r>
      </w:hyperlink>
    </w:p>
    <w:bookmarkEnd w:id="150"/>
    <w:bookmarkEnd w:id="151"/>
    <w:bookmarkEnd w:id="152"/>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hyperlink" Id="rId69" Target="http://hdl.handle.net/10179/1168" TargetMode="External" /><Relationship Type="http://schemas.openxmlformats.org/officeDocument/2006/relationships/hyperlink" Id="rId38" Target="https://OlivierRaven.github.io/https---github.com-OlivierRaven-NCE_Koura_catfish/analysis-preview.html#cell-fig-emmeans-plot" TargetMode="External" /><Relationship Type="http://schemas.openxmlformats.org/officeDocument/2006/relationships/hyperlink" Id="rId43" Target="https://OlivierRaven.github.io/https---github.com-OlivierRaven-NCE_Koura_catfish/analysis-preview.html#cell-fig-feeding-plot" TargetMode="External" /><Relationship Type="http://schemas.openxmlformats.org/officeDocument/2006/relationships/hyperlink" Id="rId33" Target="https://OlivierRaven.github.io/https---github.com-OlivierRaven-NCE_Koura_catfish/analysis-preview.html#cell-fig-refuge-plot" TargetMode="External" /><Relationship Type="http://schemas.openxmlformats.org/officeDocument/2006/relationships/hyperlink" Id="rId46" Target="https://OlivierRaven.github.io/https---github.com-OlivierRaven-NCE_Koura_catfish/analysis-preview.html#cell-tbl-s1-refuge-prop" TargetMode="External" /><Relationship Type="http://schemas.openxmlformats.org/officeDocument/2006/relationships/hyperlink" Id="rId48" Target="https://OlivierRaven.github.io/https---github.com-OlivierRaven-NCE_Koura_catfish/analysis-preview.html#cell-tbl-s2-fixed-effects" TargetMode="External" /><Relationship Type="http://schemas.openxmlformats.org/officeDocument/2006/relationships/hyperlink" Id="rId50" Target="https://OlivierRaven.github.io/https---github.com-OlivierRaven-NCE_Koura_catfish/analysis-preview.html#cell-tbl-s3-emmeans" TargetMode="External" /><Relationship Type="http://schemas.openxmlformats.org/officeDocument/2006/relationships/hyperlink" Id="rId52" Target="https://OlivierRaven.github.io/https---github.com-OlivierRaven-NCE_Koura_catfish/analysis-preview.html#cell-tbl-s4-feeding-anova" TargetMode="External" /><Relationship Type="http://schemas.openxmlformats.org/officeDocument/2006/relationships/hyperlink" Id="rId113" Target="https://agris.fao.org/search/en/providers/122621/records/6473966cce9437aa76003d0e" TargetMode="External" /><Relationship Type="http://schemas.openxmlformats.org/officeDocument/2006/relationships/hyperlink" Id="rId76" Target="https://atlas.boprc.govt.nz/api/v1/edms/document/A3591759/content" TargetMode="External" /><Relationship Type="http://schemas.openxmlformats.org/officeDocument/2006/relationships/hyperlink" Id="rId90" Target="https://cran.r-project.org/web/packages/DHARMa/index.html" TargetMode="External" /><Relationship Type="http://schemas.openxmlformats.org/officeDocument/2006/relationships/hyperlink" Id="rId105" Target="https://cran.r-project.org/web/packages/emmeans/index.html" TargetMode="External" /><Relationship Type="http://schemas.openxmlformats.org/officeDocument/2006/relationships/hyperlink" Id="rId145" Target="https://doi.org/10.1002/ecs2.3188" TargetMode="External" /><Relationship Type="http://schemas.openxmlformats.org/officeDocument/2006/relationships/hyperlink" Id="rId135" Target="https://doi.org/10.1007/s10530-007-9166-1" TargetMode="External" /><Relationship Type="http://schemas.openxmlformats.org/officeDocument/2006/relationships/hyperlink" Id="rId98" Target="https://doi.org/10.1007/s10530-016-1268-1" TargetMode="External" /><Relationship Type="http://schemas.openxmlformats.org/officeDocument/2006/relationships/hyperlink" Id="rId96" Target="https://doi.org/10.1007/s10750-013-1708-1" TargetMode="External" /><Relationship Type="http://schemas.openxmlformats.org/officeDocument/2006/relationships/hyperlink" Id="rId133" Target="https://doi.org/10.1016/j.tree.2022.11.001" TargetMode="External" /><Relationship Type="http://schemas.openxmlformats.org/officeDocument/2006/relationships/hyperlink" Id="rId117" Target="https://doi.org/10.1046/j.1365-2427.2001.00702.x" TargetMode="External" /><Relationship Type="http://schemas.openxmlformats.org/officeDocument/2006/relationships/hyperlink" Id="rId92" Target="https://doi.org/10.1046/j.1439-0310.2003.00902.x" TargetMode="External" /><Relationship Type="http://schemas.openxmlformats.org/officeDocument/2006/relationships/hyperlink" Id="rId86" Target="https://doi.org/10.1046/j.1523-1739.1996.10041155.x" TargetMode="External" /><Relationship Type="http://schemas.openxmlformats.org/officeDocument/2006/relationships/hyperlink" Id="rId109" Target="https://doi.org/10.1051/kmae/2025022" TargetMode="External" /><Relationship Type="http://schemas.openxmlformats.org/officeDocument/2006/relationships/hyperlink" Id="rId79" Target="https://doi.org/10.1073/pnas.1602480113" TargetMode="External" /><Relationship Type="http://schemas.openxmlformats.org/officeDocument/2006/relationships/hyperlink" Id="rId94" Target="https://doi.org/10.1080/00288330.1997.9516796" TargetMode="External" /><Relationship Type="http://schemas.openxmlformats.org/officeDocument/2006/relationships/hyperlink" Id="rId101" Target="https://doi.org/10.1080/00288330909510036" TargetMode="External" /><Relationship Type="http://schemas.openxmlformats.org/officeDocument/2006/relationships/hyperlink" Id="rId147" Target="https://doi.org/10.1080/03949370.2010.505580" TargetMode="External" /><Relationship Type="http://schemas.openxmlformats.org/officeDocument/2006/relationships/hyperlink" Id="rId83" Target="https://doi.org/10.1080/10236240500376477" TargetMode="External" /><Relationship Type="http://schemas.openxmlformats.org/officeDocument/2006/relationships/hyperlink" Id="rId137" Target="https://doi.org/10.1080/10236244.2010.487301" TargetMode="External" /><Relationship Type="http://schemas.openxmlformats.org/officeDocument/2006/relationships/hyperlink" Id="rId123" Target="https://doi.org/10.1080/10236244.2020.1717338" TargetMode="External" /><Relationship Type="http://schemas.openxmlformats.org/officeDocument/2006/relationships/hyperlink" Id="rId81" Target="https://doi.org/10.1086/702252" TargetMode="External" /><Relationship Type="http://schemas.openxmlformats.org/officeDocument/2006/relationships/hyperlink" Id="rId67" Target="https://doi.org/10.1093/beheco/arh084" TargetMode="External" /><Relationship Type="http://schemas.openxmlformats.org/officeDocument/2006/relationships/hyperlink" Id="rId74" Target="https://doi.org/10.1098/rspb.1979.0081" TargetMode="External" /><Relationship Type="http://schemas.openxmlformats.org/officeDocument/2006/relationships/hyperlink" Id="rId129" Target="https://doi.org/10.1111/1365-2656.13213" TargetMode="External" /><Relationship Type="http://schemas.openxmlformats.org/officeDocument/2006/relationships/hyperlink" Id="rId71" Target="https://doi.org/10.1111/brv.12087" TargetMode="External" /><Relationship Type="http://schemas.openxmlformats.org/officeDocument/2006/relationships/hyperlink" Id="rId62" Target="https://doi.org/10.1111/j.1365-2427.1993.tb00747.x" TargetMode="External" /><Relationship Type="http://schemas.openxmlformats.org/officeDocument/2006/relationships/hyperlink" Id="rId115" Target="https://doi.org/10.1111/j.1365-2427.2005.01438.x" TargetMode="External" /><Relationship Type="http://schemas.openxmlformats.org/officeDocument/2006/relationships/hyperlink" Id="rId88" Target="https://doi.org/10.1111/j.1365-2427.2011.02595.x" TargetMode="External" /><Relationship Type="http://schemas.openxmlformats.org/officeDocument/2006/relationships/hyperlink" Id="rId131" Target="https://doi.org/10.1111/j.1600-0706.2009.18039.x" TargetMode="External" /><Relationship Type="http://schemas.openxmlformats.org/officeDocument/2006/relationships/hyperlink" Id="rId143" Target="https://doi.org/10.1139/cjz-2019-0089" TargetMode="External" /><Relationship Type="http://schemas.openxmlformats.org/officeDocument/2006/relationships/hyperlink" Id="rId107" Target="https://doi.org/10.1139/z90-092" TargetMode="External" /><Relationship Type="http://schemas.openxmlformats.org/officeDocument/2006/relationships/hyperlink" Id="rId53" Target="https://doi.org/10.1146/annurev.ecolsys.31.1.79" TargetMode="External" /><Relationship Type="http://schemas.openxmlformats.org/officeDocument/2006/relationships/hyperlink" Id="rId60" Target="https://doi.org/10.1163/1568539x-00003501" TargetMode="External" /><Relationship Type="http://schemas.openxmlformats.org/officeDocument/2006/relationships/hyperlink" Id="rId55" Target="https://doi.org/10.1371/journal.pone.0340001" TargetMode="External" /><Relationship Type="http://schemas.openxmlformats.org/officeDocument/2006/relationships/hyperlink" Id="rId57" Target="https://doi.org/10.1674/0003-0031(2007)158[85:daieoc]2.0.co;2" TargetMode="External" /><Relationship Type="http://schemas.openxmlformats.org/officeDocument/2006/relationships/hyperlink" Id="rId141" Target="https://doi.org/10.1890/02-0618" TargetMode="External" /><Relationship Type="http://schemas.openxmlformats.org/officeDocument/2006/relationships/hyperlink" Id="rId119" Target="https://doi.org/10.1890/04-0719" TargetMode="External" /><Relationship Type="http://schemas.openxmlformats.org/officeDocument/2006/relationships/hyperlink" Id="rId139" Target="https://doi.org/10.2307/1936188" TargetMode="External" /><Relationship Type="http://schemas.openxmlformats.org/officeDocument/2006/relationships/hyperlink" Id="rId65" Target="https://doi.org/10.32614/rj-2017-066" TargetMode="External" /><Relationship Type="http://schemas.openxmlformats.org/officeDocument/2006/relationships/hyperlink" Id="rId149" Target="https://doi.org/10.3390/ani14081147" TargetMode="External" /><Relationship Type="http://schemas.openxmlformats.org/officeDocument/2006/relationships/hyperlink" Id="rId103" Target="https://doi.org/10.5194/we-25-221-2025" TargetMode="External" /><Relationship Type="http://schemas.openxmlformats.org/officeDocument/2006/relationships/hyperlink" Id="rId111" Target="https://doi.org/10.7717/peerj.665" TargetMode="External" /><Relationship Type="http://schemas.openxmlformats.org/officeDocument/2006/relationships/hyperlink" Id="rId125" Target="https://teara.govt.nz/en/eels" TargetMode="External" /><Relationship Type="http://schemas.openxmlformats.org/officeDocument/2006/relationships/hyperlink" Id="rId12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hdl.handle.net/10179/1168" TargetMode="External" /><Relationship Type="http://schemas.openxmlformats.org/officeDocument/2006/relationships/hyperlink" Id="rId38" Target="https://OlivierRaven.github.io/https---github.com-OlivierRaven-NCE_Koura_catfish/analysis-preview.html#cell-fig-emmeans-plot" TargetMode="External" /><Relationship Type="http://schemas.openxmlformats.org/officeDocument/2006/relationships/hyperlink" Id="rId43" Target="https://OlivierRaven.github.io/https---github.com-OlivierRaven-NCE_Koura_catfish/analysis-preview.html#cell-fig-feeding-plot" TargetMode="External" /><Relationship Type="http://schemas.openxmlformats.org/officeDocument/2006/relationships/hyperlink" Id="rId33" Target="https://OlivierRaven.github.io/https---github.com-OlivierRaven-NCE_Koura_catfish/analysis-preview.html#cell-fig-refuge-plot" TargetMode="External" /><Relationship Type="http://schemas.openxmlformats.org/officeDocument/2006/relationships/hyperlink" Id="rId46" Target="https://OlivierRaven.github.io/https---github.com-OlivierRaven-NCE_Koura_catfish/analysis-preview.html#cell-tbl-s1-refuge-prop" TargetMode="External" /><Relationship Type="http://schemas.openxmlformats.org/officeDocument/2006/relationships/hyperlink" Id="rId48" Target="https://OlivierRaven.github.io/https---github.com-OlivierRaven-NCE_Koura_catfish/analysis-preview.html#cell-tbl-s2-fixed-effects" TargetMode="External" /><Relationship Type="http://schemas.openxmlformats.org/officeDocument/2006/relationships/hyperlink" Id="rId50" Target="https://OlivierRaven.github.io/https---github.com-OlivierRaven-NCE_Koura_catfish/analysis-preview.html#cell-tbl-s3-emmeans" TargetMode="External" /><Relationship Type="http://schemas.openxmlformats.org/officeDocument/2006/relationships/hyperlink" Id="rId52" Target="https://OlivierRaven.github.io/https---github.com-OlivierRaven-NCE_Koura_catfish/analysis-preview.html#cell-tbl-s4-feeding-anova" TargetMode="External" /><Relationship Type="http://schemas.openxmlformats.org/officeDocument/2006/relationships/hyperlink" Id="rId113" Target="https://agris.fao.org/search/en/providers/122621/records/6473966cce9437aa76003d0e" TargetMode="External" /><Relationship Type="http://schemas.openxmlformats.org/officeDocument/2006/relationships/hyperlink" Id="rId76" Target="https://atlas.boprc.govt.nz/api/v1/edms/document/A3591759/content" TargetMode="External" /><Relationship Type="http://schemas.openxmlformats.org/officeDocument/2006/relationships/hyperlink" Id="rId90" Target="https://cran.r-project.org/web/packages/DHARMa/index.html" TargetMode="External" /><Relationship Type="http://schemas.openxmlformats.org/officeDocument/2006/relationships/hyperlink" Id="rId105" Target="https://cran.r-project.org/web/packages/emmeans/index.html" TargetMode="External" /><Relationship Type="http://schemas.openxmlformats.org/officeDocument/2006/relationships/hyperlink" Id="rId145" Target="https://doi.org/10.1002/ecs2.3188" TargetMode="External" /><Relationship Type="http://schemas.openxmlformats.org/officeDocument/2006/relationships/hyperlink" Id="rId135" Target="https://doi.org/10.1007/s10530-007-9166-1" TargetMode="External" /><Relationship Type="http://schemas.openxmlformats.org/officeDocument/2006/relationships/hyperlink" Id="rId98" Target="https://doi.org/10.1007/s10530-016-1268-1" TargetMode="External" /><Relationship Type="http://schemas.openxmlformats.org/officeDocument/2006/relationships/hyperlink" Id="rId96" Target="https://doi.org/10.1007/s10750-013-1708-1" TargetMode="External" /><Relationship Type="http://schemas.openxmlformats.org/officeDocument/2006/relationships/hyperlink" Id="rId133" Target="https://doi.org/10.1016/j.tree.2022.11.001" TargetMode="External" /><Relationship Type="http://schemas.openxmlformats.org/officeDocument/2006/relationships/hyperlink" Id="rId117" Target="https://doi.org/10.1046/j.1365-2427.2001.00702.x" TargetMode="External" /><Relationship Type="http://schemas.openxmlformats.org/officeDocument/2006/relationships/hyperlink" Id="rId92" Target="https://doi.org/10.1046/j.1439-0310.2003.00902.x" TargetMode="External" /><Relationship Type="http://schemas.openxmlformats.org/officeDocument/2006/relationships/hyperlink" Id="rId86" Target="https://doi.org/10.1046/j.1523-1739.1996.10041155.x" TargetMode="External" /><Relationship Type="http://schemas.openxmlformats.org/officeDocument/2006/relationships/hyperlink" Id="rId109" Target="https://doi.org/10.1051/kmae/2025022" TargetMode="External" /><Relationship Type="http://schemas.openxmlformats.org/officeDocument/2006/relationships/hyperlink" Id="rId79" Target="https://doi.org/10.1073/pnas.1602480113" TargetMode="External" /><Relationship Type="http://schemas.openxmlformats.org/officeDocument/2006/relationships/hyperlink" Id="rId94" Target="https://doi.org/10.1080/00288330.1997.9516796" TargetMode="External" /><Relationship Type="http://schemas.openxmlformats.org/officeDocument/2006/relationships/hyperlink" Id="rId101" Target="https://doi.org/10.1080/00288330909510036" TargetMode="External" /><Relationship Type="http://schemas.openxmlformats.org/officeDocument/2006/relationships/hyperlink" Id="rId147" Target="https://doi.org/10.1080/03949370.2010.505580" TargetMode="External" /><Relationship Type="http://schemas.openxmlformats.org/officeDocument/2006/relationships/hyperlink" Id="rId83" Target="https://doi.org/10.1080/10236240500376477" TargetMode="External" /><Relationship Type="http://schemas.openxmlformats.org/officeDocument/2006/relationships/hyperlink" Id="rId137" Target="https://doi.org/10.1080/10236244.2010.487301" TargetMode="External" /><Relationship Type="http://schemas.openxmlformats.org/officeDocument/2006/relationships/hyperlink" Id="rId123" Target="https://doi.org/10.1080/10236244.2020.1717338" TargetMode="External" /><Relationship Type="http://schemas.openxmlformats.org/officeDocument/2006/relationships/hyperlink" Id="rId81" Target="https://doi.org/10.1086/702252" TargetMode="External" /><Relationship Type="http://schemas.openxmlformats.org/officeDocument/2006/relationships/hyperlink" Id="rId67" Target="https://doi.org/10.1093/beheco/arh084" TargetMode="External" /><Relationship Type="http://schemas.openxmlformats.org/officeDocument/2006/relationships/hyperlink" Id="rId74" Target="https://doi.org/10.1098/rspb.1979.0081" TargetMode="External" /><Relationship Type="http://schemas.openxmlformats.org/officeDocument/2006/relationships/hyperlink" Id="rId129" Target="https://doi.org/10.1111/1365-2656.13213" TargetMode="External" /><Relationship Type="http://schemas.openxmlformats.org/officeDocument/2006/relationships/hyperlink" Id="rId71" Target="https://doi.org/10.1111/brv.12087" TargetMode="External" /><Relationship Type="http://schemas.openxmlformats.org/officeDocument/2006/relationships/hyperlink" Id="rId62" Target="https://doi.org/10.1111/j.1365-2427.1993.tb00747.x" TargetMode="External" /><Relationship Type="http://schemas.openxmlformats.org/officeDocument/2006/relationships/hyperlink" Id="rId115" Target="https://doi.org/10.1111/j.1365-2427.2005.01438.x" TargetMode="External" /><Relationship Type="http://schemas.openxmlformats.org/officeDocument/2006/relationships/hyperlink" Id="rId88" Target="https://doi.org/10.1111/j.1365-2427.2011.02595.x" TargetMode="External" /><Relationship Type="http://schemas.openxmlformats.org/officeDocument/2006/relationships/hyperlink" Id="rId131" Target="https://doi.org/10.1111/j.1600-0706.2009.18039.x" TargetMode="External" /><Relationship Type="http://schemas.openxmlformats.org/officeDocument/2006/relationships/hyperlink" Id="rId143" Target="https://doi.org/10.1139/cjz-2019-0089" TargetMode="External" /><Relationship Type="http://schemas.openxmlformats.org/officeDocument/2006/relationships/hyperlink" Id="rId107" Target="https://doi.org/10.1139/z90-092" TargetMode="External" /><Relationship Type="http://schemas.openxmlformats.org/officeDocument/2006/relationships/hyperlink" Id="rId53" Target="https://doi.org/10.1146/annurev.ecolsys.31.1.79" TargetMode="External" /><Relationship Type="http://schemas.openxmlformats.org/officeDocument/2006/relationships/hyperlink" Id="rId60" Target="https://doi.org/10.1163/1568539x-00003501" TargetMode="External" /><Relationship Type="http://schemas.openxmlformats.org/officeDocument/2006/relationships/hyperlink" Id="rId55" Target="https://doi.org/10.1371/journal.pone.0340001" TargetMode="External" /><Relationship Type="http://schemas.openxmlformats.org/officeDocument/2006/relationships/hyperlink" Id="rId57" Target="https://doi.org/10.1674/0003-0031(2007)158[85:daieoc]2.0.co;2" TargetMode="External" /><Relationship Type="http://schemas.openxmlformats.org/officeDocument/2006/relationships/hyperlink" Id="rId141" Target="https://doi.org/10.1890/02-0618" TargetMode="External" /><Relationship Type="http://schemas.openxmlformats.org/officeDocument/2006/relationships/hyperlink" Id="rId119" Target="https://doi.org/10.1890/04-0719" TargetMode="External" /><Relationship Type="http://schemas.openxmlformats.org/officeDocument/2006/relationships/hyperlink" Id="rId139" Target="https://doi.org/10.2307/1936188" TargetMode="External" /><Relationship Type="http://schemas.openxmlformats.org/officeDocument/2006/relationships/hyperlink" Id="rId65" Target="https://doi.org/10.32614/rj-2017-066" TargetMode="External" /><Relationship Type="http://schemas.openxmlformats.org/officeDocument/2006/relationships/hyperlink" Id="rId149" Target="https://doi.org/10.3390/ani14081147" TargetMode="External" /><Relationship Type="http://schemas.openxmlformats.org/officeDocument/2006/relationships/hyperlink" Id="rId103" Target="https://doi.org/10.5194/we-25-221-2025" TargetMode="External" /><Relationship Type="http://schemas.openxmlformats.org/officeDocument/2006/relationships/hyperlink" Id="rId111" Target="https://doi.org/10.7717/peerj.665" TargetMode="External" /><Relationship Type="http://schemas.openxmlformats.org/officeDocument/2006/relationships/hyperlink" Id="rId125" Target="https://teara.govt.nz/en/eels" TargetMode="External" /><Relationship Type="http://schemas.openxmlformats.org/officeDocument/2006/relationships/hyperlink" Id="rId12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co-evolved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2026-04-16T21:22:38Z</dcterms:created>
  <dcterms:modified xsi:type="dcterms:W3CDTF">2026-04-16T21:22:38Z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 two predators induced different changes in kōura refuge-seeking and feeding behaviour. In a mesocosm habitat experiment, predator presence produced a NCE on refuge use, with kōura exposed to catfish cues showing significantly greater refuge-seeking behaviour than those exposed to eel cues. This is consistent with a generalised overcautious fear response triggered by unfamiliar predator cues rather than classic prey naivety. Neither predator treatment differed significantly from the control, however the catfish–eel contrast was robust and biologically meaningful. In the kōura feeding experiment, exposure to catfish and eel kairomones had no clear effect on feeding rate. Our study indicates catfish incursions may provoke a greater NCE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2026-04-17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