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co-evolved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2026-05-04</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9"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 [Sih2010; Carthey2014].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Freshwater crayfish often live in turbid flowing water or in the dark depths of lakes where they rely primarily on chemical cues (kairomones) rather than visual cues to detect and respond to predatory fish</w:t>
      </w:r>
      <w:r>
        <w:t xml:space="preserve"> </w:t>
      </w:r>
      <w:r>
        <w:t xml:space="preserve">(Blake &amp; Hart, 1993; Brönmark &amp; Hansson, 2012; Wood &amp; Moore, 2020b)</w:t>
      </w:r>
      <w:r>
        <w:t xml:space="preserve">. These kairomones carry signals via excreta, mucus, or skin, that crayfish use to assess predator risk, responding more strongly to predators that have consumed conspecifics and to alarm cues released when prey is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taonga (‘culturally treasured’) species for Māori, the indigenous people of Aotearoa and is valued as a food resource</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Reflecting this history, kōura respond more strongly to eel kairomones than to those of introduced non-native brown trout (</w:t>
      </w:r>
      <w:r>
        <w:rPr>
          <w:i/>
          <w:iCs/>
        </w:rPr>
        <w:t xml:space="preserve">Salmo trutta</w:t>
      </w:r>
      <w:r>
        <w:t xml:space="preserve">), even when sourced from streams where both predators were present, suggesting that co-evolutionary history, rather than individual experience alone, shaped kōura predator recognition</w:t>
      </w:r>
      <w:r>
        <w:t xml:space="preserve"> </w:t>
      </w:r>
      <w:r>
        <w:t xml:space="preserve">(Shave et al., 1994)</w:t>
      </w:r>
      <w:r>
        <w:t xml:space="preserve">. One of the invasive species that threatens kōura is the non-native brown bullhead catfish (</w:t>
      </w:r>
      <w:r>
        <w:rPr>
          <w:i/>
          <w:iCs/>
        </w:rPr>
        <w:t xml:space="preserve">Ameiurus nebulosus</w:t>
      </w:r>
      <w:r>
        <w:t xml:space="preserve">) (hereafter catfish) which was introduced to Aotearoa in 1877 and has since spread through many waterways on the North Island</w:t>
      </w:r>
      <w:r>
        <w:t xml:space="preserve"> </w:t>
      </w:r>
      <w:r>
        <w:t xml:space="preserve">(Barnes &amp; Hicks, 2003; Dedual, 2019; McDowall, 1990)</w:t>
      </w:r>
      <w:r>
        <w:t xml:space="preserve">. For example, a decade ago catfish were confirmed present in two large volcanic lakes, Lakes Rotoiti and Rotorua in the Bay of Plenty region, which also contain kōura</w:t>
      </w:r>
      <w:r>
        <w:t xml:space="preserve"> </w:t>
      </w:r>
      <w:r>
        <w:t xml:space="preserve">(Lee et al., 2025)</w:t>
      </w:r>
      <w:r>
        <w:t xml:space="preserve">. The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In Aotearoa, which originally has no native fish remotely similar to a catfish the recent and ongoing spread of catfish into North Island waterways represents a truly novel predation threat to which kōura may lack adequate behavioural or sensory adaptations.</w:t>
      </w:r>
    </w:p>
    <w:p>
      <w:pPr>
        <w:pStyle w:val="BodyText"/>
      </w:pPr>
      <w:r>
        <w:t xml:space="preserve">In this study, controlled laboratory experiments were used to test whether novel vs native predator presence and associated chemical cues induced changes in NCEs (refuge-seeking and feeding behaviour) by kōura. Our experiments were designed to test which of two competing hypotheses best describes kōura behavioural responses to native and invasive predator cues. 1. Kōura would show more shelter-seeking behaviour when presented with eels compared to catfish, due to naivety of the kōura towards a novel predator such as catfish</w:t>
      </w:r>
      <w:r>
        <w:t xml:space="preserve"> </w:t>
      </w:r>
      <w:r>
        <w:t xml:space="preserve">(Carthey &amp; Banks, 2014)</w:t>
      </w:r>
      <w:r>
        <w:t xml:space="preserve">. Or 2, kōura would respond more strongly to unfamiliar catfish cues than to the co-evolved eel, consistent with a generalised fear response to a novel predator type</w:t>
      </w:r>
      <w:r>
        <w:t xml:space="preserve"> </w:t>
      </w:r>
      <w:r>
        <w:t xml:space="preserve">(Sih et al., 2023)</w:t>
      </w:r>
      <w:r>
        <w:t xml:space="preserve">. Further, we expected that light regime would have an influence on shelter seeking behaviour of kōura, which like many crayfish, are most active nocturnally</w:t>
      </w:r>
      <w:r>
        <w:t xml:space="preserve"> </w:t>
      </w:r>
      <w:r>
        <w:t xml:space="preserve">(Devcich, 1979; Johnson et al., 2014)</w:t>
      </w:r>
      <w:r>
        <w:t xml:space="preserve">. We also predicted that kōura feeding would be more inhibited when exposed to eel kairomones than to those of the catfish, reflecting the same co-evolutionary recognition expected to drive greater refuge use in response to eels. The overall aim of the refuge and feeding behaviour studies were to contribute to understanding the behavioural mechanisms underlying kōura vulnerability to invasive catfish and how these may differ from and be additional to, those already manifested in the presence of native predators such as eels.</w:t>
      </w:r>
    </w:p>
    <w:bookmarkEnd w:id="9"/>
    <w:bookmarkStart w:id="13" w:name="materials-and-methods"/>
    <w:p>
      <w:pPr>
        <w:pStyle w:val="Heading1"/>
      </w:pPr>
      <w:r>
        <w:t xml:space="preserve">Materials and Methods</w:t>
      </w:r>
    </w:p>
    <w:bookmarkStart w:id="10"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(Blue Lake)) in the Rotorua Te Awara Lakes area, Bay of Plenty region of the North Island. Eels are present in most of the rivers and lakes of Aotearoa (McDowall 1990) and may be present in both lakes, but scarce.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treasured) species, permission had to be sought from relevant iwi (Māori tribal unit), as well as relevant government. All experimental procedures were conducted under University of Waikato animal ethics committee approval (protocol number: 1232; see Ethical Approval section).</w:t>
      </w:r>
    </w:p>
    <w:bookmarkEnd w:id="10"/>
    <w:bookmarkStart w:id="11"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1-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compressed intervals around 60–65 minutes and 240–245 minutes were designed to capture immediate behavioural responses at the point of predator introduction and removal respectively.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our of total observations per period used as the response variable. Treatment (catfish, eel, control), light condition (light, dark), and period (before, during, after) were included as fixed effects. A beta-binomial distribution was used to account for overdispersion in the binomial proportion data. Nine candidate models were compared, differing in fixed effect structure (main effects only, two-way interactions, and full three-way interaction) and random effects inclusion (no random effects, tank identity, and tank plus experimental round as random intercepts), using the corrected Akaike Information Criterion (AICc), appropriate given the ratio of sample size to estimated parameters (n/k &lt; 40;</w:t>
      </w:r>
      <w:r>
        <w:t xml:space="preserve"> </w:t>
      </w:r>
      <w:r>
        <w:t xml:space="preserve">Burnham &amp; Anderson (2002)</w:t>
      </w:r>
      <w:r>
        <w:t xml:space="preserve">). The best-supported model included treatment, light condition, and period as fixed effects with no random intercept, indicating that variance among tanks and rounds did not improve model fit beyond the fixed effect’s structure.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were also used to investigate potential relationships between kōura body size (OCL) and overall refuge use (all time intervals combined) in the three treatments.</w:t>
      </w:r>
    </w:p>
    <w:bookmarkEnd w:id="11"/>
    <w:bookmarkStart w:id="12"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Trial experiments showed these pellets remained intact for over 24 hours in tap water. In three rounds, a total of 46 male kōura were measured and weighed. Their mean (± SD) OCL was 27.93 mm (± 4.80), with a range of 20.48 to 40.88 mm, and the mean (± SD) wet weight of 15.83 g (± 8.99), ranging from 6.00 to 42.00 g. Each kōura was then placed individually in a tank. For each round kōura were starved for different periods (either 0, 3 or 4 days) prior to the feeding experiment to also investigate how starvation period influenced feeding motivation.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 Kōura feeding rate was analysed using a linear model with pellets consumed per gram wet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2"/>
    <w:bookmarkEnd w:id="13"/>
    <w:bookmarkStart w:id="16" w:name="results"/>
    <w:p>
      <w:pPr>
        <w:pStyle w:val="Heading1"/>
      </w:pPr>
      <w:r>
        <w:t xml:space="preserve">Results</w:t>
      </w:r>
    </w:p>
    <w:bookmarkStart w:id="14"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2-emmeans-plot">
        <w:r>
          <w:rPr>
            <w:rStyle w:val="Hyperlink"/>
          </w:rPr>
          <w:t xml:space="preserve">Figure 2</w:t>
        </w:r>
      </w:hyperlink>
      <w:r>
        <w:t xml:space="preserve">,</w:t>
      </w:r>
      <w:r>
        <w:t xml:space="preserve"> </w:t>
      </w:r>
      <w:hyperlink w:anchor="tbl-s1-refuge-prop">
        <w:r>
          <w:rPr>
            <w:rStyle w:val="Hyperlink"/>
          </w:rPr>
          <w:t xml:space="preserve">Table 3</w:t>
        </w:r>
      </w:hyperlink>
      <w:r>
        <w:t xml:space="preserve">). A beta-binomial GLMM without a random intercept was the best-supported model based on the lowest AICc (</w:t>
      </w:r>
      <w:hyperlink w:anchor="tbl-1-fixed-effects">
        <w:r>
          <w:rPr>
            <w:rStyle w:val="Hyperlink"/>
          </w:rPr>
          <w:t xml:space="preserve">Table 1</w:t>
        </w:r>
      </w:hyperlink>
      <w:r>
        <w:t xml:space="preserve">). Refuge use by kōura was consistently higher when exposed to catfish than eel (</w:t>
      </w:r>
      <w:r>
        <w:rPr>
          <w:i/>
          <w:iCs/>
        </w:rPr>
        <w:t xml:space="preserve">p</w:t>
      </w:r>
      <w:r>
        <w:t xml:space="preserve"> </w:t>
      </w:r>
      <w:r>
        <w:t xml:space="preserve">= 0.01,</w:t>
      </w:r>
      <w:r>
        <w:t xml:space="preserve"> </w:t>
      </w:r>
      <w:hyperlink w:anchor="fig-2-emmeans-plot">
        <w:r>
          <w:rPr>
            <w:rStyle w:val="Hyperlink"/>
          </w:rPr>
          <w:t xml:space="preserve">Figure 2</w:t>
        </w:r>
      </w:hyperlink>
      <w:r>
        <w:t xml:space="preserve">,</w:t>
      </w:r>
      <w:r>
        <w:t xml:space="preserve"> </w:t>
      </w:r>
      <w:hyperlink w:anchor="tbl-2-emmeans">
        <w:r>
          <w:rPr>
            <w:rStyle w:val="Hyperlink"/>
          </w:rPr>
          <w:t xml:space="preserve">Table 2</w:t>
        </w:r>
      </w:hyperlink>
      <w:r>
        <w:t xml:space="preserve">). However, there were no significant differences in kōura refuge use between either fish treatment and the control (both</w:t>
      </w:r>
      <w:r>
        <w:t xml:space="preserve"> </w:t>
      </w:r>
      <w:r>
        <w:rPr>
          <w:i/>
          <w:iCs/>
        </w:rPr>
        <w:t xml:space="preserve">p</w:t>
      </w:r>
      <w:r>
        <w:t xml:space="preserve"> </w:t>
      </w:r>
      <w:r>
        <w:t xml:space="preserve">= for catfish and control and eel and control;</w:t>
      </w:r>
      <w:r>
        <w:t xml:space="preserve"> </w:t>
      </w:r>
      <w:hyperlink w:anchor="fig-2-emmeans-plot">
        <w:r>
          <w:rPr>
            <w:rStyle w:val="Hyperlink"/>
          </w:rPr>
          <w:t xml:space="preserve">Figure 2</w:t>
        </w:r>
      </w:hyperlink>
      <w:r>
        <w:t xml:space="preserve">). Under light conditions, the pattern of refuge use in the control treatment was more similar to the catfish treatment, whereas under dark conditions it more resembled the eel treatment (</w:t>
      </w:r>
      <w:hyperlink w:anchor="fig-3-refuge-plot">
        <w:r>
          <w:rPr>
            <w:rStyle w:val="Hyperlink"/>
          </w:rPr>
          <w:t xml:space="preserve">Figure 3</w:t>
        </w:r>
      </w:hyperlink>
      <w:r>
        <w:t xml:space="preserve">). Light regime had a significant effect on refuge use (</w:t>
      </w:r>
      <w:r>
        <w:rPr>
          <w:i/>
          <w:iCs/>
        </w:rPr>
        <w:t xml:space="preserve">p</w:t>
      </w:r>
      <w:r>
        <w:t xml:space="preserve"> </w:t>
      </w:r>
      <w:r>
        <w:t xml:space="preserve">= ), with greater refuge use under light compared to dark conditions (</w:t>
      </w:r>
      <w:hyperlink w:anchor="fig-2-emmeans-plot">
        <w:r>
          <w:rPr>
            <w:rStyle w:val="Hyperlink"/>
          </w:rPr>
          <w:t xml:space="preserve">Figure 2</w:t>
        </w:r>
      </w:hyperlink>
      <w:r>
        <w:t xml:space="preserve"> </w:t>
      </w:r>
      <w:r>
        <w:t xml:space="preserve">and</w:t>
      </w:r>
      <w:r>
        <w:t xml:space="preserve"> </w:t>
      </w:r>
      <w:hyperlink w:anchor="fig-3-refuge-plot">
        <w:r>
          <w:rPr>
            <w:rStyle w:val="Hyperlink"/>
          </w:rPr>
          <w:t xml:space="preserve">Figure 3</w:t>
        </w:r>
      </w:hyperlink>
      <w:r>
        <w:t xml:space="preserve">). Regarding experimental periods, refuge use was significantly lower in the period just before fish were introduced (or first 30-second mechanical disturbance initiated) compared to period just after the fish had been removed (or second mechanical disturbance ceased) (</w:t>
      </w:r>
      <w:r>
        <w:rPr>
          <w:i/>
          <w:iCs/>
        </w:rPr>
        <w:t xml:space="preserve">p</w:t>
      </w:r>
      <w:r>
        <w:t xml:space="preserve"> </w:t>
      </w:r>
      <w:r>
        <w:t xml:space="preserve">= 0.007;</w:t>
      </w:r>
      <w:r>
        <w:t xml:space="preserve"> </w:t>
      </w:r>
      <w:hyperlink w:anchor="fig-2-emmeans-plot">
        <w:r>
          <w:rPr>
            <w:rStyle w:val="Hyperlink"/>
          </w:rPr>
          <w:t xml:space="preserve">Figure 2</w:t>
        </w:r>
      </w:hyperlink>
      <w:r>
        <w:t xml:space="preserve"> </w:t>
      </w:r>
      <w:r>
        <w:t xml:space="preserve">and</w:t>
      </w:r>
      <w:r>
        <w:t xml:space="preserve"> </w:t>
      </w:r>
      <w:hyperlink w:anchor="fig-3-refuge-plot">
        <w:r>
          <w:rPr>
            <w:rStyle w:val="Hyperlink"/>
          </w:rPr>
          <w:t xml:space="preserve">Figure 3</w:t>
        </w:r>
      </w:hyperlink>
      <w:r>
        <w:t xml:space="preserve">). No significant differences were found between the before and during periods, or between the during and after periods. There was also no relationship between kōura OCL and refuge use in any of the three treatments (rs = -0.09, 0.09 and 0.17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w:t>
      </w:r>
      <w:r>
        <w:t xml:space="preserve"> </w:t>
      </w:r>
      <w:hyperlink w:anchor="fig-3-refuge-plot">
        <w:r>
          <w:rPr>
            <w:rStyle w:val="Hyperlink"/>
          </w:rPr>
          <w:t xml:space="preserve">Figure 3</w:t>
        </w:r>
      </w:hyperlink>
      <w:r>
        <w:t xml:space="preserve">).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bookmarkEnd w:id="14"/>
    <w:bookmarkStart w:id="15" w:name="feeding-experiment-1"/>
    <w:p>
      <w:pPr>
        <w:pStyle w:val="Heading2"/>
      </w:pPr>
      <w:r>
        <w:t xml:space="preserve">Feeding experiment</w:t>
      </w:r>
    </w:p>
    <w:p>
      <w:pPr>
        <w:pStyle w:val="FirstParagraph"/>
      </w:pPr>
      <w:r>
        <w:t xml:space="preserve">While the linear model showed starvation period had a significant effect on feeding rate (</w:t>
      </w:r>
      <w:r>
        <w:rPr>
          <w:i/>
          <w:iCs/>
        </w:rPr>
        <w:t xml:space="preserve">p</w:t>
      </w:r>
      <w:r>
        <w:t xml:space="preserve"> </w:t>
      </w:r>
      <w:r>
        <w:t xml:space="preserve">= 7</w:t>
      </w:r>
      <w:r>
        <w:t xml:space="preserve">^{-4},</w:t>
      </w:r>
      <w:r>
        <w:t xml:space="preserve"> </w:t>
      </w:r>
      <w:hyperlink w:anchor="fig-4-feeding-plot">
        <w:r>
          <w:rPr>
            <w:rStyle w:val="Hyperlink"/>
          </w:rPr>
          <w:t xml:space="preserve">Figure 4</w:t>
        </w:r>
      </w:hyperlink>
      <w:r>
        <w:t xml:space="preserve">;</w:t>
      </w:r>
      <w:r>
        <w:t xml:space="preserve"> </w:t>
      </w:r>
      <w:hyperlink w:anchor="tbl-s2-feeding-anova">
        <w:r>
          <w:rPr>
            <w:rStyle w:val="Hyperlink"/>
          </w:rPr>
          <w:t xml:space="preserve">Table 4</w:t>
        </w:r>
      </w:hyperlink>
      <w:r>
        <w:t xml:space="preserve">), there was no significant difference in feeding rate between catfish, eel, and control treatments (</w:t>
      </w:r>
      <w:r>
        <w:rPr>
          <w:i/>
          <w:iCs/>
        </w:rPr>
        <w:t xml:space="preserve">p</w:t>
      </w:r>
      <w:r>
        <w:t xml:space="preserve"> </w:t>
      </w:r>
      <w:r>
        <w:t xml:space="preserve">= 0.332). After 4 days starvation, the mean (±SE) kōura feeding rate (pellets g WW⁻¹) for the control was over two and a half times that of the catfish and eel treatments (0.148 ± 0.05 pellets g WW⁻¹ compared to 0.059 ± 0.017 and 0.052 ± 0.028 pellets g WW⁻¹ respectively).</w:t>
      </w:r>
    </w:p>
    <w:bookmarkEnd w:id="15"/>
    <w:bookmarkEnd w:id="16"/>
    <w:bookmarkStart w:id="20" w:name="discussion"/>
    <w:p>
      <w:pPr>
        <w:pStyle w:val="Heading1"/>
      </w:pPr>
      <w:r>
        <w:t xml:space="preserve">Discussion</w:t>
      </w:r>
    </w:p>
    <w:p>
      <w:pPr>
        <w:pStyle w:val="FirstParagraph"/>
      </w:pPr>
      <w:r>
        <w:t xml:space="preserve">Prey modify their behaviour in response to predation risk, creating a ‘landscape’ of fear that affects foraging, movement, and habitat use independently of actual predation events</w:t>
      </w:r>
      <w:r>
        <w:t xml:space="preserve"> </w:t>
      </w:r>
      <w:r>
        <w:t xml:space="preserve">(Laundré et al., 2001)</w:t>
      </w:r>
      <w:r>
        <w:t xml:space="preserve">. However, until relatively recently, most ecological models still assumed that predator and prey populations interacted solely through predator-prey densities by killing and consuming prey despite it being evident that by forcing prey to adopt energetically costly defensive strategies, predators can also reduce prey densities through NCEs</w:t>
      </w:r>
      <w:r>
        <w:t xml:space="preserve"> </w:t>
      </w:r>
      <w:r>
        <w:t xml:space="preserve">(Preisser &amp; Bolnick, 2008)</w:t>
      </w:r>
      <w:r>
        <w:t xml:space="preserve"> </w:t>
      </w:r>
      <w:r>
        <w:t xml:space="preserve">Our study joins a number of recent studies (ie.,</w:t>
      </w:r>
      <w:r>
        <w:t xml:space="preserve"> </w:t>
      </w:r>
      <w:r>
        <w:t xml:space="preserve">(Sniegula et al., 2025)</w:t>
      </w:r>
      <w:r>
        <w:t xml:space="preserve">) showing invasive predators can generate stronger NCEs on native prey than native predators, which consequently have more profound far- reaching impacts on invaded ecosystems. Our study suggests the introduction of a novel predator effectively changes the prey’s fear landscape in ways that a co-evolved predator does not. Kōura are a keystone species in Aotearoa and an ecosystem engineer and so when a predator alters kōura behaviour, this in turn could affect resources or other species through non-consumptive pathways</w:t>
      </w:r>
      <w:r>
        <w:t xml:space="preserve"> </w:t>
      </w:r>
      <w:r>
        <w:t xml:space="preserve">(Peacor &amp; Werner, 2001)</w:t>
      </w:r>
      <w:r>
        <w:t xml:space="preserve">. Such trait-mediated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always show a failure to respond but can instead produce a generalised over-response consistent with the generalisation theory</w:t>
      </w:r>
      <w:r>
        <w:t xml:space="preserve"> </w:t>
      </w:r>
      <w:r>
        <w:t xml:space="preserve">(Ehlman et al., 2019; Sih et al., 2010)</w:t>
      </w:r>
      <w:r>
        <w:t xml:space="preserve">, which is important for predicting the ecological impacts of invasive species.</w:t>
      </w:r>
    </w:p>
    <w:bookmarkStart w:id="17" w:name="refuge-use"/>
    <w:p>
      <w:pPr>
        <w:pStyle w:val="Heading2"/>
      </w:pPr>
      <w:r>
        <w:t xml:space="preserve">Refuge use</w:t>
      </w:r>
    </w:p>
    <w:p>
      <w:pPr>
        <w:pStyle w:val="FirstParagraph"/>
      </w:pPr>
      <w:r>
        <w:t xml:space="preserve">Kōura demonstrated greater refuge-seeking behaviour when exposed to the novel catfish than to native eel. This result is notable because it contradicts the classic prey naivety hypothesis, which predicts that prey fail to respond to novel predators</w:t>
      </w:r>
      <w:r>
        <w:t xml:space="preserve"> </w:t>
      </w:r>
      <w:r>
        <w:t xml:space="preserve">(Carthey &amp; Banks, 2014)</w:t>
      </w:r>
      <w:r>
        <w:t xml:space="preserve">. Over-responses to novel predators are less commonly reported but are consistent with fear generalisation theory, whereby prior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actual risk.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experimental evidence shows that shelter significantly reduces catfish predation on crayfish</w:t>
      </w:r>
      <w:r>
        <w:t xml:space="preserve"> </w:t>
      </w:r>
      <w:r>
        <w:t xml:space="preserve">(Adams, 2007; Zhao et al., 2024)</w:t>
      </w:r>
      <w:r>
        <w:t xml:space="preserve">, suggesting that enhancing or restoring habitat complexity in catfish-invaded lakes could mitigate both direct predation and fear-driven reductions in foraging, though direct field testing is needed.</w:t>
      </w:r>
    </w:p>
    <w:p>
      <w:pPr>
        <w:pStyle w:val="BodyText"/>
      </w:pPr>
      <w:r>
        <w:t xml:space="preserve">Before treatments were added, refuge use was similar across treatments but highly variable, reflecting substantial individual behavioural variation. The control treatment showed increasing refuge use over time, particularly under light conditions, which is unsurprising given that kōura are nocturnally adapted and need to remain hidden during daylight to avoid visual predators such as birds</w:t>
      </w:r>
      <w:r>
        <w:t xml:space="preserve"> </w:t>
      </w:r>
      <w:r>
        <w:t xml:space="preserve">(Devcich, 1979)</w:t>
      </w:r>
      <w:r>
        <w:t xml:space="preserve">. While neither predator treatment differed significantly from the control, this likely reflects the influence of light regime on baseline refuge use rather than a true absence of NCEs; under light conditions control refuge use approached that of the catfish treatment, while under dark conditions it more closely resembled the eel treatment, effectively inflating variance around the control mean. Despite this, the consistent pattern of catfish provoking greater refuge use than eels under both light and dark conditions supports a genuine difference in NCEs between novel and native predator exposure.</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calibrated response makes ecological sense as longfin eels are the most widely distributed fish in Aotearoa’s freshwaters</w:t>
      </w:r>
      <w:r>
        <w:t xml:space="preserve"> </w:t>
      </w:r>
      <w:r>
        <w:t xml:space="preserve">(McDowall, 1990)</w:t>
      </w:r>
      <w:r>
        <w:t xml:space="preserve">, and a kōura living in constant fear of eels would have severely limited opportunity to forage. Co-evolutionary pressure may therefore have favoured a nuanced, context-dependent response to eels rather than a blanket avoidance strategy. This pattern was most pronounced in the dark conditions, where all three treatments began similarly but changed progressively over the course of the experiment. The catfish treatment steadily increased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the reduced refuge use observed in eel-exposed kōura may not simply reflect a lack of response, but could instead represent active escape-searching behaviour, kōura moving away from an area where they perceived themselves as vulnerable in the confined tank space, rather than retreating to a refuge that may offer limited protection against a predator capable of pursuing prey into confined spaces.</w:t>
      </w:r>
    </w:p>
    <w:bookmarkEnd w:id="17"/>
    <w:bookmarkStart w:id="18" w:name="feeding"/>
    <w:p>
      <w:pPr>
        <w:pStyle w:val="Heading2"/>
      </w:pPr>
      <w:r>
        <w:t xml:space="preserve">Feeding</w:t>
      </w:r>
    </w:p>
    <w:p>
      <w:pPr>
        <w:pStyle w:val="FirstParagraph"/>
      </w:pPr>
      <w:r>
        <w:t xml:space="preserve">NCEs are not a single process but emerge from the interaction between sensory ecology and environmental context, and the absence of a kairomone effect on feeding in this study likely reflects a combination of methodological constraints rather than an absence of NCEs on foraging behaviour. 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and not replenished over 24 hours.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w:t>
      </w:r>
      <w:r>
        <w:t xml:space="preserve"> </w:t>
      </w:r>
      <w:r>
        <w:t xml:space="preserve">(Smee &amp;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18"/>
    <w:bookmarkStart w:id="19"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This study provides experimental evidence that the invasive brown bullhead catfish exerts stronger NCEs on the native freshwater crayfish kōura than the co-evolved native longfin eel. The heightened refuge-seeking response to catfish likely reflects a generalised antipredator response triggered by unfamiliar chemical and visual cues, consistent with a fear generalisation framework. In contrast, the reduced response to eels suggests that co-evolutionary experience enables kōura to make more calibrated risk assessments.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calibrated responses. Although we found no significant NCE of fish exudates on feeding behaviour, our study suggests further investigations of non-visual predator cues on kōura foraging behaviour is warranted.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19"/>
    <w:bookmarkEnd w:id="20"/>
    <w:bookmarkStart w:id="21"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21"/>
    <w:bookmarkStart w:id="22" w:name="authors-contributions"/>
    <w:p>
      <w:pPr>
        <w:pStyle w:val="Heading1"/>
      </w:pPr>
      <w:r>
        <w:t xml:space="preserve">Authors’ contributions</w:t>
      </w:r>
    </w:p>
    <w:p>
      <w:pPr>
        <w:pStyle w:val="FirstParagraph"/>
      </w:pPr>
      <w:r>
        <w:t xml:space="preserve">Study conception and design were undertaken by O.V.R, C.M. and R.H. Experiments were executed by O.V. R and C.M. Data analysis was performed by O.V.R. and F. L. Local ecological knowledge was contributed by I.A.K.K. Manuscript drafting was led by O.V.R. and C.M. All authors contributed to manuscript revision, approved the results, and the final manuscript.</w:t>
      </w:r>
    </w:p>
    <w:bookmarkEnd w:id="22"/>
    <w:bookmarkStart w:id="23"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23"/>
    <w:bookmarkStart w:id="24" w:name="declarations"/>
    <w:p>
      <w:pPr>
        <w:pStyle w:val="Heading1"/>
      </w:pPr>
      <w:r>
        <w:t xml:space="preserve">Declarations</w:t>
      </w:r>
    </w:p>
    <w:p>
      <w:pPr>
        <w:pStyle w:val="FirstParagraph"/>
      </w:pPr>
      <w:r>
        <w:t xml:space="preserve">The corresponding author has declared that none of the authors has any competing interests.</w:t>
      </w:r>
    </w:p>
    <w:bookmarkEnd w:id="24"/>
    <w:bookmarkStart w:id="25" w:name="data-availability-statement"/>
    <w:p>
      <w:pPr>
        <w:pStyle w:val="Heading1"/>
      </w:pPr>
      <w:r>
        <w:t xml:space="preserve">Data availability statement</w:t>
      </w:r>
    </w:p>
    <w:p>
      <w:pPr>
        <w:pStyle w:val="FirstParagraph"/>
      </w:pPr>
      <w:r>
        <w:t xml:space="preserve">The code and derived data supporting the findings of this study are openly available on GitHub (https://github.com/OlivierRaven/NCE_Koura_catfish)and a rendered version of the analysis is hosted at https://olivierraven.github.io/NCE_Koura_catfish/. The primary raw dataset is archived on Zenodo (https://doi.org/10.5281/zenodo.19716761). Peer review documents, including the cover letter and reviewer responses, are available in the manuscript repository in the interest of open and transparent science.</w:t>
      </w:r>
    </w:p>
    <w:bookmarkEnd w:id="25"/>
    <w:bookmarkStart w:id="3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6" w:name="tbl-1-fixed-effects"/>
          <w:p>
            <w:pPr>
              <w:jc w:val="center"/>
            </w:pPr>
            <w:pPr>
              <w:jc w:val="left"/>
              <w:spacing w:before="200"/>
              <w:pStyle w:val="ImageCaption"/>
            </w:pPr>
            <w:r>
              <w:t xml:space="preserve">Table 1: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26"/>
          <w:p/>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28" w:name="tbl-2-emmeans"/>
          <w:p>
            <w:pPr>
              <w:jc w:val="center"/>
            </w:pPr>
            <w:pPr>
              <w:jc w:val="left"/>
              <w:spacing w:before="200"/>
              <w:pStyle w:val="ImageCaption"/>
            </w:pPr>
            <w:r>
              <w:t xml:space="preserve">Table 2: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Analysis Notebook</w:t>
        </w:r>
      </w:hyperlink>
    </w:p>
    <w:bookmarkEnd w:id="30"/>
    <w:bookmarkStart w:id="5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4" w:name="fig-1-aquarium-setup"/>
          <w:p>
            <w:pPr>
              <w:pStyle w:val="Compact"/>
              <w:jc w:val="center"/>
            </w:pPr>
            <w:r>
              <w:drawing>
                <wp:inline>
                  <wp:extent cx="5727700" cy="4480989"/>
                  <wp:effectExtent b="0" l="0" r="0" t="0"/>
                  <wp:docPr descr="" title="" id="32" name="Picture"/>
                  <a:graphic>
                    <a:graphicData uri="http://schemas.openxmlformats.org/drawingml/2006/picture">
                      <pic:pic>
                        <pic:nvPicPr>
                          <pic:cNvPr descr="images/setup_combined.png" id="33" name="Picture"/>
                          <pic:cNvPicPr>
                            <a:picLocks noChangeArrowheads="1" noChangeAspect="1"/>
                          </pic:cNvPicPr>
                        </pic:nvPicPr>
                        <pic:blipFill>
                          <a:blip r:embed="rId31"/>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2-emmeans-plot"/>
          <w:p>
            <w:pPr>
              <w:pStyle w:val="Compact"/>
              <w:jc w:val="center"/>
            </w:pPr>
            <w:r>
              <w:drawing>
                <wp:inline>
                  <wp:extent cx="4595937" cy="2757562"/>
                  <wp:effectExtent b="0" l="0" r="0" t="0"/>
                  <wp:docPr descr="" title="" id="36" name="Picture"/>
                  <a:graphic>
                    <a:graphicData uri="http://schemas.openxmlformats.org/drawingml/2006/picture">
                      <pic:pic>
                        <pic:nvPicPr>
                          <pic:cNvPr descr="index_files/figure-docx/analysis-fig-2-emmeans-plot-output-1.png" id="37" name="Picture"/>
                          <pic:cNvPicPr>
                            <a:picLocks noChangeArrowheads="1" noChangeAspect="1"/>
                          </pic:cNvPicPr>
                        </pic:nvPicPr>
                        <pic:blipFill>
                          <a:blip r:embed="rId35"/>
                          <a:stretch>
                            <a:fillRect/>
                          </a:stretch>
                        </pic:blipFill>
                        <pic:spPr bwMode="auto">
                          <a:xfrm>
                            <a:off x="0" y="0"/>
                            <a:ext cx="4595937" cy="2757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multiple comparison-adjusted pairwise comparisons. The dashed line at 0.5 marks the threshold where kōura spend half their time in refuge.</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3" w:name="fig-3-refuge-plot"/>
          <w:p>
            <w:pPr>
              <w:pStyle w:val="Compact"/>
              <w:jc w:val="center"/>
            </w:pPr>
            <w:r>
              <w:drawing>
                <wp:inline>
                  <wp:extent cx="5727700" cy="3579812"/>
                  <wp:effectExtent b="0" l="0" r="0" t="0"/>
                  <wp:docPr descr="" title="" id="41" name="Picture"/>
                  <a:graphic>
                    <a:graphicData uri="http://schemas.openxmlformats.org/drawingml/2006/picture">
                      <pic:pic>
                        <pic:nvPicPr>
                          <pic:cNvPr descr="index_files/figure-docx/analysis-fig-3-refuge-plot-output-2.png" id="42" name="Picture"/>
                          <pic:cNvPicPr>
                            <a:picLocks noChangeArrowheads="1" noChangeAspect="1"/>
                          </pic:cNvPicPr>
                        </pic:nvPicPr>
                        <pic:blipFill>
                          <a:blip r:embed="rId4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8" w:name="fig-4-feeding-plot"/>
          <w:p>
            <w:pPr>
              <w:pStyle w:val="Compact"/>
              <w:jc w:val="center"/>
            </w:pPr>
            <w:r>
              <w:drawing>
                <wp:inline>
                  <wp:extent cx="4595937" cy="3676749"/>
                  <wp:effectExtent b="0" l="0" r="0" t="0"/>
                  <wp:docPr descr="" title="" id="46" name="Picture"/>
                  <a:graphic>
                    <a:graphicData uri="http://schemas.openxmlformats.org/drawingml/2006/picture">
                      <pic:pic>
                        <pic:nvPicPr>
                          <pic:cNvPr descr="index_files/figure-docx/analysis-fig-4-feeding-plot-output-2.png" id="47" name="Picture"/>
                          <pic:cNvPicPr>
                            <a:picLocks noChangeArrowheads="1" noChangeAspect="1"/>
                          </pic:cNvPicPr>
                        </pic:nvPicPr>
                        <pic:blipFill>
                          <a:blip r:embed="rId45"/>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bookmarkEnd w:id="50"/>
    <w:bookmarkStart w:id="168"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1" w:name="tbl-s1-refuge-prop"/>
          <w:p>
            <w:pPr>
              <w:jc w:val="center"/>
            </w:pPr>
            <w:pPr>
              <w:jc w:val="left"/>
              <w:spacing w:before="200"/>
              <w:pStyle w:val="ImageCaption"/>
            </w:pPr>
            <w:r>
              <w:t xml:space="preserve">Table 3: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1"/>
        </w:tc>
      </w:tr>
    </w:tbl>
    <w:p>
      <w:pPr>
        <w:pStyle w:val="FirstParagraph"/>
      </w:pPr>
      <w:r>
        <w:rPr>
          <w:vertAlign w:val="subscript"/>
        </w:rPr>
        <w:t xml:space="preserve">Source:</w:t>
      </w:r>
      <w:r>
        <w:rPr>
          <w:vertAlign w:val="subscript"/>
        </w:rPr>
        <w:t xml:space="preserve"> </w:t>
      </w:r>
      <w:hyperlink r:id="rId5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tbl-s2-feeding-anova"/>
          <w:p>
            <w:pPr>
              <w:jc w:val="center"/>
            </w:pPr>
            <w:pPr>
              <w:jc w:val="left"/>
              <w:spacing w:before="200"/>
              <w:pStyle w:val="ImageCaption"/>
            </w:pPr>
            <w:r>
              <w:t xml:space="preserve">Table 4: Type III ANOVA table for the linear model of kōura feeding rate (pellets consumed per gram body weight). Treatment and starvation period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0.014</w:t>
                  </w:r>
                </w:p>
              </w:tc>
              <w:tc>
                <w:tcPr/>
                <w:p>
                  <w:pPr>
                    <w:pStyle w:val="Compact"/>
                    <w:jc w:val="right"/>
                    <w:jc w:val="center"/>
                  </w:pPr>
                  <w:r>
                    <w:t xml:space="preserve">1</w:t>
                  </w:r>
                </w:p>
              </w:tc>
              <w:tc>
                <w:tcPr/>
                <w:p>
                  <w:pPr>
                    <w:pStyle w:val="Compact"/>
                    <w:jc w:val="right"/>
                    <w:jc w:val="center"/>
                  </w:pPr>
                  <w:r>
                    <w:t xml:space="preserve">1.734</w:t>
                  </w:r>
                </w:p>
              </w:tc>
              <w:tc>
                <w:tcPr/>
                <w:p>
                  <w:pPr>
                    <w:pStyle w:val="Compact"/>
                    <w:jc w:val="right"/>
                    <w:jc w:val="center"/>
                  </w:pPr>
                  <w:r>
                    <w:t xml:space="preserve">0.195</w:t>
                  </w:r>
                </w:p>
              </w:tc>
            </w:tr>
            <w:tr>
              <w:tc>
                <w:tcPr/>
                <w:p>
                  <w:pPr>
                    <w:pStyle w:val="Compact"/>
                    <w:jc w:val="left"/>
                    <w:jc w:val="center"/>
                  </w:pPr>
                  <w:r>
                    <w:t xml:space="preserve">treatment</w:t>
                  </w:r>
                </w:p>
              </w:tc>
              <w:tc>
                <w:tcPr/>
                <w:p>
                  <w:pPr>
                    <w:pStyle w:val="Compact"/>
                    <w:jc w:val="right"/>
                    <w:jc w:val="center"/>
                  </w:pPr>
                  <w:r>
                    <w:t xml:space="preserve">0.018</w:t>
                  </w:r>
                </w:p>
              </w:tc>
              <w:tc>
                <w:tcPr/>
                <w:p>
                  <w:pPr>
                    <w:pStyle w:val="Compact"/>
                    <w:jc w:val="right"/>
                    <w:jc w:val="center"/>
                  </w:pPr>
                  <w:r>
                    <w:t xml:space="preserve">2</w:t>
                  </w:r>
                </w:p>
              </w:tc>
              <w:tc>
                <w:tcPr/>
                <w:p>
                  <w:pPr>
                    <w:pStyle w:val="Compact"/>
                    <w:jc w:val="right"/>
                    <w:jc w:val="center"/>
                  </w:pPr>
                  <w:r>
                    <w:t xml:space="preserve">1.133</w:t>
                  </w:r>
                </w:p>
              </w:tc>
              <w:tc>
                <w:tcPr/>
                <w:p>
                  <w:pPr>
                    <w:pStyle w:val="Compact"/>
                    <w:jc w:val="right"/>
                    <w:jc w:val="center"/>
                  </w:pPr>
                  <w:r>
                    <w:t xml:space="preserve">0.332</w:t>
                  </w:r>
                </w:p>
              </w:tc>
            </w:tr>
            <w:tr>
              <w:tc>
                <w:tcPr/>
                <w:p>
                  <w:pPr>
                    <w:pStyle w:val="Compact"/>
                    <w:jc w:val="left"/>
                    <w:jc w:val="center"/>
                  </w:pPr>
                  <w:r>
                    <w:t xml:space="preserve">day_starve</w:t>
                  </w:r>
                </w:p>
              </w:tc>
              <w:tc>
                <w:tcPr/>
                <w:p>
                  <w:pPr>
                    <w:pStyle w:val="Compact"/>
                    <w:jc w:val="right"/>
                    <w:jc w:val="center"/>
                  </w:pPr>
                  <w:r>
                    <w:t xml:space="preserve">0.137</w:t>
                  </w:r>
                </w:p>
              </w:tc>
              <w:tc>
                <w:tcPr/>
                <w:p>
                  <w:pPr>
                    <w:pStyle w:val="Compact"/>
                    <w:jc w:val="right"/>
                    <w:jc w:val="center"/>
                  </w:pPr>
                  <w:r>
                    <w:t xml:space="preserve">2</w:t>
                  </w:r>
                </w:p>
              </w:tc>
              <w:tc>
                <w:tcPr/>
                <w:p>
                  <w:pPr>
                    <w:pStyle w:val="Compact"/>
                    <w:jc w:val="right"/>
                    <w:jc w:val="center"/>
                  </w:pPr>
                  <w:r>
                    <w:t xml:space="preserve">8.632</w:t>
                  </w:r>
                </w:p>
              </w:tc>
              <w:tc>
                <w:tcPr/>
                <w:p>
                  <w:pPr>
                    <w:pStyle w:val="Compact"/>
                    <w:jc w:val="right"/>
                    <w:jc w:val="center"/>
                  </w:pPr>
                  <w:r>
                    <w:t xml:space="preserve">0.001</w:t>
                  </w:r>
                </w:p>
              </w:tc>
            </w:tr>
            <w:tr>
              <w:tc>
                <w:tcPr/>
                <w:p>
                  <w:pPr>
                    <w:pStyle w:val="Compact"/>
                    <w:jc w:val="left"/>
                    <w:jc w:val="center"/>
                  </w:pPr>
                  <w:r>
                    <w:t xml:space="preserve">Residuals</w:t>
                  </w:r>
                </w:p>
              </w:tc>
              <w:tc>
                <w:tcPr/>
                <w:p>
                  <w:pPr>
                    <w:pStyle w:val="Compact"/>
                    <w:jc w:val="right"/>
                    <w:jc w:val="center"/>
                  </w:pPr>
                  <w:r>
                    <w:t xml:space="preserve">0.327</w:t>
                  </w:r>
                </w:p>
              </w:tc>
              <w:tc>
                <w:tcPr/>
                <w:p>
                  <w:pPr>
                    <w:pStyle w:val="Compact"/>
                    <w:jc w:val="right"/>
                    <w:jc w:val="center"/>
                  </w:pPr>
                  <w:r>
                    <w:t xml:space="preserve">41</w:t>
                  </w:r>
                </w:p>
              </w:tc>
              <w:tc>
                <w:tcPr/>
                <w:p>
                  <w:pPr>
                    <w:pStyle w:val="Compact"/>
                    <w:jc w:val="right"/>
                    <w:jc w:val="center"/>
                  </w:pPr>
                  <w:r>
                    <w:t xml:space="preserve">NA</w:t>
                  </w:r>
                </w:p>
              </w:tc>
              <w:tc>
                <w:tcPr/>
                <w:p>
                  <w:pPr>
                    <w:pStyle w:val="Compact"/>
                    <w:jc w:val="right"/>
                    <w:jc w:val="center"/>
                  </w:pPr>
                  <w:r>
                    <w:t xml:space="preserve">NA</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bookmarkStart w:id="167" w:name="refs"/>
    <w:bookmarkStart w:id="56"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55">
        <w:r>
          <w:rPr>
            <w:rStyle w:val="Hyperlink"/>
          </w:rPr>
          <w:t xml:space="preserve">https://doi.org/10.1146/annurev.ecolsys.31.1.79</w:t>
        </w:r>
      </w:hyperlink>
    </w:p>
    <w:bookmarkEnd w:id="56"/>
    <w:bookmarkStart w:id="58"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57">
        <w:r>
          <w:rPr>
            <w:rStyle w:val="Hyperlink"/>
          </w:rPr>
          <w:t xml:space="preserve">https://doi.org/10.1371/journal.pone.0340001</w:t>
        </w:r>
      </w:hyperlink>
    </w:p>
    <w:bookmarkEnd w:id="58"/>
    <w:bookmarkStart w:id="60"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59">
        <w:r>
          <w:rPr>
            <w:rStyle w:val="Hyperlink"/>
          </w:rPr>
          <w:t xml:space="preserve">https://doi.org/10.1674/0003-0031(2007)158[85:daieoc]2.0.co;2</w:t>
        </w:r>
      </w:hyperlink>
    </w:p>
    <w:bookmarkEnd w:id="60"/>
    <w:bookmarkStart w:id="61"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61"/>
    <w:bookmarkStart w:id="63"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62">
        <w:r>
          <w:rPr>
            <w:rStyle w:val="Hyperlink"/>
          </w:rPr>
          <w:t xml:space="preserve">https://doi.org/10.1163/1568539x-00003501</w:t>
        </w:r>
      </w:hyperlink>
    </w:p>
    <w:bookmarkEnd w:id="63"/>
    <w:bookmarkStart w:id="65"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64">
        <w:r>
          <w:rPr>
            <w:rStyle w:val="Hyperlink"/>
          </w:rPr>
          <w:t xml:space="preserve">https://doi.org/10.1111/j.1365-2427.1993.tb00747.x</w:t>
        </w:r>
      </w:hyperlink>
    </w:p>
    <w:bookmarkEnd w:id="65"/>
    <w:bookmarkStart w:id="66"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66"/>
    <w:bookmarkStart w:id="68"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67">
        <w:r>
          <w:rPr>
            <w:rStyle w:val="Hyperlink"/>
          </w:rPr>
          <w:t xml:space="preserve">https://doi.org/10.32614/rj-2017-066</w:t>
        </w:r>
      </w:hyperlink>
    </w:p>
    <w:bookmarkEnd w:id="68"/>
    <w:bookmarkStart w:id="70"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69">
        <w:r>
          <w:rPr>
            <w:rStyle w:val="Hyperlink"/>
          </w:rPr>
          <w:t xml:space="preserve">https://doi.org/10.1093/beheco/arh084</w:t>
        </w:r>
      </w:hyperlink>
    </w:p>
    <w:bookmarkEnd w:id="70"/>
    <w:bookmarkStart w:id="72"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71">
        <w:r>
          <w:rPr>
            <w:rStyle w:val="Hyperlink"/>
          </w:rPr>
          <w:t xml:space="preserve">http://hdl.handle.net/10179/1168</w:t>
        </w:r>
      </w:hyperlink>
    </w:p>
    <w:bookmarkEnd w:id="72"/>
    <w:bookmarkStart w:id="74" w:name="ref-Burnham2002"/>
    <w:p>
      <w:pPr>
        <w:pStyle w:val="Bibliography"/>
      </w:pPr>
      <w:r>
        <w:t xml:space="preserve">Burnham, K. P., &amp; Anderson, D. R. (2002). (pp. 267–351). Springer New York.</w:t>
      </w:r>
      <w:r>
        <w:t xml:space="preserve"> </w:t>
      </w:r>
      <w:hyperlink r:id="rId73">
        <w:r>
          <w:rPr>
            <w:rStyle w:val="Hyperlink"/>
          </w:rPr>
          <w:t xml:space="preserve">https://doi.org/10.1007/978-0-387-22456-5_6</w:t>
        </w:r>
      </w:hyperlink>
    </w:p>
    <w:bookmarkEnd w:id="74"/>
    <w:bookmarkStart w:id="76"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75">
        <w:r>
          <w:rPr>
            <w:rStyle w:val="Hyperlink"/>
          </w:rPr>
          <w:t xml:space="preserve">https://doi.org/10.1111/brv.12087</w:t>
        </w:r>
      </w:hyperlink>
    </w:p>
    <w:bookmarkEnd w:id="76"/>
    <w:bookmarkStart w:id="78" w:name="ref-Clinchy2013"/>
    <w:p>
      <w:pPr>
        <w:pStyle w:val="Bibliography"/>
      </w:pPr>
      <w:r>
        <w:t xml:space="preserve">Clinchy, M., Sheriff, M. J., &amp; Zanette, L. Y. (2012). Predator‐induced stress and the ecology of fear.</w:t>
      </w:r>
      <w:r>
        <w:t xml:space="preserve"> </w:t>
      </w:r>
      <w:r>
        <w:rPr>
          <w:i/>
          <w:iCs/>
        </w:rPr>
        <w:t xml:space="preserve">Functional Ecology</w:t>
      </w:r>
      <w:r>
        <w:t xml:space="preserve">,</w:t>
      </w:r>
      <w:r>
        <w:t xml:space="preserve"> </w:t>
      </w:r>
      <w:r>
        <w:rPr>
          <w:i/>
          <w:iCs/>
        </w:rPr>
        <w:t xml:space="preserve">27</w:t>
      </w:r>
      <w:r>
        <w:t xml:space="preserve">(1), 56–65.</w:t>
      </w:r>
      <w:r>
        <w:t xml:space="preserve"> </w:t>
      </w:r>
      <w:hyperlink r:id="rId77">
        <w:r>
          <w:rPr>
            <w:rStyle w:val="Hyperlink"/>
          </w:rPr>
          <w:t xml:space="preserve">https://doi.org/10.1111/1365-2435.12007</w:t>
        </w:r>
      </w:hyperlink>
    </w:p>
    <w:bookmarkEnd w:id="78"/>
    <w:bookmarkStart w:id="79"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9"/>
    <w:bookmarkStart w:id="81"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80">
        <w:r>
          <w:rPr>
            <w:rStyle w:val="Hyperlink"/>
          </w:rPr>
          <w:t xml:space="preserve">https://doi.org/10.1098/rspb.1979.0081</w:t>
        </w:r>
      </w:hyperlink>
    </w:p>
    <w:bookmarkEnd w:id="81"/>
    <w:bookmarkStart w:id="83"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82">
        <w:r>
          <w:rPr>
            <w:rStyle w:val="Hyperlink"/>
          </w:rPr>
          <w:t xml:space="preserve">https://atlas.boprc.govt.nz/api/v1/edms/document/A3591759/content</w:t>
        </w:r>
      </w:hyperlink>
    </w:p>
    <w:bookmarkEnd w:id="83"/>
    <w:bookmarkStart w:id="84"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84"/>
    <w:bookmarkStart w:id="86"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85">
        <w:r>
          <w:rPr>
            <w:rStyle w:val="Hyperlink"/>
          </w:rPr>
          <w:t xml:space="preserve">https://doi.org/10.1073/pnas.1602480113</w:t>
        </w:r>
      </w:hyperlink>
    </w:p>
    <w:bookmarkEnd w:id="86"/>
    <w:bookmarkStart w:id="88"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87">
        <w:r>
          <w:rPr>
            <w:rStyle w:val="Hyperlink"/>
          </w:rPr>
          <w:t xml:space="preserve">https://doi.org/10.1086/702252</w:t>
        </w:r>
      </w:hyperlink>
    </w:p>
    <w:bookmarkEnd w:id="88"/>
    <w:bookmarkStart w:id="90"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9">
        <w:r>
          <w:rPr>
            <w:rStyle w:val="Hyperlink"/>
          </w:rPr>
          <w:t xml:space="preserve">https://doi.org/10.1080/10236240500376477</w:t>
        </w:r>
      </w:hyperlink>
    </w:p>
    <w:bookmarkEnd w:id="90"/>
    <w:bookmarkStart w:id="91"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91"/>
    <w:bookmarkStart w:id="93"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92">
        <w:r>
          <w:rPr>
            <w:rStyle w:val="Hyperlink"/>
          </w:rPr>
          <w:t xml:space="preserve">https://doi.org/10.1111/j.1365-2427.2011.02595.x</w:t>
        </w:r>
      </w:hyperlink>
    </w:p>
    <w:bookmarkEnd w:id="93"/>
    <w:bookmarkStart w:id="95"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94">
        <w:r>
          <w:rPr>
            <w:rStyle w:val="Hyperlink"/>
          </w:rPr>
          <w:t xml:space="preserve">https://cran.r-project.org/web/packages/DHARMa/index.html</w:t>
        </w:r>
      </w:hyperlink>
    </w:p>
    <w:bookmarkEnd w:id="95"/>
    <w:bookmarkStart w:id="97"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96">
        <w:r>
          <w:rPr>
            <w:rStyle w:val="Hyperlink"/>
          </w:rPr>
          <w:t xml:space="preserve">https://doi.org/10.1046/j.1439-0310.2003.00902.x</w:t>
        </w:r>
      </w:hyperlink>
    </w:p>
    <w:bookmarkEnd w:id="97"/>
    <w:bookmarkStart w:id="99"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98">
        <w:r>
          <w:rPr>
            <w:rStyle w:val="Hyperlink"/>
          </w:rPr>
          <w:t xml:space="preserve">https://doi.org/10.1080/00288330.1997.9516796</w:t>
        </w:r>
      </w:hyperlink>
    </w:p>
    <w:bookmarkEnd w:id="99"/>
    <w:bookmarkStart w:id="101"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100">
        <w:r>
          <w:rPr>
            <w:rStyle w:val="Hyperlink"/>
          </w:rPr>
          <w:t xml:space="preserve">https://doi.org/10.1007/s10750-013-1708-1</w:t>
        </w:r>
      </w:hyperlink>
    </w:p>
    <w:bookmarkEnd w:id="101"/>
    <w:bookmarkStart w:id="103"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102">
        <w:r>
          <w:rPr>
            <w:rStyle w:val="Hyperlink"/>
          </w:rPr>
          <w:t xml:space="preserve">https://doi.org/10.1007/s10530-016-1268-1</w:t>
        </w:r>
      </w:hyperlink>
    </w:p>
    <w:bookmarkEnd w:id="103"/>
    <w:bookmarkStart w:id="104"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104"/>
    <w:bookmarkStart w:id="106"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5">
        <w:r>
          <w:rPr>
            <w:rStyle w:val="Hyperlink"/>
          </w:rPr>
          <w:t xml:space="preserve">https://doi.org/10.1080/00288330909510036</w:t>
        </w:r>
      </w:hyperlink>
    </w:p>
    <w:bookmarkEnd w:id="106"/>
    <w:bookmarkStart w:id="108" w:name="ref-Laundre2001"/>
    <w:p>
      <w:pPr>
        <w:pStyle w:val="Bibliography"/>
      </w:pPr>
      <w:r>
        <w:t xml:space="preserve">Laundré, J. W., Hernández, L., &amp; Altendorf, K. B. (2001). Wolves, elk, and bison: Reestablishing the</w:t>
      </w:r>
      <w:r>
        <w:t xml:space="preserve"> </w:t>
      </w:r>
      <w:r>
        <w:t xml:space="preserve">“landscape of fear”</w:t>
      </w:r>
      <w:r>
        <w:t xml:space="preserve"> </w:t>
      </w:r>
      <w:r>
        <w:t xml:space="preserve">in yellowstone national park, u.s.a.</w:t>
      </w:r>
      <w:r>
        <w:t xml:space="preserve"> </w:t>
      </w:r>
      <w:r>
        <w:rPr>
          <w:i/>
          <w:iCs/>
        </w:rPr>
        <w:t xml:space="preserve">Canadian Journal of Zoology</w:t>
      </w:r>
      <w:r>
        <w:t xml:space="preserve">,</w:t>
      </w:r>
      <w:r>
        <w:t xml:space="preserve"> </w:t>
      </w:r>
      <w:r>
        <w:rPr>
          <w:i/>
          <w:iCs/>
        </w:rPr>
        <w:t xml:space="preserve">79</w:t>
      </w:r>
      <w:r>
        <w:t xml:space="preserve">(8), 1401–1409.</w:t>
      </w:r>
      <w:r>
        <w:t xml:space="preserve"> </w:t>
      </w:r>
      <w:hyperlink r:id="rId107">
        <w:r>
          <w:rPr>
            <w:rStyle w:val="Hyperlink"/>
          </w:rPr>
          <w:t xml:space="preserve">https://doi.org/10.1139/z01-094</w:t>
        </w:r>
      </w:hyperlink>
    </w:p>
    <w:bookmarkEnd w:id="108"/>
    <w:bookmarkStart w:id="110"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9">
        <w:r>
          <w:rPr>
            <w:rStyle w:val="Hyperlink"/>
          </w:rPr>
          <w:t xml:space="preserve">https://doi.org/10.5194/we-25-221-2025</w:t>
        </w:r>
      </w:hyperlink>
    </w:p>
    <w:bookmarkEnd w:id="110"/>
    <w:bookmarkStart w:id="112"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11">
        <w:r>
          <w:rPr>
            <w:rStyle w:val="Hyperlink"/>
          </w:rPr>
          <w:t xml:space="preserve">https://cran.r-project.org/web/packages/emmeans/index.html</w:t>
        </w:r>
      </w:hyperlink>
    </w:p>
    <w:bookmarkEnd w:id="112"/>
    <w:bookmarkStart w:id="114"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13">
        <w:r>
          <w:rPr>
            <w:rStyle w:val="Hyperlink"/>
          </w:rPr>
          <w:t xml:space="preserve">https://doi.org/10.1139/z90-092</w:t>
        </w:r>
      </w:hyperlink>
    </w:p>
    <w:bookmarkEnd w:id="114"/>
    <w:bookmarkStart w:id="116"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15">
        <w:r>
          <w:rPr>
            <w:rStyle w:val="Hyperlink"/>
          </w:rPr>
          <w:t xml:space="preserve">https://doi.org/10.1051/kmae/2025022</w:t>
        </w:r>
      </w:hyperlink>
    </w:p>
    <w:bookmarkEnd w:id="116"/>
    <w:bookmarkStart w:id="118"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17">
        <w:r>
          <w:rPr>
            <w:rStyle w:val="Hyperlink"/>
          </w:rPr>
          <w:t xml:space="preserve">https://doi.org/10.7717/peerj.665</w:t>
        </w:r>
      </w:hyperlink>
    </w:p>
    <w:bookmarkEnd w:id="118"/>
    <w:bookmarkStart w:id="120"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19">
        <w:r>
          <w:rPr>
            <w:rStyle w:val="Hyperlink"/>
          </w:rPr>
          <w:t xml:space="preserve">https://agris.fao.org/search/en/providers/122621/records/6473966cce9437aa76003d0e</w:t>
        </w:r>
      </w:hyperlink>
    </w:p>
    <w:bookmarkEnd w:id="120"/>
    <w:bookmarkStart w:id="122"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21">
        <w:r>
          <w:rPr>
            <w:rStyle w:val="Hyperlink"/>
          </w:rPr>
          <w:t xml:space="preserve">https://doi.org/10.1111/j.1365-2427.2005.01438.x</w:t>
        </w:r>
      </w:hyperlink>
    </w:p>
    <w:bookmarkEnd w:id="122"/>
    <w:bookmarkStart w:id="124"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3">
        <w:r>
          <w:rPr>
            <w:rStyle w:val="Hyperlink"/>
          </w:rPr>
          <w:t xml:space="preserve">https://doi.org/10.1046/j.1365-2427.2001.00702.x</w:t>
        </w:r>
      </w:hyperlink>
    </w:p>
    <w:bookmarkEnd w:id="124"/>
    <w:bookmarkStart w:id="126" w:name="ref-Peacor2001"/>
    <w:p>
      <w:pPr>
        <w:pStyle w:val="Bibliography"/>
      </w:pPr>
      <w:r>
        <w:t xml:space="preserve">Peacor, S. D., &amp; Werner, E. E. (2001). The contribution of trait-mediated indirect effects to the net effects of a predator.</w:t>
      </w:r>
      <w:r>
        <w:t xml:space="preserve"> </w:t>
      </w:r>
      <w:r>
        <w:rPr>
          <w:i/>
          <w:iCs/>
        </w:rPr>
        <w:t xml:space="preserve">Proceedings of the National Academy of Sciences</w:t>
      </w:r>
      <w:r>
        <w:t xml:space="preserve">,</w:t>
      </w:r>
      <w:r>
        <w:t xml:space="preserve"> </w:t>
      </w:r>
      <w:r>
        <w:rPr>
          <w:i/>
          <w:iCs/>
        </w:rPr>
        <w:t xml:space="preserve">98</w:t>
      </w:r>
      <w:r>
        <w:t xml:space="preserve">(7), 3904–3908.</w:t>
      </w:r>
      <w:r>
        <w:t xml:space="preserve"> </w:t>
      </w:r>
      <w:hyperlink r:id="rId125">
        <w:r>
          <w:rPr>
            <w:rStyle w:val="Hyperlink"/>
          </w:rPr>
          <w:t xml:space="preserve">https://doi.org/10.1073/pnas.071061998</w:t>
        </w:r>
      </w:hyperlink>
    </w:p>
    <w:bookmarkEnd w:id="126"/>
    <w:bookmarkStart w:id="128"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27">
        <w:r>
          <w:rPr>
            <w:rStyle w:val="Hyperlink"/>
          </w:rPr>
          <w:t xml:space="preserve">https://doi.org/10.1890/04-0719</w:t>
        </w:r>
      </w:hyperlink>
    </w:p>
    <w:bookmarkEnd w:id="128"/>
    <w:bookmarkStart w:id="130" w:name="ref-Preisser2008"/>
    <w:p>
      <w:pPr>
        <w:pStyle w:val="Bibliography"/>
      </w:pPr>
      <w:r>
        <w:t xml:space="preserve">Preisser, E. L., &amp; Bolnick, D. I. (2008). The many faces of fear: Comparing the pathways and impacts of nonconsumptive predator effects on prey populations.</w:t>
      </w:r>
      <w:r>
        <w:t xml:space="preserve"> </w:t>
      </w:r>
      <w:r>
        <w:rPr>
          <w:i/>
          <w:iCs/>
        </w:rPr>
        <w:t xml:space="preserve">PLoS ONE</w:t>
      </w:r>
      <w:r>
        <w:t xml:space="preserve">,</w:t>
      </w:r>
      <w:r>
        <w:t xml:space="preserve"> </w:t>
      </w:r>
      <w:r>
        <w:rPr>
          <w:i/>
          <w:iCs/>
        </w:rPr>
        <w:t xml:space="preserve">3</w:t>
      </w:r>
      <w:r>
        <w:t xml:space="preserve">(6), e2465.</w:t>
      </w:r>
      <w:r>
        <w:t xml:space="preserve"> </w:t>
      </w:r>
      <w:hyperlink r:id="rId129">
        <w:r>
          <w:rPr>
            <w:rStyle w:val="Hyperlink"/>
          </w:rPr>
          <w:t xml:space="preserve">https://doi.org/10.1371/journal.pone.0002465</w:t>
        </w:r>
      </w:hyperlink>
    </w:p>
    <w:bookmarkEnd w:id="130"/>
    <w:bookmarkStart w:id="132"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31">
        <w:r>
          <w:rPr>
            <w:rStyle w:val="Hyperlink"/>
          </w:rPr>
          <w:t xml:space="preserve">https://www.R-project.org/</w:t>
        </w:r>
      </w:hyperlink>
    </w:p>
    <w:bookmarkEnd w:id="132"/>
    <w:bookmarkStart w:id="134"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33">
        <w:r>
          <w:rPr>
            <w:rStyle w:val="Hyperlink"/>
          </w:rPr>
          <w:t xml:space="preserve">https://doi.org/10.1080/10236244.2020.1717338</w:t>
        </w:r>
      </w:hyperlink>
    </w:p>
    <w:bookmarkEnd w:id="134"/>
    <w:bookmarkStart w:id="136"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35">
        <w:r>
          <w:rPr>
            <w:rStyle w:val="Hyperlink"/>
          </w:rPr>
          <w:t xml:space="preserve">https://teara.govt.nz/en/eels</w:t>
        </w:r>
      </w:hyperlink>
    </w:p>
    <w:bookmarkEnd w:id="136"/>
    <w:bookmarkStart w:id="138" w:name="ref-Schmitz1997"/>
    <w:p>
      <w:pPr>
        <w:pStyle w:val="Bibliography"/>
      </w:pPr>
      <w:r>
        <w:t xml:space="preserve">Schmitz, O. J., Beckerman, A. P., &amp; O’Brien, K. M. (1997). Behaviorally mediated trophic cascades: Effects of predation risk on food web interactions.</w:t>
      </w:r>
      <w:r>
        <w:t xml:space="preserve"> </w:t>
      </w:r>
      <w:r>
        <w:rPr>
          <w:i/>
          <w:iCs/>
        </w:rPr>
        <w:t xml:space="preserve">Ecology</w:t>
      </w:r>
      <w:r>
        <w:t xml:space="preserve">,</w:t>
      </w:r>
      <w:r>
        <w:t xml:space="preserve"> </w:t>
      </w:r>
      <w:r>
        <w:rPr>
          <w:i/>
          <w:iCs/>
        </w:rPr>
        <w:t xml:space="preserve">78</w:t>
      </w:r>
      <w:r>
        <w:t xml:space="preserve">(5), 1388–1399.</w:t>
      </w:r>
      <w:r>
        <w:t xml:space="preserve"> </w:t>
      </w:r>
      <w:hyperlink r:id="rId137">
        <w:r>
          <w:rPr>
            <w:rStyle w:val="Hyperlink"/>
          </w:rPr>
          <w:t xml:space="preserve">https://doi.org/10.1890/0012-9658(1997)078[1388:bmtceo]2.0.co;2</w:t>
        </w:r>
      </w:hyperlink>
    </w:p>
    <w:bookmarkEnd w:id="138"/>
    <w:bookmarkStart w:id="139"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39"/>
    <w:bookmarkStart w:id="140"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40"/>
    <w:bookmarkStart w:id="142"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41">
        <w:r>
          <w:rPr>
            <w:rStyle w:val="Hyperlink"/>
          </w:rPr>
          <w:t xml:space="preserve">https://doi.org/10.1111/1365-2656.13213</w:t>
        </w:r>
      </w:hyperlink>
    </w:p>
    <w:bookmarkEnd w:id="142"/>
    <w:bookmarkStart w:id="144"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43">
        <w:r>
          <w:rPr>
            <w:rStyle w:val="Hyperlink"/>
          </w:rPr>
          <w:t xml:space="preserve">https://doi.org/10.1111/j.1600-0706.2009.18039.x</w:t>
        </w:r>
      </w:hyperlink>
    </w:p>
    <w:bookmarkEnd w:id="144"/>
    <w:bookmarkStart w:id="146"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45">
        <w:r>
          <w:rPr>
            <w:rStyle w:val="Hyperlink"/>
          </w:rPr>
          <w:t xml:space="preserve">https://doi.org/10.1016/j.tree.2022.11.001</w:t>
        </w:r>
      </w:hyperlink>
    </w:p>
    <w:bookmarkEnd w:id="146"/>
    <w:bookmarkStart w:id="148" w:name="ref-Sih2011"/>
    <w:p>
      <w:pPr>
        <w:pStyle w:val="Bibliography"/>
      </w:pPr>
      <w:r>
        <w:t xml:space="preserve">Sih, A., Ferrari, M. C. O., &amp; Harris, D. J. (2011). Evolution and behavioural responses to human‐induced rapid environmental change.</w:t>
      </w:r>
      <w:r>
        <w:t xml:space="preserve"> </w:t>
      </w:r>
      <w:r>
        <w:rPr>
          <w:i/>
          <w:iCs/>
        </w:rPr>
        <w:t xml:space="preserve">Evolutionary Applications</w:t>
      </w:r>
      <w:r>
        <w:t xml:space="preserve">,</w:t>
      </w:r>
      <w:r>
        <w:t xml:space="preserve"> </w:t>
      </w:r>
      <w:r>
        <w:rPr>
          <w:i/>
          <w:iCs/>
        </w:rPr>
        <w:t xml:space="preserve">4</w:t>
      </w:r>
      <w:r>
        <w:t xml:space="preserve">(2), 367–387.</w:t>
      </w:r>
      <w:r>
        <w:t xml:space="preserve"> </w:t>
      </w:r>
      <w:hyperlink r:id="rId147">
        <w:r>
          <w:rPr>
            <w:rStyle w:val="Hyperlink"/>
          </w:rPr>
          <w:t xml:space="preserve">https://doi.org/10.1111/j.1752-4571.2010.00166.x</w:t>
        </w:r>
      </w:hyperlink>
    </w:p>
    <w:bookmarkEnd w:id="148"/>
    <w:bookmarkStart w:id="150" w:name="ref-Smee2006"/>
    <w:p>
      <w:pPr>
        <w:pStyle w:val="Bibliography"/>
      </w:pPr>
      <w:r>
        <w:t xml:space="preserve">Smee, D. L., &amp; Weissburg, M. J. (2006). Hard clams (mercenaria mercenaria) evaluate predation risk using chemical signals from predators and injured conspecifics.</w:t>
      </w:r>
      <w:r>
        <w:t xml:space="preserve"> </w:t>
      </w:r>
      <w:r>
        <w:rPr>
          <w:i/>
          <w:iCs/>
        </w:rPr>
        <w:t xml:space="preserve">Journal of Chemical Ecology</w:t>
      </w:r>
      <w:r>
        <w:t xml:space="preserve">,</w:t>
      </w:r>
      <w:r>
        <w:t xml:space="preserve"> </w:t>
      </w:r>
      <w:r>
        <w:rPr>
          <w:i/>
          <w:iCs/>
        </w:rPr>
        <w:t xml:space="preserve">32</w:t>
      </w:r>
      <w:r>
        <w:t xml:space="preserve">(3), 605–619.</w:t>
      </w:r>
      <w:r>
        <w:t xml:space="preserve"> </w:t>
      </w:r>
      <w:hyperlink r:id="rId149">
        <w:r>
          <w:rPr>
            <w:rStyle w:val="Hyperlink"/>
          </w:rPr>
          <w:t xml:space="preserve">https://doi.org/10.1007/s10886-005-9021-8</w:t>
        </w:r>
      </w:hyperlink>
    </w:p>
    <w:bookmarkEnd w:id="150"/>
    <w:bookmarkStart w:id="152" w:name="ref-Sniegula2025"/>
    <w:p>
      <w:pPr>
        <w:pStyle w:val="Bibliography"/>
      </w:pPr>
      <w:r>
        <w:t xml:space="preserve">Sniegula, S., Konczarek, D., Bonk, M., Antoł, A., Amer, N. R., &amp; Stoks, R. (2025). Non-consumptive effects of native, alien and invasive alien crayfish on damselfly egg life history and carry-over effects on larval physiology.</w:t>
      </w:r>
      <w:r>
        <w:t xml:space="preserve"> </w:t>
      </w:r>
      <w:r>
        <w:rPr>
          <w:i/>
          <w:iCs/>
        </w:rPr>
        <w:t xml:space="preserve">NeoBiota</w:t>
      </w:r>
      <w:r>
        <w:t xml:space="preserve">,</w:t>
      </w:r>
      <w:r>
        <w:t xml:space="preserve"> </w:t>
      </w:r>
      <w:r>
        <w:rPr>
          <w:i/>
          <w:iCs/>
        </w:rPr>
        <w:t xml:space="preserve">97</w:t>
      </w:r>
      <w:r>
        <w:t xml:space="preserve">, 215–235.</w:t>
      </w:r>
      <w:r>
        <w:t xml:space="preserve"> </w:t>
      </w:r>
      <w:hyperlink r:id="rId151">
        <w:r>
          <w:rPr>
            <w:rStyle w:val="Hyperlink"/>
          </w:rPr>
          <w:t xml:space="preserve">https://doi.org/10.3897/neobiota.97.139760</w:t>
        </w:r>
      </w:hyperlink>
    </w:p>
    <w:bookmarkEnd w:id="152"/>
    <w:bookmarkStart w:id="154"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53">
        <w:r>
          <w:rPr>
            <w:rStyle w:val="Hyperlink"/>
          </w:rPr>
          <w:t xml:space="preserve">https://doi.org/10.1080/10236244.2010.487301</w:t>
        </w:r>
      </w:hyperlink>
    </w:p>
    <w:bookmarkEnd w:id="154"/>
    <w:bookmarkStart w:id="156"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55">
        <w:r>
          <w:rPr>
            <w:rStyle w:val="Hyperlink"/>
          </w:rPr>
          <w:t xml:space="preserve">https://doi.org/10.2307/1936188</w:t>
        </w:r>
      </w:hyperlink>
    </w:p>
    <w:bookmarkEnd w:id="156"/>
    <w:bookmarkStart w:id="158"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57">
        <w:r>
          <w:rPr>
            <w:rStyle w:val="Hyperlink"/>
          </w:rPr>
          <w:t xml:space="preserve">https://doi.org/10.1890/02-0618</w:t>
        </w:r>
      </w:hyperlink>
    </w:p>
    <w:bookmarkEnd w:id="158"/>
    <w:bookmarkStart w:id="160"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59">
        <w:r>
          <w:rPr>
            <w:rStyle w:val="Hyperlink"/>
          </w:rPr>
          <w:t xml:space="preserve">https://doi.org/10.1139/cjz-2019-0089</w:t>
        </w:r>
      </w:hyperlink>
    </w:p>
    <w:bookmarkEnd w:id="160"/>
    <w:bookmarkStart w:id="162"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61">
        <w:r>
          <w:rPr>
            <w:rStyle w:val="Hyperlink"/>
          </w:rPr>
          <w:t xml:space="preserve">https://doi.org/10.1002/ecs2.3188</w:t>
        </w:r>
      </w:hyperlink>
    </w:p>
    <w:bookmarkEnd w:id="162"/>
    <w:bookmarkStart w:id="164"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63">
        <w:r>
          <w:rPr>
            <w:rStyle w:val="Hyperlink"/>
          </w:rPr>
          <w:t xml:space="preserve">https://doi.org/10.1080/03949370.2010.505580</w:t>
        </w:r>
      </w:hyperlink>
    </w:p>
    <w:bookmarkEnd w:id="164"/>
    <w:bookmarkStart w:id="166"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65">
        <w:r>
          <w:rPr>
            <w:rStyle w:val="Hyperlink"/>
          </w:rPr>
          <w:t xml:space="preserve">https://doi.org/10.3390/ani14081147</w:t>
        </w:r>
      </w:hyperlink>
    </w:p>
    <w:bookmarkEnd w:id="166"/>
    <w:bookmarkEnd w:id="167"/>
    <w:bookmarkEnd w:id="168"/>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1" Target="http://hdl.handle.net/10179/1168" TargetMode="External" /><Relationship Type="http://schemas.openxmlformats.org/officeDocument/2006/relationships/hyperlink" Id="rId39" Target="https://OlivierRaven.github.io/https---github.com-OlivierRaven-NCE_Koura_catfish/analysis-preview.html#cell-fig-2-emmeans-plot" TargetMode="External" /><Relationship Type="http://schemas.openxmlformats.org/officeDocument/2006/relationships/hyperlink" Id="rId44" Target="https://OlivierRaven.github.io/https---github.com-OlivierRaven-NCE_Koura_catfish/analysis-preview.html#cell-fig-3-refuge-plot" TargetMode="External" /><Relationship Type="http://schemas.openxmlformats.org/officeDocument/2006/relationships/hyperlink" Id="rId49" Target="https://OlivierRaven.github.io/https---github.com-OlivierRaven-NCE_Koura_catfish/analysis-preview.html#cell-fig-4-feeding-plot" TargetMode="External" /><Relationship Type="http://schemas.openxmlformats.org/officeDocument/2006/relationships/hyperlink" Id="rId27" Target="https://OlivierRaven.github.io/https---github.com-OlivierRaven-NCE_Koura_catfish/analysis-preview.html#cell-tbl-1-fixed-effects" TargetMode="External" /><Relationship Type="http://schemas.openxmlformats.org/officeDocument/2006/relationships/hyperlink" Id="rId29" Target="https://OlivierRaven.github.io/https---github.com-OlivierRaven-NCE_Koura_catfish/analysis-preview.html#cell-tbl-2-emmeans" TargetMode="External" /><Relationship Type="http://schemas.openxmlformats.org/officeDocument/2006/relationships/hyperlink" Id="rId52" Target="https://OlivierRaven.github.io/https---github.com-OlivierRaven-NCE_Koura_catfish/analysis-preview.html#cell-tbl-s1-refuge-prop" TargetMode="External" /><Relationship Type="http://schemas.openxmlformats.org/officeDocument/2006/relationships/hyperlink" Id="rId54" Target="https://OlivierRaven.github.io/https---github.com-OlivierRaven-NCE_Koura_catfish/analysis-preview.html#cell-tbl-s2-feeding-anova" TargetMode="External" /><Relationship Type="http://schemas.openxmlformats.org/officeDocument/2006/relationships/hyperlink" Id="rId119" Target="https://agris.fao.org/search/en/providers/122621/records/6473966cce9437aa76003d0e" TargetMode="External" /><Relationship Type="http://schemas.openxmlformats.org/officeDocument/2006/relationships/hyperlink" Id="rId82" Target="https://atlas.boprc.govt.nz/api/v1/edms/document/A3591759/content" TargetMode="External" /><Relationship Type="http://schemas.openxmlformats.org/officeDocument/2006/relationships/hyperlink" Id="rId94" Target="https://cran.r-project.org/web/packages/DHARMa/index.html" TargetMode="External" /><Relationship Type="http://schemas.openxmlformats.org/officeDocument/2006/relationships/hyperlink" Id="rId111" Target="https://cran.r-project.org/web/packages/emmeans/index.html" TargetMode="External" /><Relationship Type="http://schemas.openxmlformats.org/officeDocument/2006/relationships/hyperlink" Id="rId161" Target="https://doi.org/10.1002/ecs2.3188" TargetMode="External" /><Relationship Type="http://schemas.openxmlformats.org/officeDocument/2006/relationships/hyperlink" Id="rId73" Target="https://doi.org/10.1007/978-0-387-22456-5_6" TargetMode="External" /><Relationship Type="http://schemas.openxmlformats.org/officeDocument/2006/relationships/hyperlink" Id="rId102" Target="https://doi.org/10.1007/s10530-016-1268-1" TargetMode="External" /><Relationship Type="http://schemas.openxmlformats.org/officeDocument/2006/relationships/hyperlink" Id="rId100" Target="https://doi.org/10.1007/s10750-013-1708-1" TargetMode="External" /><Relationship Type="http://schemas.openxmlformats.org/officeDocument/2006/relationships/hyperlink" Id="rId149" Target="https://doi.org/10.1007/s10886-005-9021-8" TargetMode="External" /><Relationship Type="http://schemas.openxmlformats.org/officeDocument/2006/relationships/hyperlink" Id="rId145" Target="https://doi.org/10.1016/j.tree.2022.11.001" TargetMode="External" /><Relationship Type="http://schemas.openxmlformats.org/officeDocument/2006/relationships/hyperlink" Id="rId123" Target="https://doi.org/10.1046/j.1365-2427.2001.00702.x" TargetMode="External" /><Relationship Type="http://schemas.openxmlformats.org/officeDocument/2006/relationships/hyperlink" Id="rId96" Target="https://doi.org/10.1046/j.1439-0310.2003.00902.x" TargetMode="External" /><Relationship Type="http://schemas.openxmlformats.org/officeDocument/2006/relationships/hyperlink" Id="rId115" Target="https://doi.org/10.1051/kmae/2025022" TargetMode="External" /><Relationship Type="http://schemas.openxmlformats.org/officeDocument/2006/relationships/hyperlink" Id="rId125" Target="https://doi.org/10.1073/pnas.071061998" TargetMode="External" /><Relationship Type="http://schemas.openxmlformats.org/officeDocument/2006/relationships/hyperlink" Id="rId85" Target="https://doi.org/10.1073/pnas.1602480113" TargetMode="External" /><Relationship Type="http://schemas.openxmlformats.org/officeDocument/2006/relationships/hyperlink" Id="rId98" Target="https://doi.org/10.1080/00288330.1997.9516796" TargetMode="External" /><Relationship Type="http://schemas.openxmlformats.org/officeDocument/2006/relationships/hyperlink" Id="rId105" Target="https://doi.org/10.1080/00288330909510036" TargetMode="External" /><Relationship Type="http://schemas.openxmlformats.org/officeDocument/2006/relationships/hyperlink" Id="rId163" Target="https://doi.org/10.1080/03949370.2010.505580" TargetMode="External" /><Relationship Type="http://schemas.openxmlformats.org/officeDocument/2006/relationships/hyperlink" Id="rId89" Target="https://doi.org/10.1080/10236240500376477" TargetMode="External" /><Relationship Type="http://schemas.openxmlformats.org/officeDocument/2006/relationships/hyperlink" Id="rId153" Target="https://doi.org/10.1080/10236244.2010.487301" TargetMode="External" /><Relationship Type="http://schemas.openxmlformats.org/officeDocument/2006/relationships/hyperlink" Id="rId133" Target="https://doi.org/10.1080/10236244.2020.1717338" TargetMode="External" /><Relationship Type="http://schemas.openxmlformats.org/officeDocument/2006/relationships/hyperlink" Id="rId87" Target="https://doi.org/10.1086/702252" TargetMode="External" /><Relationship Type="http://schemas.openxmlformats.org/officeDocument/2006/relationships/hyperlink" Id="rId69" Target="https://doi.org/10.1093/beheco/arh084" TargetMode="External" /><Relationship Type="http://schemas.openxmlformats.org/officeDocument/2006/relationships/hyperlink" Id="rId80" Target="https://doi.org/10.1098/rspb.1979.0081" TargetMode="External" /><Relationship Type="http://schemas.openxmlformats.org/officeDocument/2006/relationships/hyperlink" Id="rId77" Target="https://doi.org/10.1111/1365-2435.12007" TargetMode="External" /><Relationship Type="http://schemas.openxmlformats.org/officeDocument/2006/relationships/hyperlink" Id="rId141" Target="https://doi.org/10.1111/1365-2656.13213" TargetMode="External" /><Relationship Type="http://schemas.openxmlformats.org/officeDocument/2006/relationships/hyperlink" Id="rId75" Target="https://doi.org/10.1111/brv.12087" TargetMode="External" /><Relationship Type="http://schemas.openxmlformats.org/officeDocument/2006/relationships/hyperlink" Id="rId64" Target="https://doi.org/10.1111/j.1365-2427.1993.tb00747.x" TargetMode="External" /><Relationship Type="http://schemas.openxmlformats.org/officeDocument/2006/relationships/hyperlink" Id="rId121" Target="https://doi.org/10.1111/j.1365-2427.2005.01438.x" TargetMode="External" /><Relationship Type="http://schemas.openxmlformats.org/officeDocument/2006/relationships/hyperlink" Id="rId92" Target="https://doi.org/10.1111/j.1365-2427.2011.02595.x" TargetMode="External" /><Relationship Type="http://schemas.openxmlformats.org/officeDocument/2006/relationships/hyperlink" Id="rId143" Target="https://doi.org/10.1111/j.1600-0706.2009.18039.x" TargetMode="External" /><Relationship Type="http://schemas.openxmlformats.org/officeDocument/2006/relationships/hyperlink" Id="rId147" Target="https://doi.org/10.1111/j.1752-4571.2010.00166.x" TargetMode="External" /><Relationship Type="http://schemas.openxmlformats.org/officeDocument/2006/relationships/hyperlink" Id="rId159" Target="https://doi.org/10.1139/cjz-2019-0089" TargetMode="External" /><Relationship Type="http://schemas.openxmlformats.org/officeDocument/2006/relationships/hyperlink" Id="rId107" Target="https://doi.org/10.1139/z01-094" TargetMode="External" /><Relationship Type="http://schemas.openxmlformats.org/officeDocument/2006/relationships/hyperlink" Id="rId113" Target="https://doi.org/10.1139/z90-092" TargetMode="External" /><Relationship Type="http://schemas.openxmlformats.org/officeDocument/2006/relationships/hyperlink" Id="rId55" Target="https://doi.org/10.1146/annurev.ecolsys.31.1.79" TargetMode="External" /><Relationship Type="http://schemas.openxmlformats.org/officeDocument/2006/relationships/hyperlink" Id="rId62" Target="https://doi.org/10.1163/1568539x-00003501" TargetMode="External" /><Relationship Type="http://schemas.openxmlformats.org/officeDocument/2006/relationships/hyperlink" Id="rId129" Target="https://doi.org/10.1371/journal.pone.0002465" TargetMode="External" /><Relationship Type="http://schemas.openxmlformats.org/officeDocument/2006/relationships/hyperlink" Id="rId57" Target="https://doi.org/10.1371/journal.pone.0340001" TargetMode="External" /><Relationship Type="http://schemas.openxmlformats.org/officeDocument/2006/relationships/hyperlink" Id="rId59" Target="https://doi.org/10.1674/0003-0031(2007)158[85:daieoc]2.0.co;2" TargetMode="External" /><Relationship Type="http://schemas.openxmlformats.org/officeDocument/2006/relationships/hyperlink" Id="rId137" Target="https://doi.org/10.1890/0012-9658(1997)078[1388:bmtceo]2.0.co;2" TargetMode="External" /><Relationship Type="http://schemas.openxmlformats.org/officeDocument/2006/relationships/hyperlink" Id="rId157" Target="https://doi.org/10.1890/02-0618" TargetMode="External" /><Relationship Type="http://schemas.openxmlformats.org/officeDocument/2006/relationships/hyperlink" Id="rId127" Target="https://doi.org/10.1890/04-0719" TargetMode="External" /><Relationship Type="http://schemas.openxmlformats.org/officeDocument/2006/relationships/hyperlink" Id="rId155" Target="https://doi.org/10.2307/1936188" TargetMode="External" /><Relationship Type="http://schemas.openxmlformats.org/officeDocument/2006/relationships/hyperlink" Id="rId67" Target="https://doi.org/10.32614/rj-2017-066" TargetMode="External" /><Relationship Type="http://schemas.openxmlformats.org/officeDocument/2006/relationships/hyperlink" Id="rId165" Target="https://doi.org/10.3390/ani14081147" TargetMode="External" /><Relationship Type="http://schemas.openxmlformats.org/officeDocument/2006/relationships/hyperlink" Id="rId151" Target="https://doi.org/10.3897/neobiota.97.139760" TargetMode="External" /><Relationship Type="http://schemas.openxmlformats.org/officeDocument/2006/relationships/hyperlink" Id="rId109" Target="https://doi.org/10.5194/we-25-221-2025" TargetMode="External" /><Relationship Type="http://schemas.openxmlformats.org/officeDocument/2006/relationships/hyperlink" Id="rId117" Target="https://doi.org/10.7717/peerj.665" TargetMode="External" /><Relationship Type="http://schemas.openxmlformats.org/officeDocument/2006/relationships/hyperlink" Id="rId135" Target="https://teara.govt.nz/en/eels" TargetMode="External" /><Relationship Type="http://schemas.openxmlformats.org/officeDocument/2006/relationships/hyperlink" Id="rId13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1" Target="http://hdl.handle.net/10179/1168" TargetMode="External" /><Relationship Type="http://schemas.openxmlformats.org/officeDocument/2006/relationships/hyperlink" Id="rId39" Target="https://OlivierRaven.github.io/https---github.com-OlivierRaven-NCE_Koura_catfish/analysis-preview.html#cell-fig-2-emmeans-plot" TargetMode="External" /><Relationship Type="http://schemas.openxmlformats.org/officeDocument/2006/relationships/hyperlink" Id="rId44" Target="https://OlivierRaven.github.io/https---github.com-OlivierRaven-NCE_Koura_catfish/analysis-preview.html#cell-fig-3-refuge-plot" TargetMode="External" /><Relationship Type="http://schemas.openxmlformats.org/officeDocument/2006/relationships/hyperlink" Id="rId49" Target="https://OlivierRaven.github.io/https---github.com-OlivierRaven-NCE_Koura_catfish/analysis-preview.html#cell-fig-4-feeding-plot" TargetMode="External" /><Relationship Type="http://schemas.openxmlformats.org/officeDocument/2006/relationships/hyperlink" Id="rId27" Target="https://OlivierRaven.github.io/https---github.com-OlivierRaven-NCE_Koura_catfish/analysis-preview.html#cell-tbl-1-fixed-effects" TargetMode="External" /><Relationship Type="http://schemas.openxmlformats.org/officeDocument/2006/relationships/hyperlink" Id="rId29" Target="https://OlivierRaven.github.io/https---github.com-OlivierRaven-NCE_Koura_catfish/analysis-preview.html#cell-tbl-2-emmeans" TargetMode="External" /><Relationship Type="http://schemas.openxmlformats.org/officeDocument/2006/relationships/hyperlink" Id="rId52" Target="https://OlivierRaven.github.io/https---github.com-OlivierRaven-NCE_Koura_catfish/analysis-preview.html#cell-tbl-s1-refuge-prop" TargetMode="External" /><Relationship Type="http://schemas.openxmlformats.org/officeDocument/2006/relationships/hyperlink" Id="rId54" Target="https://OlivierRaven.github.io/https---github.com-OlivierRaven-NCE_Koura_catfish/analysis-preview.html#cell-tbl-s2-feeding-anova" TargetMode="External" /><Relationship Type="http://schemas.openxmlformats.org/officeDocument/2006/relationships/hyperlink" Id="rId119" Target="https://agris.fao.org/search/en/providers/122621/records/6473966cce9437aa76003d0e" TargetMode="External" /><Relationship Type="http://schemas.openxmlformats.org/officeDocument/2006/relationships/hyperlink" Id="rId82" Target="https://atlas.boprc.govt.nz/api/v1/edms/document/A3591759/content" TargetMode="External" /><Relationship Type="http://schemas.openxmlformats.org/officeDocument/2006/relationships/hyperlink" Id="rId94" Target="https://cran.r-project.org/web/packages/DHARMa/index.html" TargetMode="External" /><Relationship Type="http://schemas.openxmlformats.org/officeDocument/2006/relationships/hyperlink" Id="rId111" Target="https://cran.r-project.org/web/packages/emmeans/index.html" TargetMode="External" /><Relationship Type="http://schemas.openxmlformats.org/officeDocument/2006/relationships/hyperlink" Id="rId161" Target="https://doi.org/10.1002/ecs2.3188" TargetMode="External" /><Relationship Type="http://schemas.openxmlformats.org/officeDocument/2006/relationships/hyperlink" Id="rId73" Target="https://doi.org/10.1007/978-0-387-22456-5_6" TargetMode="External" /><Relationship Type="http://schemas.openxmlformats.org/officeDocument/2006/relationships/hyperlink" Id="rId102" Target="https://doi.org/10.1007/s10530-016-1268-1" TargetMode="External" /><Relationship Type="http://schemas.openxmlformats.org/officeDocument/2006/relationships/hyperlink" Id="rId100" Target="https://doi.org/10.1007/s10750-013-1708-1" TargetMode="External" /><Relationship Type="http://schemas.openxmlformats.org/officeDocument/2006/relationships/hyperlink" Id="rId149" Target="https://doi.org/10.1007/s10886-005-9021-8" TargetMode="External" /><Relationship Type="http://schemas.openxmlformats.org/officeDocument/2006/relationships/hyperlink" Id="rId145" Target="https://doi.org/10.1016/j.tree.2022.11.001" TargetMode="External" /><Relationship Type="http://schemas.openxmlformats.org/officeDocument/2006/relationships/hyperlink" Id="rId123" Target="https://doi.org/10.1046/j.1365-2427.2001.00702.x" TargetMode="External" /><Relationship Type="http://schemas.openxmlformats.org/officeDocument/2006/relationships/hyperlink" Id="rId96" Target="https://doi.org/10.1046/j.1439-0310.2003.00902.x" TargetMode="External" /><Relationship Type="http://schemas.openxmlformats.org/officeDocument/2006/relationships/hyperlink" Id="rId115" Target="https://doi.org/10.1051/kmae/2025022" TargetMode="External" /><Relationship Type="http://schemas.openxmlformats.org/officeDocument/2006/relationships/hyperlink" Id="rId125" Target="https://doi.org/10.1073/pnas.071061998" TargetMode="External" /><Relationship Type="http://schemas.openxmlformats.org/officeDocument/2006/relationships/hyperlink" Id="rId85" Target="https://doi.org/10.1073/pnas.1602480113" TargetMode="External" /><Relationship Type="http://schemas.openxmlformats.org/officeDocument/2006/relationships/hyperlink" Id="rId98" Target="https://doi.org/10.1080/00288330.1997.9516796" TargetMode="External" /><Relationship Type="http://schemas.openxmlformats.org/officeDocument/2006/relationships/hyperlink" Id="rId105" Target="https://doi.org/10.1080/00288330909510036" TargetMode="External" /><Relationship Type="http://schemas.openxmlformats.org/officeDocument/2006/relationships/hyperlink" Id="rId163" Target="https://doi.org/10.1080/03949370.2010.505580" TargetMode="External" /><Relationship Type="http://schemas.openxmlformats.org/officeDocument/2006/relationships/hyperlink" Id="rId89" Target="https://doi.org/10.1080/10236240500376477" TargetMode="External" /><Relationship Type="http://schemas.openxmlformats.org/officeDocument/2006/relationships/hyperlink" Id="rId153" Target="https://doi.org/10.1080/10236244.2010.487301" TargetMode="External" /><Relationship Type="http://schemas.openxmlformats.org/officeDocument/2006/relationships/hyperlink" Id="rId133" Target="https://doi.org/10.1080/10236244.2020.1717338" TargetMode="External" /><Relationship Type="http://schemas.openxmlformats.org/officeDocument/2006/relationships/hyperlink" Id="rId87" Target="https://doi.org/10.1086/702252" TargetMode="External" /><Relationship Type="http://schemas.openxmlformats.org/officeDocument/2006/relationships/hyperlink" Id="rId69" Target="https://doi.org/10.1093/beheco/arh084" TargetMode="External" /><Relationship Type="http://schemas.openxmlformats.org/officeDocument/2006/relationships/hyperlink" Id="rId80" Target="https://doi.org/10.1098/rspb.1979.0081" TargetMode="External" /><Relationship Type="http://schemas.openxmlformats.org/officeDocument/2006/relationships/hyperlink" Id="rId77" Target="https://doi.org/10.1111/1365-2435.12007" TargetMode="External" /><Relationship Type="http://schemas.openxmlformats.org/officeDocument/2006/relationships/hyperlink" Id="rId141" Target="https://doi.org/10.1111/1365-2656.13213" TargetMode="External" /><Relationship Type="http://schemas.openxmlformats.org/officeDocument/2006/relationships/hyperlink" Id="rId75" Target="https://doi.org/10.1111/brv.12087" TargetMode="External" /><Relationship Type="http://schemas.openxmlformats.org/officeDocument/2006/relationships/hyperlink" Id="rId64" Target="https://doi.org/10.1111/j.1365-2427.1993.tb00747.x" TargetMode="External" /><Relationship Type="http://schemas.openxmlformats.org/officeDocument/2006/relationships/hyperlink" Id="rId121" Target="https://doi.org/10.1111/j.1365-2427.2005.01438.x" TargetMode="External" /><Relationship Type="http://schemas.openxmlformats.org/officeDocument/2006/relationships/hyperlink" Id="rId92" Target="https://doi.org/10.1111/j.1365-2427.2011.02595.x" TargetMode="External" /><Relationship Type="http://schemas.openxmlformats.org/officeDocument/2006/relationships/hyperlink" Id="rId143" Target="https://doi.org/10.1111/j.1600-0706.2009.18039.x" TargetMode="External" /><Relationship Type="http://schemas.openxmlformats.org/officeDocument/2006/relationships/hyperlink" Id="rId147" Target="https://doi.org/10.1111/j.1752-4571.2010.00166.x" TargetMode="External" /><Relationship Type="http://schemas.openxmlformats.org/officeDocument/2006/relationships/hyperlink" Id="rId159" Target="https://doi.org/10.1139/cjz-2019-0089" TargetMode="External" /><Relationship Type="http://schemas.openxmlformats.org/officeDocument/2006/relationships/hyperlink" Id="rId107" Target="https://doi.org/10.1139/z01-094" TargetMode="External" /><Relationship Type="http://schemas.openxmlformats.org/officeDocument/2006/relationships/hyperlink" Id="rId113" Target="https://doi.org/10.1139/z90-092" TargetMode="External" /><Relationship Type="http://schemas.openxmlformats.org/officeDocument/2006/relationships/hyperlink" Id="rId55" Target="https://doi.org/10.1146/annurev.ecolsys.31.1.79" TargetMode="External" /><Relationship Type="http://schemas.openxmlformats.org/officeDocument/2006/relationships/hyperlink" Id="rId62" Target="https://doi.org/10.1163/1568539x-00003501" TargetMode="External" /><Relationship Type="http://schemas.openxmlformats.org/officeDocument/2006/relationships/hyperlink" Id="rId129" Target="https://doi.org/10.1371/journal.pone.0002465" TargetMode="External" /><Relationship Type="http://schemas.openxmlformats.org/officeDocument/2006/relationships/hyperlink" Id="rId57" Target="https://doi.org/10.1371/journal.pone.0340001" TargetMode="External" /><Relationship Type="http://schemas.openxmlformats.org/officeDocument/2006/relationships/hyperlink" Id="rId59" Target="https://doi.org/10.1674/0003-0031(2007)158[85:daieoc]2.0.co;2" TargetMode="External" /><Relationship Type="http://schemas.openxmlformats.org/officeDocument/2006/relationships/hyperlink" Id="rId137" Target="https://doi.org/10.1890/0012-9658(1997)078[1388:bmtceo]2.0.co;2" TargetMode="External" /><Relationship Type="http://schemas.openxmlformats.org/officeDocument/2006/relationships/hyperlink" Id="rId157" Target="https://doi.org/10.1890/02-0618" TargetMode="External" /><Relationship Type="http://schemas.openxmlformats.org/officeDocument/2006/relationships/hyperlink" Id="rId127" Target="https://doi.org/10.1890/04-0719" TargetMode="External" /><Relationship Type="http://schemas.openxmlformats.org/officeDocument/2006/relationships/hyperlink" Id="rId155" Target="https://doi.org/10.2307/1936188" TargetMode="External" /><Relationship Type="http://schemas.openxmlformats.org/officeDocument/2006/relationships/hyperlink" Id="rId67" Target="https://doi.org/10.32614/rj-2017-066" TargetMode="External" /><Relationship Type="http://schemas.openxmlformats.org/officeDocument/2006/relationships/hyperlink" Id="rId165" Target="https://doi.org/10.3390/ani14081147" TargetMode="External" /><Relationship Type="http://schemas.openxmlformats.org/officeDocument/2006/relationships/hyperlink" Id="rId151" Target="https://doi.org/10.3897/neobiota.97.139760" TargetMode="External" /><Relationship Type="http://schemas.openxmlformats.org/officeDocument/2006/relationships/hyperlink" Id="rId109" Target="https://doi.org/10.5194/we-25-221-2025" TargetMode="External" /><Relationship Type="http://schemas.openxmlformats.org/officeDocument/2006/relationships/hyperlink" Id="rId117" Target="https://doi.org/10.7717/peerj.665" TargetMode="External" /><Relationship Type="http://schemas.openxmlformats.org/officeDocument/2006/relationships/hyperlink" Id="rId135" Target="https://teara.govt.nz/en/eels" TargetMode="External" /><Relationship Type="http://schemas.openxmlformats.org/officeDocument/2006/relationships/hyperlink" Id="rId13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co-evolved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2026-05-04T04:10:43Z</dcterms:created>
  <dcterms:modified xsi:type="dcterms:W3CDTF">2026-05-04T04:10:43Z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2026-05-04</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