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16.jpg" ContentType="image/jpeg"/>
  <Override PartName="/word/media/rId48.png" ContentType="image/png"/>
  <Override PartName="/word/media/rId61.png" ContentType="image/png"/>
  <Override PartName="/word/media/rId52.png" ContentType="image/png"/>
  <Override PartName="/word/media/rId4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Rock Piles as Kōura Habitat</w:t>
      </w:r>
    </w:p>
    <w:p>
      <w:pPr>
        <w:pStyle w:val="Subtitle"/>
      </w:pPr>
      <w:r>
        <w:t xml:space="preserve">Reinforcing kōura resilience using rock piles to enhance freshwater crayfish habitat in an Aotearoa New Zealand lake</w:t>
      </w:r>
    </w:p>
    <w:p>
      <w:pPr>
        <w:pStyle w:val="FirstParagraph"/>
      </w:pPr>
      <w:r>
        <w:t xml:space="preserve">Olivier V. Raven</w:t>
      </w:r>
      <w:r>
        <w:rPr>
          <w:vertAlign w:val="superscript"/>
        </w:rPr>
        <w:t xml:space="preserve">1*</w:t>
      </w:r>
      <w:r>
        <w:t xml:space="preserve">, 0009-0008-6184-6831</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Placeholder — abstract to be written.</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Habitat restoration</w:t>
      </w:r>
      <w:r>
        <w:t xml:space="preserve">; </w:t>
      </w:r>
      <w:r>
        <w:t xml:space="preserve">Stone piles</w:t>
      </w:r>
      <w:r>
        <w:t xml:space="preserve">; </w:t>
      </w:r>
      <w:r>
        <w:t xml:space="preserve">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5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Ian A. K. Kusabs, Robin Holmes, Francis J. Burdon &amp; Deniz Özkundakci</w:t>
      </w:r>
    </w:p>
    <w:p>
      <w:pPr>
        <w:pStyle w:val="BodyText"/>
      </w:pPr>
      <w:r>
        <w:rPr>
          <w:i/>
          <w:iCs/>
        </w:rPr>
        <w:t xml:space="preserve">Freshwater Biology</w:t>
      </w:r>
      <w:r>
        <w:t xml:space="preserve"> </w:t>
      </w:r>
      <w:r>
        <w:t xml:space="preserve">— In preparation</w:t>
      </w:r>
    </w:p>
    <w:p>
      <w:r>
        <w:br w:type="page"/>
      </w:r>
    </w:p>
    <w:bookmarkStart w:id="19" w:name="abstract"/>
    <w:p>
      <w:pPr>
        <w:pStyle w:val="Heading2"/>
      </w:pPr>
      <w:r>
        <w:t xml:space="preserve">Abstract</w:t>
      </w:r>
    </w:p>
    <w:p>
      <w:pPr>
        <w:pStyle w:val="FirstParagraph"/>
      </w:pPr>
      <w:r>
        <w:t xml:space="preserve">Placeholder — abstract to be written.</w:t>
      </w:r>
    </w:p>
    <w:bookmarkEnd w:id="19"/>
    <w:bookmarkStart w:id="20" w:name="introduction"/>
    <w:p>
      <w:pPr>
        <w:pStyle w:val="Heading2"/>
      </w:pPr>
      <w:r>
        <w:t xml:space="preserve">Introduction</w:t>
      </w:r>
    </w:p>
    <w:p>
      <w:pPr>
        <w:pStyle w:val="FirstParagraph"/>
      </w:pPr>
      <w:r>
        <w:t xml:space="preserve">Freshwater biodiversity is declining faster than any other biome, with one quarter of freshwater fauna now threatened with extinction</w:t>
      </w:r>
      <w:r>
        <w:t xml:space="preserve"> </w:t>
      </w:r>
      <w:r>
        <w:t xml:space="preserve">(Sayer</w:t>
      </w:r>
      <w:r>
        <w:t xml:space="preserve"> </w:t>
      </w:r>
      <w:r>
        <w:rPr>
          <w:i/>
          <w:iCs/>
        </w:rPr>
        <w:t xml:space="preserve">et al.</w:t>
      </w:r>
      <w:r>
        <w:t xml:space="preserve">, 2025)</w:t>
      </w:r>
      <w:r>
        <w:t xml:space="preserve">. Among the most endangered are freshwater crayfish, with 32% of species assessed as threatened globally due to habitat loss, invasive species, and water quality decline</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nutrient cycling, bioturbation, and foodweb dynamics, and their loss can have cascading consequences for freshwater ecosystems</w:t>
      </w:r>
      <w:r>
        <w:t xml:space="preserve"> </w:t>
      </w:r>
      <w:r>
        <w:t xml:space="preserve">(Momot, 1995; Collier, Parkyn &amp; Rabeni, 1997; Parkyn, Collier &amp; Hicks, 2001)</w:t>
      </w:r>
      <w:r>
        <w:t xml:space="preserve">.</w:t>
      </w:r>
    </w:p>
    <w:p>
      <w:pPr>
        <w:pStyle w:val="BodyText"/>
      </w:pPr>
      <w:r>
        <w:t xml:space="preserve">In Aotearoa New Zealand (hereafter Aotearoa), the endemic freshwater crayfish kōura (</w:t>
      </w:r>
      <w:r>
        <w:rPr>
          <w:i/>
          <w:iCs/>
        </w:rPr>
        <w:t xml:space="preserve">Paranephrops planifrons</w:t>
      </w:r>
      <w:r>
        <w:t xml:space="preserve"> </w:t>
      </w:r>
      <w:r>
        <w:t xml:space="preserve">White, 1842) is a taonga (culturally treasured) species of significant ecological and cultural importance to Māori, particularly for Te Arawa iwi of the Rotorua lakes region in the North Island of Aotearoa</w:t>
      </w:r>
      <w:r>
        <w:t xml:space="preserve"> </w:t>
      </w:r>
      <w:r>
        <w:t xml:space="preserve">(Kusabs &amp; Quinn, 2009)</w:t>
      </w:r>
      <w:r>
        <w:t xml:space="preserve">. Kōura support customary fisheries using cultural practices such as tau kōura, yet populations in Lakes Rotoiti and Rotorua have declined by up to 96 % over the past two decades, with consequent loss of these customary practices</w:t>
      </w:r>
      <w:r>
        <w:t xml:space="preserve"> </w:t>
      </w:r>
      <w:r>
        <w:t xml:space="preserve">(Kusabs</w:t>
      </w:r>
      <w:r>
        <w:t xml:space="preserve"> </w:t>
      </w:r>
      <w:r>
        <w:rPr>
          <w:i/>
          <w:iCs/>
        </w:rPr>
        <w:t xml:space="preserve">et al.</w:t>
      </w:r>
      <w:r>
        <w:t xml:space="preserve">, 2015a; Kusabs</w:t>
      </w:r>
      <w:r>
        <w:t xml:space="preserve"> </w:t>
      </w:r>
      <w:r>
        <w:rPr>
          <w:i/>
          <w:iCs/>
        </w:rPr>
        <w:t xml:space="preserve">et al.</w:t>
      </w:r>
      <w:r>
        <w:t xml:space="preserve">, 2026)</w:t>
      </w:r>
      <w:r>
        <w:t xml:space="preserve">. The primary driver of decline is predation by the invasive brown bullhead catfish (</w:t>
      </w:r>
      <w:r>
        <w:rPr>
          <w:i/>
          <w:iCs/>
        </w:rPr>
        <w:t xml:space="preserve">Ameiurus nebulosus</w:t>
      </w:r>
      <w:r>
        <w:t xml:space="preserve"> </w:t>
      </w:r>
      <w:r>
        <w:t xml:space="preserve">Lesueur, 1819, hereafter catfish), confirmed in these lakes in 2016 and 2018</w:t>
      </w:r>
      <w:r>
        <w:t xml:space="preserve"> </w:t>
      </w:r>
      <w:r>
        <w:t xml:space="preserve">(Francis, 2019; Grayling, 2020)</w:t>
      </w:r>
      <w:r>
        <w:t xml:space="preserve">. Catfish are native to eastern North America where they mostly live in muddy slow-moving water bodies and can survive and spawn in a wide temperature range, tolerate poor water quality, low oxygen concentration and have a broad diet</w:t>
      </w:r>
      <w:r>
        <w:t xml:space="preserve"> </w:t>
      </w:r>
      <w:r>
        <w:t xml:space="preserve">(Scott &amp; Crossman, 1973)</w:t>
      </w:r>
      <w:r>
        <w:t xml:space="preserve">, making them a highly adaptable/tolerant invader. Catfish were introduced in Aotearoa in 1877 as sport fish</w:t>
      </w:r>
      <w:r>
        <w:t xml:space="preserve"> </w:t>
      </w:r>
      <w:r>
        <w:t xml:space="preserve">(McDowall, 1994)</w:t>
      </w:r>
      <w:r>
        <w:t xml:space="preserve"> </w:t>
      </w:r>
      <w:r>
        <w:t xml:space="preserve">with their distribution continuously spreading over the upper North Island such as the Waikato River and in 1985 they were detected in Lake Taupō</w:t>
      </w:r>
      <w:r>
        <w:t xml:space="preserve"> </w:t>
      </w:r>
      <w:r>
        <w:t xml:space="preserve">(Barnes &amp; Hicks, 2003)</w:t>
      </w:r>
      <w:r>
        <w:t xml:space="preserve">. In Aotearoa catfish are a major predator on kōura, as 64 % of large catfish (&lt;250 mm fork length) had kōura in their stomach contents</w:t>
      </w:r>
      <w:r>
        <w:t xml:space="preserve"> </w:t>
      </w:r>
      <w:r>
        <w:t xml:space="preserve">(Barnes &amp; Hicks, 2003)</w:t>
      </w:r>
      <w:r>
        <w:t xml:space="preserve">. In combination with predation by catfish kōura are further compressed by multiple interacting stressors that progressively restrict their available habitat. Kōura are naturally found in complex rocky habitats</w:t>
      </w:r>
      <w:r>
        <w:t xml:space="preserve"> </w:t>
      </w:r>
      <w:r>
        <w:t xml:space="preserve">(Jowett, Parkyn &amp; Richardson, 2008; Kusabs, Quinn &amp; Hamilton, 2015b)</w:t>
      </w:r>
      <w:r>
        <w:t xml:space="preserve"> </w:t>
      </w:r>
      <w:r>
        <w:t xml:space="preserve">or in deeper parts of the lake to avoid predation during the day, migrating to the productive littoral zone at night to forage</w:t>
      </w:r>
      <w:r>
        <w:t xml:space="preserve"> </w:t>
      </w:r>
      <w:r>
        <w:t xml:space="preserve">(Devcich, 1979)</w:t>
      </w:r>
      <w:r>
        <w:t xml:space="preserve">. However, thermal stratification creates anoxic conditions in deeper waters, displacing kōura into the shallow littoral zone</w:t>
      </w:r>
      <w:r>
        <w:t xml:space="preserve"> </w:t>
      </w:r>
      <w:r>
        <w:t xml:space="preserve">(Kusabs</w:t>
      </w:r>
      <w:r>
        <w:t xml:space="preserve"> </w:t>
      </w:r>
      <w:r>
        <w:rPr>
          <w:i/>
          <w:iCs/>
        </w:rPr>
        <w:t xml:space="preserve">et al.</w:t>
      </w:r>
      <w:r>
        <w:t xml:space="preserve">, 2026)</w:t>
      </w:r>
      <w:r>
        <w:t xml:space="preserve">, precisely where catfish predation pressure is greatest, as catfish rarely swim beyond 17 m depth</w:t>
      </w:r>
      <w:r>
        <w:t xml:space="preserve"> </w:t>
      </w:r>
      <w:r>
        <w:t xml:space="preserve">(Dedual, 2002)</w:t>
      </w:r>
      <w:r>
        <w:t xml:space="preserve">. This compression is further intensified by dense invasive macrophyte beds obstructing kōura migration in the littoral zone</w:t>
      </w:r>
      <w:r>
        <w:t xml:space="preserve"> </w:t>
      </w:r>
      <w:r>
        <w:t xml:space="preserve">(Kusabs &amp; Quinn, 2009)</w:t>
      </w:r>
      <w:r>
        <w:t xml:space="preserve">, which also intensify oxygen depletion in deeper waters by die-off events</w:t>
      </w:r>
      <w:r>
        <w:t xml:space="preserve"> </w:t>
      </w:r>
      <w:r>
        <w:t xml:space="preserve">(Vincent, Gibbs &amp; Dryden, 1984; Hamilton, McBride &amp; Uraoka, 2005)</w:t>
      </w:r>
      <w:r>
        <w:t xml:space="preserve">. The importance of deep refuge is shown by Lake Taupō, where kōura persist at a depth even in the presence of catfish because the lake remains oxygenated below the thermocline</w:t>
      </w:r>
      <w:r>
        <w:t xml:space="preserve"> </w:t>
      </w:r>
      <w:r>
        <w:t xml:space="preserve">(Verburg &amp; Albert, 2019)</w:t>
      </w:r>
      <w:r>
        <w:t xml:space="preserve">. In Lake Rotoiti this deep refuge becomes anoxic and unavailable for kōura</w:t>
      </w:r>
      <w:r>
        <w:t xml:space="preserve"> </w:t>
      </w:r>
      <w:r>
        <w:t xml:space="preserve">(Kusabs</w:t>
      </w:r>
      <w:r>
        <w:t xml:space="preserve"> </w:t>
      </w:r>
      <w:r>
        <w:rPr>
          <w:i/>
          <w:iCs/>
        </w:rPr>
        <w:t xml:space="preserve">et al.</w:t>
      </w:r>
      <w:r>
        <w:t xml:space="preserve">, 2026)</w:t>
      </w:r>
      <w:r>
        <w:t xml:space="preserve">. Next to direct predation catfish exposure triggers anti-predator responses in kōura including increased refuge use</w:t>
      </w:r>
      <w:r>
        <w:t xml:space="preserve"> </w:t>
      </w:r>
      <w:r>
        <w:t xml:space="preserve">(Raven</w:t>
      </w:r>
      <w:r>
        <w:t xml:space="preserve"> </w:t>
      </w:r>
      <w:r>
        <w:rPr>
          <w:i/>
          <w:iCs/>
        </w:rPr>
        <w:t xml:space="preserve">et al.</w:t>
      </w:r>
      <w:r>
        <w:t xml:space="preserve">, 2026a)</w:t>
      </w:r>
      <w:r>
        <w:t xml:space="preserve">, reducing time available for foraging and potentially suppressing growth and reproduction</w:t>
      </w:r>
      <w:r>
        <w:t xml:space="preserve"> </w:t>
      </w:r>
      <w:r>
        <w:t xml:space="preserve">(Preisser, Bolnick &amp; Benard, 2005; Sheriff</w:t>
      </w:r>
      <w:r>
        <w:t xml:space="preserve"> </w:t>
      </w:r>
      <w:r>
        <w:rPr>
          <w:i/>
          <w:iCs/>
        </w:rPr>
        <w:t xml:space="preserve">et al.</w:t>
      </w:r>
      <w:r>
        <w:t xml:space="preserve">, 2020)</w:t>
      </w:r>
      <w:r>
        <w:t xml:space="preserve">. Climate change is expected to strengthen thermal stratification, expand anoxic zones</w:t>
      </w:r>
      <w:r>
        <w:t xml:space="preserve"> </w:t>
      </w:r>
      <w:r>
        <w:t xml:space="preserve">(Woolway</w:t>
      </w:r>
      <w:r>
        <w:t xml:space="preserve"> </w:t>
      </w:r>
      <w:r>
        <w:rPr>
          <w:i/>
          <w:iCs/>
        </w:rPr>
        <w:t xml:space="preserve">et al.</w:t>
      </w:r>
      <w:r>
        <w:t xml:space="preserve">, 2021)</w:t>
      </w:r>
      <w:r>
        <w:t xml:space="preserve">, and increase the range of suitable catfish habitat in Aotearoa, further reducing kōura persistence</w:t>
      </w:r>
      <w:r>
        <w:t xml:space="preserve"> </w:t>
      </w:r>
      <w:r>
        <w:t xml:space="preserve">(Lee</w:t>
      </w:r>
      <w:r>
        <w:t xml:space="preserve"> </w:t>
      </w:r>
      <w:r>
        <w:rPr>
          <w:i/>
          <w:iCs/>
        </w:rPr>
        <w:t xml:space="preserve">et al.</w:t>
      </w:r>
      <w:r>
        <w:t xml:space="preserve">, 2025)</w:t>
      </w:r>
      <w:r>
        <w:t xml:space="preserve">.</w:t>
      </w:r>
    </w:p>
    <w:p>
      <w:pPr>
        <w:pStyle w:val="BodyText"/>
      </w:pPr>
      <w:r>
        <w:t xml:space="preserve">The compression of kōura into the littoral zone makes the quality of nearshore habitats increasingly important for kōura populations. In stream environments, kōura are positively associated with structurally complex habitats including bank undercuts, woody debris, leaf litter, and coarse substrates</w:t>
      </w:r>
      <w:r>
        <w:t xml:space="preserve"> </w:t>
      </w:r>
      <w:r>
        <w:t xml:space="preserve">(Usio &amp; Townsend, 2000; Parkyn &amp; Collier, 2004; Jowett</w:t>
      </w:r>
      <w:r>
        <w:t xml:space="preserve"> </w:t>
      </w:r>
      <w:r>
        <w:rPr>
          <w:i/>
          <w:iCs/>
        </w:rPr>
        <w:t xml:space="preserve">et al.</w:t>
      </w:r>
      <w:r>
        <w:t xml:space="preserve">, 2008; Parkyn, Meleason &amp; Davies-Colley, 2009)</w:t>
      </w:r>
      <w:r>
        <w:t xml:space="preserve">. In lake environments benthic substrate characteristics are a stronger predictor of kōura distribution than nutrient enrichment or predator abundance</w:t>
      </w:r>
      <w:r>
        <w:t xml:space="preserve"> </w:t>
      </w:r>
      <w:r>
        <w:t xml:space="preserve">(Kusabs</w:t>
      </w:r>
      <w:r>
        <w:t xml:space="preserve"> </w:t>
      </w:r>
      <w:r>
        <w:rPr>
          <w:i/>
          <w:iCs/>
        </w:rPr>
        <w:t xml:space="preserve">et al.</w:t>
      </w:r>
      <w:r>
        <w:t xml:space="preserve">, 2015b)</w:t>
      </w:r>
      <w:r>
        <w:t xml:space="preserve">, and kōura are positively associated with coarse substrates and riparian vegetation</w:t>
      </w:r>
      <w:r>
        <w:t xml:space="preserve"> </w:t>
      </w:r>
      <w:r>
        <w:t xml:space="preserve">(Raven</w:t>
      </w:r>
      <w:r>
        <w:t xml:space="preserve"> </w:t>
      </w:r>
      <w:r>
        <w:rPr>
          <w:i/>
          <w:iCs/>
        </w:rPr>
        <w:t xml:space="preserve">et al.</w:t>
      </w:r>
      <w:r>
        <w:t xml:space="preserve">, 2026b)</w:t>
      </w:r>
      <w:r>
        <w:t xml:space="preserve">. Coarse rocky substrate provides refugia from predators and shelter during moulting</w:t>
      </w:r>
      <w:r>
        <w:t xml:space="preserve"> </w:t>
      </w:r>
      <w:r>
        <w:t xml:space="preserve">(Streissl &amp; Hödl, 2002)</w:t>
      </w:r>
      <w:r>
        <w:t xml:space="preserve">. Experimental studies confirm that shelter availability directly reduces catfish predation on crayfish</w:t>
      </w:r>
      <w:r>
        <w:t xml:space="preserve"> </w:t>
      </w:r>
      <w:r>
        <w:t xml:space="preserve">(Adams, 2007; Zhao</w:t>
      </w:r>
      <w:r>
        <w:t xml:space="preserve"> </w:t>
      </w:r>
      <w:r>
        <w:rPr>
          <w:i/>
          <w:iCs/>
        </w:rPr>
        <w:t xml:space="preserve">et al.</w:t>
      </w:r>
      <w:r>
        <w:t xml:space="preserve">, 2024)</w:t>
      </w:r>
      <w:r>
        <w:t xml:space="preserve">, and kōura increase refuge use in the presence of catfish compared to native predators</w:t>
      </w:r>
      <w:r>
        <w:t xml:space="preserve"> </w:t>
      </w:r>
      <w:r>
        <w:t xml:space="preserve">(Raven</w:t>
      </w:r>
      <w:r>
        <w:t xml:space="preserve"> </w:t>
      </w:r>
      <w:r>
        <w:rPr>
          <w:i/>
          <w:iCs/>
        </w:rPr>
        <w:t xml:space="preserve">et al.</w:t>
      </w:r>
      <w:r>
        <w:t xml:space="preserve">, 2026a)</w:t>
      </w:r>
      <w:r>
        <w:t xml:space="preserve">, emphasising the importance of shelter availability for kōura populations. Shelter availability is likely a limiting factor for kōura in Lake Rotoiti, where the majority of the shoreline is sandy with dense beds of introduced macrophytes and little natural rocky structure. Adding rocky substrate to soft-bottomed lake areas has been shown to significantly increase crayfish abundance</w:t>
      </w:r>
      <w:r>
        <w:t xml:space="preserve"> </w:t>
      </w:r>
      <w:r>
        <w:t xml:space="preserve">(Johnsen &amp; Taugbøl, 2008)</w:t>
      </w:r>
      <w:r>
        <w:t xml:space="preserve">, and increasing structural complexity in streams improves crayfish restocking success</w:t>
      </w:r>
      <w:r>
        <w:t xml:space="preserve"> </w:t>
      </w:r>
      <w:r>
        <w:t xml:space="preserve">(Huolila, Marjomäki &amp; Laukkanen, 1997)</w:t>
      </w:r>
      <w:r>
        <w:t xml:space="preserve">. Deploying habitat enhancement structures that add structurally complexity in the littoral zone could potentially be a practical way to restore kōura populations in Lake Rotoiti.</w:t>
      </w:r>
    </w:p>
    <w:p>
      <w:pPr>
        <w:pStyle w:val="BodyText"/>
      </w:pPr>
      <w:r>
        <w:t xml:space="preserve">In this study habitat enhancement structures in the shape of stone piles were deployed along the shoreline of Lake Rotoiti to investigate the ability of the structures in providing additional habitat for kōura to live and hide from predators. Kōura presence, abundance, and biomass were monitored at stone pile, control, and reference sites over 18 months. We predicted that kōura occupancy, abundance and biomass would increase at stone pile sites relative to control sites after construction, and that catfish would not change. We further predicted that kōura abundance would keep increasing progressively after construction, at least within the first 18 months, and that catfish would instead show seasonal patterns of shoreline use rather than a construction-driven trend</w:t>
      </w:r>
      <w:r>
        <w:t xml:space="preserve"> </w:t>
      </w:r>
      <w:r>
        <w:t xml:space="preserve">(Barnes, 1996; Dedual, 2002)</w:t>
      </w:r>
      <w:r>
        <w:t xml:space="preserve">. Finally, we predicted that stone pile sites would progressively converge toward kōura densities observed at natural rocky reference sites, and that catfish would not show this pattern.</w:t>
      </w:r>
    </w:p>
    <w:bookmarkEnd w:id="20"/>
    <w:bookmarkStart w:id="24" w:name="materials-and-methods"/>
    <w:p>
      <w:pPr>
        <w:pStyle w:val="Heading2"/>
      </w:pPr>
      <w:r>
        <w:t xml:space="preserve">Materials and Methods</w:t>
      </w:r>
    </w:p>
    <w:bookmarkStart w:id="21" w:name="study-location-and-construction"/>
    <w:p>
      <w:pPr>
        <w:pStyle w:val="Heading3"/>
      </w:pPr>
      <w:r>
        <w:t xml:space="preserve">Study location and construction</w:t>
      </w:r>
    </w:p>
    <w:p>
      <w:pPr>
        <w:pStyle w:val="FirstParagraph"/>
      </w:pPr>
      <w:r>
        <w:t xml:space="preserve">Lake Rotoiti (-38.03, 176.42) is a warm monomictic mesotrophic lake located in the Rotorua Te Arawa Lakes region of the North Island of Aotearoa (34 km², maximum depth 128 m). The lake stratifies for approximately nine months a year. Since 2008, nutrient-rich inflows from Lake Rotorua have been diverted toward the Kaituna River via the Ōhau Channel diversion wall to improve water quality in Lake Rotoiti</w:t>
      </w:r>
      <w:r>
        <w:t xml:space="preserve"> </w:t>
      </w:r>
      <w:r>
        <w:t xml:space="preserve">(Hamilton</w:t>
      </w:r>
      <w:r>
        <w:t xml:space="preserve"> </w:t>
      </w:r>
      <w:r>
        <w:rPr>
          <w:i/>
          <w:iCs/>
        </w:rPr>
        <w:t xml:space="preserve">et al.</w:t>
      </w:r>
      <w:r>
        <w:t xml:space="preserve">, 2005; Prentice &amp; Özkundakci, 2024)</w:t>
      </w:r>
      <w:r>
        <w:t xml:space="preserve">. Lake level is regulated by a weir at the outlet of the Kaituna River, providing a stable and controlled water level throughout the year. Catfish are present throughout the lake but occur in particularly high concentrations in Te Weta Bay on the North West side of the lake</w:t>
      </w:r>
      <w:r>
        <w:t xml:space="preserve"> </w:t>
      </w:r>
      <w:r>
        <w:t xml:space="preserve">(Francis, 2019)</w:t>
      </w:r>
      <w:r>
        <w:t xml:space="preserve">. Five stone pile sites were selected alongside the lake shoreline based on accessibility and land owner approval (</w:t>
      </w:r>
      <w:hyperlink w:anchor="fig-sites">
        <w:r>
          <w:rPr>
            <w:rStyle w:val="Hyperlink"/>
          </w:rPr>
          <w:t xml:space="preserve">Figure 1</w:t>
        </w:r>
      </w:hyperlink>
      <w:r>
        <w:t xml:space="preserve">). At each stone pile site, a paired control site was established 50 m along the shoreline in the same habitat type. Five naturally occurring rocky shoreline locations were selected as reference sites, each with two monitoring points 50 m apart. In total 20 sites of 150 m² (15 * 10 m) were monitored seasonally over 18 months. Baseline monitoring was conducted in February 2025 prior to stone pile deployment, which occurred the following week. Stone piles were constructed from locally sourced quarry rock (Manawahe Stone and Quarry, ~25 km from the lake) with a size range of 50 - 400 mm. At each of the five stone pile sites, three stone piles were arranged horizontally along the shoreline by hand from the shore. Stone pile design was informed by mesocosm experiments demonstrating kōura preference for enclosed stone structures</w:t>
      </w:r>
      <w:r>
        <w:t xml:space="preserve"> </w:t>
      </w:r>
      <w:r>
        <w:t xml:space="preserve">(Raven</w:t>
      </w:r>
      <w:r>
        <w:t xml:space="preserve"> </w:t>
      </w:r>
      <w:r>
        <w:rPr>
          <w:i/>
          <w:iCs/>
        </w:rPr>
        <w:t xml:space="preserve">et al.</w:t>
      </w:r>
      <w:r>
        <w:t xml:space="preserve">, in review)</w:t>
      </w:r>
      <w:r>
        <w:t xml:space="preserve">. Stone piles were positioned approximately 4.3 m from shore at a mean depth of 0.49 m and with a mean area of 4.1 m².</w:t>
      </w:r>
    </w:p>
    <w:bookmarkEnd w:id="21"/>
    <w:bookmarkStart w:id="22" w:name="monitoring"/>
    <w:p>
      <w:pPr>
        <w:pStyle w:val="Heading3"/>
      </w:pPr>
      <w:r>
        <w:t xml:space="preserve">Monitoring</w:t>
      </w:r>
    </w:p>
    <w:p>
      <w:pPr>
        <w:pStyle w:val="FirstParagraph"/>
      </w:pPr>
      <w:r>
        <w:t xml:space="preserve">Monitoring consisted of physical, chemical, and biological parameters recorded at each site during each monitoring round. Static site characteristics including substrate composition, slope to depth contour, riparian vegetation, overhanging tree cover and wood cover were visually estimated at baseline monitoring only, as these were not expected to change substantially over the monitoring period. Substrate composition was visually estimated using an underwater viewing chamber, categorising bedrock, boulders (&gt;256 mm), cobble (64–256 mm), gravel (2–64 mm), sand (0.063–2 mm), mud (&lt;0.063 mm), and organic matter. A substrate index was calculated from these estimates</w:t>
      </w:r>
      <w:r>
        <w:t xml:space="preserve"> </w:t>
      </w:r>
      <w:r>
        <w:t xml:space="preserve">(Jowett &amp; Richardson, 1990; Jowett</w:t>
      </w:r>
      <w:r>
        <w:t xml:space="preserve"> </w:t>
      </w:r>
      <w:r>
        <w:rPr>
          <w:i/>
          <w:iCs/>
        </w:rPr>
        <w:t xml:space="preserve">et al.</w:t>
      </w:r>
      <w:r>
        <w:t xml:space="preserve">, 2008)</w:t>
      </w:r>
      <w:r>
        <w:t xml:space="preserve">:</w:t>
      </w:r>
    </w:p>
    <w:p>
      <w:pPr>
        <w:pStyle w:val="BodyText"/>
      </w:pPr>
      <m:oMathPara>
        <m:oMathParaPr>
          <m:jc m:val="center"/>
        </m:oMathParaPr>
        <m:oMath>
          <m:r>
            <m:rPr>
              <m:nor/>
              <m:sty m:val="p"/>
            </m:rPr>
            <m:t>Substrate index</m:t>
          </m:r>
          <m:r>
            <m:rPr>
              <m:sty m:val="p"/>
            </m:rPr>
            <m:t>=</m:t>
          </m:r>
          <m:r>
            <m:t>0.08</m:t>
          </m:r>
          <m:r>
            <m:rPr>
              <m:sty m:val="p"/>
            </m:rPr>
            <m:t>×</m:t>
          </m:r>
          <m:r>
            <m:rPr>
              <m:nor/>
              <m:sty m:val="p"/>
            </m:rPr>
            <m:t>bedrock</m:t>
          </m:r>
          <m:r>
            <m:rPr>
              <m:sty m:val="p"/>
            </m:rPr>
            <m:t>+</m:t>
          </m:r>
          <m:r>
            <m:t>0.07</m:t>
          </m:r>
          <m:r>
            <m:rPr>
              <m:sty m:val="p"/>
            </m:rPr>
            <m:t>×</m:t>
          </m:r>
          <m:r>
            <m:rPr>
              <m:nor/>
              <m:sty m:val="p"/>
            </m:rPr>
            <m:t>boulders</m:t>
          </m:r>
          <m:r>
            <m:rPr>
              <m:sty m:val="p"/>
            </m:rPr>
            <m:t>+</m:t>
          </m:r>
          <m:r>
            <m:t>0.06</m:t>
          </m:r>
          <m:r>
            <m:rPr>
              <m:sty m:val="p"/>
            </m:rPr>
            <m:t>×</m:t>
          </m:r>
          <m:r>
            <m:rPr>
              <m:nor/>
              <m:sty m:val="p"/>
            </m:rPr>
            <m:t>cobble</m:t>
          </m:r>
          <m:r>
            <m:rPr>
              <m:sty m:val="p"/>
            </m:rPr>
            <m:t>+</m:t>
          </m:r>
          <m:r>
            <m:t>0.04</m:t>
          </m:r>
          <m:r>
            <m:rPr>
              <m:sty m:val="p"/>
            </m:rPr>
            <m:t>×</m:t>
          </m:r>
          <m:r>
            <m:rPr>
              <m:nor/>
              <m:sty m:val="p"/>
            </m:rPr>
            <m:t>gravel</m:t>
          </m:r>
          <m:r>
            <m:rPr>
              <m:sty m:val="p"/>
            </m:rPr>
            <m:t>+</m:t>
          </m:r>
          <m:r>
            <m:t>0.03</m:t>
          </m:r>
          <m:r>
            <m:rPr>
              <m:sty m:val="p"/>
            </m:rPr>
            <m:t>×</m:t>
          </m:r>
          <m:r>
            <m:rPr>
              <m:nor/>
              <m:sty m:val="p"/>
            </m:rPr>
            <m:t>sand</m:t>
          </m:r>
          <m:r>
            <m:rPr>
              <m:sty m:val="p"/>
            </m:rPr>
            <m:t>+</m:t>
          </m:r>
          <m:r>
            <m:t>0.02</m:t>
          </m:r>
          <m:r>
            <m:rPr>
              <m:sty m:val="p"/>
            </m:rPr>
            <m:t>×</m:t>
          </m:r>
          <m:r>
            <m:rPr>
              <m:nor/>
              <m:sty m:val="p"/>
            </m:rPr>
            <m:t>organic matter</m:t>
          </m:r>
          <m:r>
            <m:rPr>
              <m:sty m:val="p"/>
            </m:rPr>
            <m:t>+</m:t>
          </m:r>
          <m:r>
            <m:t>0.01</m:t>
          </m:r>
          <m:r>
            <m:rPr>
              <m:sty m:val="p"/>
            </m:rPr>
            <m:t>×</m:t>
          </m:r>
          <m:r>
            <m:rPr>
              <m:nor/>
              <m:sty m:val="p"/>
            </m:rPr>
            <m:t>mud</m:t>
          </m:r>
        </m:oMath>
      </m:oMathPara>
    </w:p>
    <w:p>
      <w:pPr>
        <w:pStyle w:val="FirstParagraph"/>
      </w:pPr>
      <w:r>
        <w:t xml:space="preserve">Coarser substrates were assigned higher weights as they provide greater interstitial pore space and stable structures used by kōura as refuge</w:t>
      </w:r>
      <w:r>
        <w:t xml:space="preserve"> </w:t>
      </w:r>
      <w:r>
        <w:t xml:space="preserve">(Usio &amp; Townsend, 2000; Nyström</w:t>
      </w:r>
      <w:r>
        <w:t xml:space="preserve"> </w:t>
      </w:r>
      <w:r>
        <w:rPr>
          <w:i/>
          <w:iCs/>
        </w:rPr>
        <w:t xml:space="preserve">et al.</w:t>
      </w:r>
      <w:r>
        <w:t xml:space="preserve">, 2006)</w:t>
      </w:r>
      <w:r>
        <w:t xml:space="preserve">. After stone pile construction, measurements of the size and dimensions of each structure were taken. The post-construction substrate index for stone pile sites was recalculated using each site’s combined stone-pile footprint area, expressed as a percentage of the 150 m² site area and treated as 80 % cobble and 20 % boulders displacing an equivalent area of sand, to reflect their contribution to substrate complexity. Slope was assessed as the horizontal distance from the shoreline to the 20 m depth contour, derived from bathymetric maps and measured in a projected coordinate system (NZTM2000; EPSG:2193).</w:t>
      </w:r>
    </w:p>
    <w:p>
      <w:pPr>
        <w:pStyle w:val="BodyText"/>
      </w:pPr>
      <w:r>
        <w:t xml:space="preserve">Seasonal variable parameters were recorded at every monitoring round, and included aquatic vegetation cover (emergent and submerged macrophytes) and chemical parameters included water temperature (°C), dissolved oxygen (mg L⁻¹), and conductivity (µS cm⁻¹) were measured using a YSI ProSolo meter (Pro2030, YSI Inc., Yellow Springs, OH, USA). pH was measured using a handheld pH meter (EC-PCTestr35, Eutech Instruments).</w:t>
      </w:r>
    </w:p>
    <w:p>
      <w:pPr>
        <w:pStyle w:val="BodyText"/>
      </w:pPr>
      <w:r>
        <w:t xml:space="preserve">Kōura and fish were every monitoring round sampled using two single-winged, double-throated fyke nets (600 mm high D-shaped entrance hoop) and two collapsible bait traps (480 × 250 mm; two 50 mm entrance openings) baited with catfish flesh</w:t>
      </w:r>
      <w:r>
        <w:t xml:space="preserve"> </w:t>
      </w:r>
      <w:r>
        <w:t xml:space="preserve">(MacNeil</w:t>
      </w:r>
      <w:r>
        <w:t xml:space="preserve"> </w:t>
      </w:r>
      <w:r>
        <w:rPr>
          <w:i/>
          <w:iCs/>
        </w:rPr>
        <w:t xml:space="preserve">et al.</w:t>
      </w:r>
      <w:r>
        <w:t xml:space="preserve">, 2025)</w:t>
      </w:r>
      <w:r>
        <w:t xml:space="preserve">. Fyke nets were placed perpendicular to the shoreline outside of the stone pile structures or at 10 m intervals, with bait traps positioned between them. All equipment was deployed simultaneously at each site for a 24-h period. Captured kōura were measured for orbital carapace length (OCL) using a digital calliper (0.01 mm precision; 150 mm) and for wet mass using a digital scale (±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w:t>
      </w:r>
      <w:r>
        <w:rPr>
          <w:i/>
          <w:iCs/>
        </w:rPr>
        <w:t xml:space="preserve">Oncorhynchus mykiss</w:t>
      </w:r>
      <w:r>
        <w:t xml:space="preserve"> </w:t>
      </w:r>
      <w:r>
        <w:t xml:space="preserve">Walbaum, 1792),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 for each monitoring round</w:t>
      </w:r>
      <w:r>
        <w:t xml:space="preserve"> </w:t>
      </w:r>
      <w:r>
        <w:t xml:space="preserve">(Kusabs</w:t>
      </w:r>
      <w:r>
        <w:t xml:space="preserve"> </w:t>
      </w:r>
      <w:r>
        <w:rPr>
          <w:i/>
          <w:iCs/>
        </w:rPr>
        <w:t xml:space="preserve">et al.</w:t>
      </w:r>
      <w:r>
        <w:t xml:space="preserve">, 2015b)</w:t>
      </w:r>
      <w:r>
        <w:t xml:space="preserve">. Missing kōura weights due to failure of scale (n = 36) were estimated using a log₁₀–log₁₀ length–weight regression fitted to individuals with both measurements (n = 757), following standard approaches for weight length relationships in aquatic organisms</w:t>
      </w:r>
      <w:r>
        <w:t xml:space="preserve"> </w:t>
      </w:r>
      <w:hyperlink w:anchor="fig-length-weight">
        <w:r>
          <w:rPr>
            <w:rStyle w:val="Hyperlink"/>
          </w:rPr>
          <w:t xml:space="preserve">Figure 5</w:t>
        </w:r>
      </w:hyperlink>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2.67</m:t>
          </m:r>
          <m:r>
            <m:rPr>
              <m:sty m:val="p"/>
            </m:rPr>
            <m:t>+</m:t>
          </m:r>
          <m:r>
            <m:t>2.683</m:t>
          </m:r>
          <m:r>
            <m:rPr>
              <m:sty m:val="p"/>
            </m:rPr>
            <m:t>×</m:t>
          </m:r>
          <m:sSub>
            <m:e>
              <m:r>
                <m:rPr>
                  <m:sty m:val="p"/>
                </m:rPr>
                <m:t>log</m:t>
              </m:r>
            </m:e>
            <m:sub>
              <m:r>
                <m:t>10</m:t>
              </m:r>
            </m:sub>
          </m:sSub>
          <m:r>
            <m:rPr>
              <m:sty m:val="p"/>
            </m:rPr>
            <m:t>(</m:t>
          </m:r>
          <m:r>
            <m:rPr>
              <m:nor/>
              <m:sty m:val="p"/>
            </m:rPr>
            <m:t>OCL length [mm]</m:t>
          </m:r>
          <m:r>
            <m:rPr>
              <m:sty m:val="p"/>
            </m:rPr>
            <m:t>)</m:t>
          </m:r>
        </m:oMath>
      </m:oMathPara>
    </w:p>
    <w:bookmarkEnd w:id="22"/>
    <w:bookmarkStart w:id="23" w:name="data-analysis"/>
    <w:p>
      <w:pPr>
        <w:pStyle w:val="Heading3"/>
      </w:pPr>
      <w:r>
        <w:t xml:space="preserve">Data analysis</w:t>
      </w:r>
    </w:p>
    <w:p>
      <w:pPr>
        <w:pStyle w:val="FirstParagraph"/>
      </w:pPr>
      <w:r>
        <w:t xml:space="preserve">Data analysis was divided into three sections, the first section assessed baseline equivalence between stone pile, control, and reference sites before construction, the second section assessed the impact of stone pile construction and after-construction trajectory on kōura and catfish occupancy, abundance, and biomass, and the third section assessed whether stone pile sites converged toward reference sites and if reference sites remained stable over time. All analysis was conducted in R (version 4.5.2;</w:t>
      </w:r>
      <w:r>
        <w:t xml:space="preserve"> </w:t>
      </w:r>
      <w:r>
        <w:t xml:space="preserve">R Core Team (2025)</w:t>
      </w:r>
      <w:r>
        <w:t xml:space="preserve">) using the glmmTMB and emmeans packages</w:t>
      </w:r>
      <w:r>
        <w:t xml:space="preserve"> </w:t>
      </w:r>
      <w:r>
        <w:t xml:space="preserve">(Brooks</w:t>
      </w:r>
      <w:r>
        <w:t xml:space="preserve"> </w:t>
      </w:r>
      <w:r>
        <w:rPr>
          <w:i/>
          <w:iCs/>
        </w:rPr>
        <w:t xml:space="preserve">et al.</w:t>
      </w:r>
      <w:r>
        <w:t xml:space="preserve">, 2017; Lenth &amp; Piaskowski, 2017)</w:t>
      </w:r>
      <w:r>
        <w:t xml:space="preserve">.</w:t>
      </w:r>
    </w:p>
    <w:p>
      <w:pPr>
        <w:pStyle w:val="BodyText"/>
      </w:pPr>
      <w:r>
        <w:t xml:space="preserve">Site variation before stone pile construction was assessed using paired Wilcoxon signed-rank tests to compare stone pile sites with their paired control sites, and unpaired Wilcoxon rank-sum tests to compare stone pile sites with reference sites. This was done for response variables (water quality, substrate, CPUE, BPUE) to confirm that the stone pile and control sites were equivalent before construction, and to characterise the difference between stone pile and reference sites. To further assess the baseline equivalence generalised linear models (GLMs) were fitted testing the CPUE and BPUE of kōura and catfish against site type (stone pile/control) and tested each of the two reference sites (reference 1/reference 2) with a Tweedie family and log link. The covariate temperature was included in the catfish abundance and biomass models testing the reference sites to allow model convergence.</w:t>
      </w:r>
    </w:p>
    <w:p>
      <w:pPr>
        <w:pStyle w:val="BodyText"/>
      </w:pPr>
      <w:r>
        <w:t xml:space="preserve">The second section of the analysis tested construction impact relative to control sites using a before-after, control-impact (BACI) design</w:t>
      </w:r>
      <w:r>
        <w:t xml:space="preserve"> </w:t>
      </w:r>
      <w:r>
        <w:t xml:space="preserve">(Underwood, 1994)</w:t>
      </w:r>
      <w:r>
        <w:t xml:space="preserve"> </w:t>
      </w:r>
      <w:r>
        <w:t xml:space="preserve">and tested after-construction trajectory of kōura and catfish populations. The BACI design tested using generalised linear mixed effects models (GLMMs) the effect of stone pile construction on kōura and catfish occupancy, abundance, and biomass by comparing one pre-construction monitoring round with six post-construction monitoring rounds. The models tested period (before/after) and site type (stone pile/control) as an interaction term, with monitoring round as a covariate and site nested within pair as a random effect. Occupancy was tested with a Binomial family and abundance and biomass using a Tweedie family with log link. The after-construction trajectory models were tested using GLMMs with site type (stone pile/control) and monitoring round as interaction terms and site number as random effect using similar families as the BACI models.</w:t>
      </w:r>
    </w:p>
    <w:p>
      <w:pPr>
        <w:pStyle w:val="BodyText"/>
      </w:pPr>
      <w:r>
        <w:t xml:space="preserve">The third section of the analysis assessed whether stone pile sites converged toward reference sites and if reference sites remained stable over time. Kōura and catfish abundance, and biomass were tested in GLMMs fitted with site type (stone pile/reference) and monitoring round as interaction terms with site number as random effect using a Tweedie family with log link. The catfish abundance model also included temperature as a covariate. The reference site stability was tested in GLMMs fitted with site type (reference 1/reference 2) and monitoring round as interaction terms with site nested within pair as a random effect also using a Tweedie family with log link. Temperature was included in the catfish abundance and season was included in the kōura abundance as covariates.</w:t>
      </w:r>
    </w:p>
    <w:p>
      <w:pPr>
        <w:pStyle w:val="BodyText"/>
      </w:pPr>
      <w:r>
        <w:t xml:space="preserve">Multiple-testing correction using Benjamini–Hochberg correction was applied within each research sub-question across the set of models tested. Robustness of the models was further assessed via sensitivity analyses and all models were tested for uniform distribution, dispersion, and outlier rate using the DHARMa package</w:t>
      </w:r>
      <w:r>
        <w:t xml:space="preserve"> </w:t>
      </w:r>
      <w:r>
        <w:t xml:space="preserve">(Hartig, 2016)</w:t>
      </w:r>
      <w:r>
        <w:t xml:space="preserve">. Covariate selection for each model was preformend by comparing Corrected Akaike Information Criterion (AICc) of the base model against models with one additional covariate (temperature, season, or substrate index) added at a time. A covariate was retained only when it reduced AICc by more then 2 units relative to the base model</w:t>
      </w:r>
      <w:r>
        <w:t xml:space="preserve"> </w:t>
      </w:r>
      <w:r>
        <w:t xml:space="preserve">(Advanced issues and deeper insights, 2002)</w:t>
      </w:r>
      <w:r>
        <w:t xml:space="preserve">. Temperature was retained in in catfish models where it substantially improved model fit, consistent with catfish being associated with warmer water temperatures</w:t>
      </w:r>
      <w:r>
        <w:t xml:space="preserve"> </w:t>
      </w:r>
      <w:r>
        <w:t xml:space="preserve">(Scott &amp; Crossman, 1973)</w:t>
      </w:r>
      <w:r>
        <w:t xml:space="preserve">. For the two reference-site catfish models specifically, the base model failed to converge and temperature was required for numerical stability. Season was retained in the kōura abundance model for reference stability, reflecting the known seasonal variation in kōura abundance</w:t>
      </w:r>
      <w:r>
        <w:t xml:space="preserve"> </w:t>
      </w:r>
      <w:r>
        <w:t xml:space="preserve">(Kusabs</w:t>
      </w:r>
      <w:r>
        <w:t xml:space="preserve"> </w:t>
      </w:r>
      <w:r>
        <w:rPr>
          <w:i/>
          <w:iCs/>
        </w:rPr>
        <w:t xml:space="preserve">et al.</w:t>
      </w:r>
      <w:r>
        <w:t xml:space="preserve">, 2015b)</w:t>
      </w:r>
      <w:r>
        <w:t xml:space="preserve">. Season could not be evaluated for the BACI models as it is collinear with the before/after period contrast.</w:t>
      </w:r>
    </w:p>
    <w:bookmarkEnd w:id="23"/>
    <w:bookmarkEnd w:id="24"/>
    <w:bookmarkStart w:id="25" w:name="results"/>
    <w:p>
      <w:pPr>
        <w:pStyle w:val="Heading2"/>
      </w:pPr>
      <w:r>
        <w:t xml:space="preserve">Results</w:t>
      </w:r>
    </w:p>
    <w:p>
      <w:pPr>
        <w:pStyle w:val="FirstParagraph"/>
      </w:pPr>
      <w:hyperlink w:anchor="fig-koura-trends">
        <w:r>
          <w:rPr>
            <w:rStyle w:val="Hyperlink"/>
          </w:rPr>
          <w:t xml:space="preserve">Figure 2</w:t>
        </w:r>
      </w:hyperlink>
    </w:p>
    <w:p>
      <w:pPr>
        <w:pStyle w:val="BodyText"/>
      </w:pPr>
      <w:hyperlink w:anchor="fig-forest-plot">
        <w:r>
          <w:rPr>
            <w:rStyle w:val="Hyperlink"/>
          </w:rPr>
          <w:t xml:space="preserve">Figure 4</w:t>
        </w:r>
      </w:hyperlink>
    </w:p>
    <w:p>
      <w:pPr>
        <w:pStyle w:val="BodyText"/>
      </w:pPr>
      <w:r>
        <w:rPr>
          <w:i/>
          <w:iCs/>
        </w:rPr>
        <w:t xml:space="preserve">Baseline equivalence</w:t>
      </w:r>
    </w:p>
    <w:p>
      <w:pPr>
        <w:pStyle w:val="BodyText"/>
      </w:pPr>
      <w:r>
        <w:rPr>
          <w:i/>
          <w:iCs/>
        </w:rPr>
        <w:t xml:space="preserve">Construction impact relative to control sites</w:t>
      </w:r>
    </w:p>
    <w:p>
      <w:pPr>
        <w:pStyle w:val="BodyText"/>
      </w:pPr>
      <w:r>
        <w:rPr>
          <w:i/>
          <w:iCs/>
        </w:rPr>
        <w:t xml:space="preserve">Recovery toward reference conditions</w:t>
      </w:r>
    </w:p>
    <w:p>
      <w:pPr>
        <w:pStyle w:val="BodyText"/>
      </w:pPr>
      <w:hyperlink w:anchor="fig-convergence-plot">
        <w:r>
          <w:rPr>
            <w:rStyle w:val="Hyperlink"/>
          </w:rPr>
          <w:t xml:space="preserve">Figure 3</w:t>
        </w:r>
      </w:hyperlink>
    </w:p>
    <w:bookmarkEnd w:id="25"/>
    <w:bookmarkStart w:id="31" w:name="discussion"/>
    <w:p>
      <w:pPr>
        <w:pStyle w:val="Heading2"/>
      </w:pPr>
      <w:r>
        <w:t xml:space="preserve">Discussion</w:t>
      </w:r>
    </w:p>
    <w:p>
      <w:pPr>
        <w:pStyle w:val="FirstParagraph"/>
      </w:pPr>
      <w:r>
        <w:rPr>
          <w:i/>
          <w:iCs/>
        </w:rPr>
        <w:t xml:space="preserve">Opening</w:t>
      </w:r>
    </w:p>
    <w:bookmarkStart w:id="26" w:name="baseline-and-site-context"/>
    <w:p>
      <w:pPr>
        <w:pStyle w:val="Heading3"/>
      </w:pPr>
      <w:r>
        <w:t xml:space="preserve">Baseline and site context*</w:t>
      </w:r>
    </w:p>
    <w:bookmarkEnd w:id="26"/>
    <w:bookmarkStart w:id="27" w:name="construction-impact"/>
    <w:p>
      <w:pPr>
        <w:pStyle w:val="Heading3"/>
      </w:pPr>
      <w:r>
        <w:t xml:space="preserve">Construction impact*</w:t>
      </w:r>
    </w:p>
    <w:bookmarkEnd w:id="27"/>
    <w:bookmarkStart w:id="28" w:name="convergence-and-recovery"/>
    <w:p>
      <w:pPr>
        <w:pStyle w:val="Heading3"/>
      </w:pPr>
      <w:r>
        <w:t xml:space="preserve">Convergence and recovery*</w:t>
      </w:r>
    </w:p>
    <w:bookmarkEnd w:id="28"/>
    <w:bookmarkStart w:id="29" w:name="implications-and-future-directions"/>
    <w:p>
      <w:pPr>
        <w:pStyle w:val="Heading3"/>
      </w:pPr>
      <w:r>
        <w:t xml:space="preserve">Implications and future directions*</w:t>
      </w:r>
    </w:p>
    <w:p>
      <w:pPr>
        <w:pStyle w:val="FirstParagraph"/>
      </w:pPr>
      <w:r>
        <w:t xml:space="preserve">Most kōura were found along the edges of the stone piles there for recommended future stone piles should be designed to create the most edges.</w:t>
      </w:r>
    </w:p>
    <w:p>
      <w:pPr>
        <w:pStyle w:val="BodyText"/>
      </w:pPr>
      <w:r>
        <w:t xml:space="preserve">Stone piles were constructed at the shore line to shallow to reach machrophyte beds which are located further offshore. Future stone pile construction could be extended further offshore to reach the macrophyte beds and test if stone piles could suppress machrophyte growth and create pathways for kōura to move between the deeperparts of the lake and the shore.</w:t>
      </w:r>
    </w:p>
    <w:bookmarkEnd w:id="29"/>
    <w:bookmarkStart w:id="30" w:name="conclusion"/>
    <w:p>
      <w:pPr>
        <w:pStyle w:val="Heading3"/>
      </w:pPr>
      <w:r>
        <w:t xml:space="preserve">Conclusion</w:t>
      </w:r>
    </w:p>
    <w:bookmarkEnd w:id="30"/>
    <w:bookmarkEnd w:id="31"/>
    <w:bookmarkStart w:id="37"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Also thanks to land owners Piripi Curtis, David McIlraith, Te Takinga Marae, Piki Thomas, Tāheke Opatia Marae, Haddon Lock, Barnett Vercoe, Richard Vercoe, Caroline Newton for access and allowing the build of the build of stone piles. And Martin Sarkezi, Mael Marguet, Ethan Morgan, Logan Kallam and Matt Prentice for assisting in with fieldwork and data collection.</w:t>
      </w:r>
    </w:p>
    <w:bookmarkStart w:id="32"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2"/>
    <w:bookmarkStart w:id="33" w:name="authors-contributions"/>
    <w:p>
      <w:pPr>
        <w:pStyle w:val="Heading3"/>
      </w:pPr>
      <w:r>
        <w:t xml:space="preserve">Authors’ contributions</w:t>
      </w:r>
    </w:p>
    <w:p>
      <w:pPr>
        <w:pStyle w:val="FirstParagraph"/>
      </w:pPr>
      <w:r>
        <w:t xml:space="preserve">Study conception and design were undertaken by O.V.R., I.A.K.K., R.H., F.J.B. and D.Ö. Fieldwork was executed by O.V.R. Data analysis was performed by O.V.R. I.A.K.K obtained council and iwi consent and provided local ecological knowledge. Manuscript drafting was led by O.V.R. All authors contributed to manuscript revision, approved the results, and the final manuscript.</w:t>
      </w:r>
    </w:p>
    <w:bookmarkEnd w:id="33"/>
    <w:bookmarkStart w:id="34" w:name="use-of-artificial-intelligence"/>
    <w:p>
      <w:pPr>
        <w:pStyle w:val="Heading3"/>
      </w:pPr>
      <w:r>
        <w:t xml:space="preserve">Use of Artificial Intelligence</w:t>
      </w:r>
    </w:p>
    <w:p>
      <w:pPr>
        <w:pStyle w:val="FirstParagraph"/>
      </w:pPr>
      <w:r>
        <w:t xml:space="preserve">Use of Artificial Intelligence: Claude (Anthropic) was used to assist with manuscript editing and language refinement. All content was critically reviewed and the authors take full responsibility for the final manuscript.</w:t>
      </w:r>
    </w:p>
    <w:bookmarkEnd w:id="34"/>
    <w:bookmarkStart w:id="35" w:name="declarations"/>
    <w:p>
      <w:pPr>
        <w:pStyle w:val="Heading3"/>
      </w:pPr>
      <w:r>
        <w:t xml:space="preserve">Declarations</w:t>
      </w:r>
    </w:p>
    <w:p>
      <w:pPr>
        <w:pStyle w:val="FirstParagraph"/>
      </w:pPr>
      <w:r>
        <w:t xml:space="preserve">The corresponding author has declared that none of the authors has any competing interests.</w:t>
      </w:r>
    </w:p>
    <w:bookmarkEnd w:id="35"/>
    <w:bookmarkStart w:id="36"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(https://github.com/OlivierRaven/Stone_Piles_Rotoiti)and a rendered version of the analysis is hosted at https://olivierraven.github.io/Stone_Piles_Rotoiti/. The primary raw dataset is archived on Zenodo (https://doi.org/……). Peer review documents, including the cover letter and reviewer responses, are available in the manuscript repository in the interest of open and transparent science.</w:t>
      </w:r>
    </w:p>
    <w:bookmarkEnd w:id="36"/>
    <w:bookmarkEnd w:id="37"/>
    <w:bookmarkStart w:id="39" w:name="tables"/>
    <w:p>
      <w:pPr>
        <w:pStyle w:val="Heading2"/>
      </w:pPr>
      <w:r>
        <w:t xml:space="preserve">Tables</w:t>
      </w:r>
    </w:p>
    <w:p>
      <w:pPr>
        <w:pStyle w:val="TableCaption"/>
      </w:pPr>
      <w:r>
        <w:t xml:space="preserve">Baseline (pre-construction) comparability of stone pile, control, and reference sites. Values are mean ± SD; p-values test Stone pile vs Control (paired Wilcoxon signed-rank test, pairs matched by pair_id, supporting the BACI design) and Stone pile vs Reference (unpaired Wilcoxon rank-sum test, documenting the starting gap relative to natural conditions, motivating the convergence analysis). With only 5 paired sites, these are low-power checks — a non-significant result indicates no obvious gross imbalance, not formal proof of equivalence.</w:t>
      </w:r>
    </w:p>
    <w:tbl>
      <w:tblPr>
        <w:tblStyle w:val="Table"/>
        <w:tblW w:type="pct" w:w="5000"/>
        <w:tblLayout w:type="fixed"/>
        <w:tblLook w:firstRow="1" w:lastRow="0" w:firstColumn="0" w:lastColumn="0" w:noHBand="0" w:noVBand="0" w:val="0020"/>
        <w:tblCaption w:val="Baseline (pre-construction) comparability of stone pile, control, and reference sites. Values are mean ± SD; p-values test Stone pile vs Control (paired Wilcoxon signed-rank test, pairs matched by pair_id, supporting the BACI design) and Stone pile vs Reference (unpaired Wilcoxon rank-sum test, documenting the starting gap relative to natural conditions, motivating the convergence analysis). With only 5 paired sites, these are low-power checks — a non-significant result indicates no obvious gross imbalance, not formal proof of equivalence."/>
      </w:tblPr>
      <w:tblGrid>
        <w:gridCol w:w="2329"/>
        <w:gridCol w:w="1164"/>
        <w:gridCol w:w="1087"/>
        <w:gridCol w:w="1164"/>
        <w:gridCol w:w="1009"/>
        <w:gridCol w:w="1164"/>
      </w:tblGrid>
      <w:tr>
        <w:trPr>
          <w:tblHeader w:val="on"/>
        </w:trPr>
        <w:tc>
          <w:tcPr/>
          <w:p>
            <w:pPr>
              <w:pStyle w:val="Compact"/>
              <w:jc w:val="left"/>
            </w:pPr>
            <w:r>
              <w:t xml:space="preserve">Variable</w:t>
            </w:r>
          </w:p>
        </w:tc>
        <w:tc>
          <w:tcPr/>
          <w:p>
            <w:pPr>
              <w:pStyle w:val="Compact"/>
              <w:jc w:val="left"/>
            </w:pPr>
            <w:r>
              <w:t xml:space="preserve">Stone_pile</w:t>
            </w:r>
          </w:p>
        </w:tc>
        <w:tc>
          <w:tcPr/>
          <w:p>
            <w:pPr>
              <w:pStyle w:val="Compact"/>
              <w:jc w:val="left"/>
            </w:pPr>
            <w:r>
              <w:t xml:space="preserve">Control</w:t>
            </w:r>
          </w:p>
        </w:tc>
        <w:tc>
          <w:tcPr/>
          <w:p>
            <w:pPr>
              <w:pStyle w:val="Compact"/>
              <w:jc w:val="left"/>
            </w:pPr>
            <w:r>
              <w:t xml:space="preserve">Reference</w:t>
            </w:r>
          </w:p>
        </w:tc>
        <w:tc>
          <w:tcPr/>
          <w:p>
            <w:pPr>
              <w:pStyle w:val="Compact"/>
              <w:jc w:val="right"/>
            </w:pPr>
            <w:r>
              <w:t xml:space="preserve">p_vs_Control</w:t>
            </w:r>
          </w:p>
        </w:tc>
        <w:tc>
          <w:tcPr/>
          <w:p>
            <w:pPr>
              <w:pStyle w:val="Compact"/>
              <w:jc w:val="right"/>
            </w:pPr>
            <w:r>
              <w:t xml:space="preserve">p_vs_Reference</w:t>
            </w:r>
          </w:p>
        </w:tc>
      </w:tr>
      <w:tr>
        <w:tc>
          <w:tcPr/>
          <w:p>
            <w:pPr>
              <w:pStyle w:val="Compact"/>
              <w:jc w:val="left"/>
            </w:pPr>
            <w:r>
              <w:t xml:space="preserve">Kōura CPUE</w:t>
            </w:r>
          </w:p>
        </w:tc>
        <w:tc>
          <w:tcPr/>
          <w:p>
            <w:pPr>
              <w:pStyle w:val="Compact"/>
              <w:jc w:val="left"/>
            </w:pPr>
            <w:r>
              <w:t xml:space="preserve">0.2 ± 0.27</w:t>
            </w:r>
          </w:p>
        </w:tc>
        <w:tc>
          <w:tcPr/>
          <w:p>
            <w:pPr>
              <w:pStyle w:val="Compact"/>
              <w:jc w:val="left"/>
            </w:pPr>
            <w:r>
              <w:t xml:space="preserve">0.15 ± 0.22</w:t>
            </w:r>
          </w:p>
        </w:tc>
        <w:tc>
          <w:tcPr/>
          <w:p>
            <w:pPr>
              <w:pStyle w:val="Compact"/>
              <w:jc w:val="left"/>
            </w:pPr>
            <w:r>
              <w:t xml:space="preserve">2.13 ± 2.32</w:t>
            </w:r>
          </w:p>
        </w:tc>
        <w:tc>
          <w:tcPr/>
          <w:p>
            <w:pPr>
              <w:pStyle w:val="Compact"/>
              <w:jc w:val="right"/>
            </w:pPr>
            <w:r>
              <w:t xml:space="preserve">1.000</w:t>
            </w:r>
          </w:p>
        </w:tc>
        <w:tc>
          <w:tcPr/>
          <w:p>
            <w:pPr>
              <w:pStyle w:val="Compact"/>
              <w:jc w:val="right"/>
            </w:pPr>
            <w:r>
              <w:t xml:space="preserve">0.205</w:t>
            </w:r>
          </w:p>
        </w:tc>
      </w:tr>
      <w:tr>
        <w:tc>
          <w:tcPr/>
          <w:p>
            <w:pPr>
              <w:pStyle w:val="Compact"/>
              <w:jc w:val="left"/>
            </w:pPr>
            <w:r>
              <w:t xml:space="preserve">Catfish CPUE</w:t>
            </w:r>
          </w:p>
        </w:tc>
        <w:tc>
          <w:tcPr/>
          <w:p>
            <w:pPr>
              <w:pStyle w:val="Compact"/>
              <w:jc w:val="left"/>
            </w:pPr>
            <w:r>
              <w:t xml:space="preserve">0.05 ± 0.11</w:t>
            </w:r>
          </w:p>
        </w:tc>
        <w:tc>
          <w:tcPr/>
          <w:p>
            <w:pPr>
              <w:pStyle w:val="Compact"/>
              <w:jc w:val="left"/>
            </w:pPr>
            <w:r>
              <w:t xml:space="preserve">0.1 ± 0.22</w:t>
            </w:r>
          </w:p>
        </w:tc>
        <w:tc>
          <w:tcPr/>
          <w:p>
            <w:pPr>
              <w:pStyle w:val="Compact"/>
              <w:jc w:val="left"/>
            </w:pPr>
            <w:r>
              <w:t xml:space="preserve">0.3 ± 0.52</w:t>
            </w:r>
          </w:p>
        </w:tc>
        <w:tc>
          <w:tcPr/>
          <w:p>
            <w:pPr>
              <w:pStyle w:val="Compact"/>
              <w:jc w:val="right"/>
            </w:pPr>
            <w:r>
              <w:t xml:space="preserve">1.000</w:t>
            </w:r>
          </w:p>
        </w:tc>
        <w:tc>
          <w:tcPr/>
          <w:p>
            <w:pPr>
              <w:pStyle w:val="Compact"/>
              <w:jc w:val="right"/>
            </w:pPr>
            <w:r>
              <w:t xml:space="preserve">0.420</w:t>
            </w:r>
          </w:p>
        </w:tc>
      </w:tr>
      <w:tr>
        <w:tc>
          <w:tcPr/>
          <w:p>
            <w:pPr>
              <w:pStyle w:val="Compact"/>
              <w:jc w:val="left"/>
            </w:pPr>
            <w:r>
              <w:t xml:space="preserve">Kōura BPUE</w:t>
            </w:r>
          </w:p>
        </w:tc>
        <w:tc>
          <w:tcPr/>
          <w:p>
            <w:pPr>
              <w:pStyle w:val="Compact"/>
              <w:jc w:val="left"/>
            </w:pPr>
            <w:r>
              <w:t xml:space="preserve">7.95 ± 12.15</w:t>
            </w:r>
          </w:p>
        </w:tc>
        <w:tc>
          <w:tcPr/>
          <w:p>
            <w:pPr>
              <w:pStyle w:val="Compact"/>
              <w:jc w:val="left"/>
            </w:pPr>
            <w:r>
              <w:t xml:space="preserve">2.8 ± 3.84</w:t>
            </w:r>
          </w:p>
        </w:tc>
        <w:tc>
          <w:tcPr/>
          <w:p>
            <w:pPr>
              <w:pStyle w:val="Compact"/>
              <w:jc w:val="left"/>
            </w:pPr>
            <w:r>
              <w:t xml:space="preserve">36.69 ± 36.82</w:t>
            </w:r>
          </w:p>
        </w:tc>
        <w:tc>
          <w:tcPr/>
          <w:p>
            <w:pPr>
              <w:pStyle w:val="Compact"/>
              <w:jc w:val="right"/>
            </w:pPr>
            <w:r>
              <w:t xml:space="preserve">0.789</w:t>
            </w:r>
          </w:p>
        </w:tc>
        <w:tc>
          <w:tcPr/>
          <w:p>
            <w:pPr>
              <w:pStyle w:val="Compact"/>
              <w:jc w:val="right"/>
            </w:pPr>
            <w:r>
              <w:t xml:space="preserve">0.206</w:t>
            </w:r>
          </w:p>
        </w:tc>
      </w:tr>
      <w:tr>
        <w:tc>
          <w:tcPr/>
          <w:p>
            <w:pPr>
              <w:pStyle w:val="Compact"/>
              <w:jc w:val="left"/>
            </w:pPr>
            <w:r>
              <w:t xml:space="preserve">Catfish BPUE</w:t>
            </w:r>
          </w:p>
        </w:tc>
        <w:tc>
          <w:tcPr/>
          <w:p>
            <w:pPr>
              <w:pStyle w:val="Compact"/>
              <w:jc w:val="left"/>
            </w:pPr>
            <w:r>
              <w:t xml:space="preserve">0.15 ± 0.34</w:t>
            </w:r>
          </w:p>
        </w:tc>
        <w:tc>
          <w:tcPr/>
          <w:p>
            <w:pPr>
              <w:pStyle w:val="Compact"/>
              <w:jc w:val="left"/>
            </w:pPr>
            <w:r>
              <w:t xml:space="preserve">24.6 ± 55.01</w:t>
            </w:r>
          </w:p>
        </w:tc>
        <w:tc>
          <w:tcPr/>
          <w:p>
            <w:pPr>
              <w:pStyle w:val="Compact"/>
              <w:jc w:val="left"/>
            </w:pPr>
            <w:r>
              <w:t xml:space="preserve">97.28 ± 232.15</w:t>
            </w:r>
          </w:p>
        </w:tc>
        <w:tc>
          <w:tcPr/>
          <w:p>
            <w:pPr>
              <w:pStyle w:val="Compact"/>
              <w:jc w:val="right"/>
            </w:pPr>
            <w:r>
              <w:t xml:space="preserve">1.000</w:t>
            </w:r>
          </w:p>
        </w:tc>
        <w:tc>
          <w:tcPr/>
          <w:p>
            <w:pPr>
              <w:pStyle w:val="Compact"/>
              <w:jc w:val="right"/>
            </w:pPr>
            <w:r>
              <w:t xml:space="preserve">0.343</w:t>
            </w:r>
          </w:p>
        </w:tc>
      </w:tr>
      <w:tr>
        <w:tc>
          <w:tcPr/>
          <w:p>
            <w:pPr>
              <w:pStyle w:val="Compact"/>
              <w:jc w:val="left"/>
            </w:pPr>
            <w:r>
              <w:t xml:space="preserve">Substrate index (before)</w:t>
            </w:r>
          </w:p>
        </w:tc>
        <w:tc>
          <w:tcPr/>
          <w:p>
            <w:pPr>
              <w:pStyle w:val="Compact"/>
              <w:jc w:val="left"/>
            </w:pPr>
            <w:r>
              <w:t xml:space="preserve">3.39 ± 1.07</w:t>
            </w:r>
          </w:p>
        </w:tc>
        <w:tc>
          <w:tcPr/>
          <w:p>
            <w:pPr>
              <w:pStyle w:val="Compact"/>
              <w:jc w:val="left"/>
            </w:pPr>
            <w:r>
              <w:t xml:space="preserve">3.68 ± 0.95</w:t>
            </w:r>
          </w:p>
        </w:tc>
        <w:tc>
          <w:tcPr/>
          <w:p>
            <w:pPr>
              <w:pStyle w:val="Compact"/>
              <w:jc w:val="left"/>
            </w:pPr>
            <w:r>
              <w:t xml:space="preserve">5.29 ± 1.05</w:t>
            </w:r>
          </w:p>
        </w:tc>
        <w:tc>
          <w:tcPr/>
          <w:p>
            <w:pPr>
              <w:pStyle w:val="Compact"/>
              <w:jc w:val="right"/>
            </w:pPr>
            <w:r>
              <w:t xml:space="preserve">0.789</w:t>
            </w:r>
          </w:p>
        </w:tc>
        <w:tc>
          <w:tcPr/>
          <w:p>
            <w:pPr>
              <w:pStyle w:val="Compact"/>
              <w:jc w:val="right"/>
            </w:pPr>
            <w:r>
              <w:t xml:space="preserve">0.012</w:t>
            </w:r>
          </w:p>
        </w:tc>
      </w:tr>
      <w:tr>
        <w:tc>
          <w:tcPr/>
          <w:p>
            <w:pPr>
              <w:pStyle w:val="Compact"/>
              <w:jc w:val="left"/>
            </w:pPr>
            <w:r>
              <w:t xml:space="preserve">Substrate index (after)</w:t>
            </w:r>
          </w:p>
        </w:tc>
        <w:tc>
          <w:tcPr/>
          <w:p>
            <w:pPr>
              <w:pStyle w:val="Compact"/>
              <w:jc w:val="left"/>
            </w:pPr>
            <w:r>
              <w:t xml:space="preserve">3.65 ± 1.12</w:t>
            </w:r>
          </w:p>
        </w:tc>
        <w:tc>
          <w:tcPr/>
          <w:p>
            <w:pPr>
              <w:pStyle w:val="Compact"/>
              <w:jc w:val="left"/>
            </w:pPr>
            <w:r>
              <w:t xml:space="preserve">3.68 ± 0.95</w:t>
            </w:r>
          </w:p>
        </w:tc>
        <w:tc>
          <w:tcPr/>
          <w:p>
            <w:pPr>
              <w:pStyle w:val="Compact"/>
              <w:jc w:val="left"/>
            </w:pPr>
            <w:r>
              <w:t xml:space="preserve">5.29 ± 1.05</w:t>
            </w:r>
          </w:p>
        </w:tc>
        <w:tc>
          <w:tcPr/>
          <w:p>
            <w:pPr>
              <w:pStyle w:val="Compact"/>
              <w:jc w:val="right"/>
            </w:pPr>
            <w:r>
              <w:t xml:space="preserve">1.000</w:t>
            </w:r>
          </w:p>
        </w:tc>
        <w:tc>
          <w:tcPr/>
          <w:p>
            <w:pPr>
              <w:pStyle w:val="Compact"/>
              <w:jc w:val="right"/>
            </w:pPr>
            <w:r>
              <w:t xml:space="preserve">0.032</w:t>
            </w:r>
          </w:p>
        </w:tc>
      </w:tr>
      <w:tr>
        <w:tc>
          <w:tcPr/>
          <w:p>
            <w:pPr>
              <w:pStyle w:val="Compact"/>
              <w:jc w:val="left"/>
            </w:pPr>
            <w:r>
              <w:t xml:space="preserve">Slope (0–20 m)</w:t>
            </w:r>
          </w:p>
        </w:tc>
        <w:tc>
          <w:tcPr/>
          <w:p>
            <w:pPr>
              <w:pStyle w:val="Compact"/>
              <w:jc w:val="left"/>
            </w:pPr>
            <w:r>
              <w:t xml:space="preserve">0.06 ± 0.05</w:t>
            </w:r>
          </w:p>
        </w:tc>
        <w:tc>
          <w:tcPr/>
          <w:p>
            <w:pPr>
              <w:pStyle w:val="Compact"/>
              <w:jc w:val="left"/>
            </w:pPr>
            <w:r>
              <w:t xml:space="preserve">0.06 ± 0.04</w:t>
            </w:r>
          </w:p>
        </w:tc>
        <w:tc>
          <w:tcPr/>
          <w:p>
            <w:pPr>
              <w:pStyle w:val="Compact"/>
              <w:jc w:val="left"/>
            </w:pPr>
            <w:r>
              <w:t xml:space="preserve">0.09 ± 0.05</w:t>
            </w:r>
          </w:p>
        </w:tc>
        <w:tc>
          <w:tcPr/>
          <w:p>
            <w:pPr>
              <w:pStyle w:val="Compact"/>
              <w:jc w:val="right"/>
            </w:pPr>
            <w:r>
              <w:t xml:space="preserve">0.590</w:t>
            </w:r>
          </w:p>
        </w:tc>
        <w:tc>
          <w:tcPr/>
          <w:p>
            <w:pPr>
              <w:pStyle w:val="Compact"/>
              <w:jc w:val="right"/>
            </w:pPr>
            <w:r>
              <w:t xml:space="preserve">0.245</w:t>
            </w:r>
          </w:p>
        </w:tc>
      </w:tr>
      <w:tr>
        <w:tc>
          <w:tcPr/>
          <w:p>
            <w:pPr>
              <w:pStyle w:val="Compact"/>
              <w:jc w:val="left"/>
            </w:pPr>
            <w:r>
              <w:t xml:space="preserve">Temperature (°C)</w:t>
            </w:r>
          </w:p>
        </w:tc>
        <w:tc>
          <w:tcPr/>
          <w:p>
            <w:pPr>
              <w:pStyle w:val="Compact"/>
              <w:jc w:val="left"/>
            </w:pPr>
            <w:r>
              <w:t xml:space="preserve">24.74 ± 1.92</w:t>
            </w:r>
          </w:p>
        </w:tc>
        <w:tc>
          <w:tcPr/>
          <w:p>
            <w:pPr>
              <w:pStyle w:val="Compact"/>
              <w:jc w:val="left"/>
            </w:pPr>
            <w:r>
              <w:t xml:space="preserve">24.78 ± 1.47</w:t>
            </w:r>
          </w:p>
        </w:tc>
        <w:tc>
          <w:tcPr/>
          <w:p>
            <w:pPr>
              <w:pStyle w:val="Compact"/>
              <w:jc w:val="left"/>
            </w:pPr>
            <w:r>
              <w:t xml:space="preserve">24.48 ± 0.78</w:t>
            </w:r>
          </w:p>
        </w:tc>
        <w:tc>
          <w:tcPr/>
          <w:p>
            <w:pPr>
              <w:pStyle w:val="Compact"/>
              <w:jc w:val="right"/>
            </w:pPr>
            <w:r>
              <w:t xml:space="preserve">1.000</w:t>
            </w:r>
          </w:p>
        </w:tc>
        <w:tc>
          <w:tcPr/>
          <w:p>
            <w:pPr>
              <w:pStyle w:val="Compact"/>
              <w:jc w:val="right"/>
            </w:pPr>
            <w:r>
              <w:t xml:space="preserve">0.623</w:t>
            </w:r>
          </w:p>
        </w:tc>
      </w:tr>
      <w:tr>
        <w:tc>
          <w:tcPr/>
          <w:p>
            <w:pPr>
              <w:pStyle w:val="Compact"/>
              <w:jc w:val="left"/>
            </w:pPr>
            <w:r>
              <w:t xml:space="preserve">Dissolved oxygen (mg/L)</w:t>
            </w:r>
          </w:p>
        </w:tc>
        <w:tc>
          <w:tcPr/>
          <w:p>
            <w:pPr>
              <w:pStyle w:val="Compact"/>
              <w:jc w:val="left"/>
            </w:pPr>
            <w:r>
              <w:t xml:space="preserve">9.85 ± 1.48</w:t>
            </w:r>
          </w:p>
        </w:tc>
        <w:tc>
          <w:tcPr/>
          <w:p>
            <w:pPr>
              <w:pStyle w:val="Compact"/>
              <w:jc w:val="left"/>
            </w:pPr>
            <w:r>
              <w:t xml:space="preserve">9.63 ± 1.29</w:t>
            </w:r>
          </w:p>
        </w:tc>
        <w:tc>
          <w:tcPr/>
          <w:p>
            <w:pPr>
              <w:pStyle w:val="Compact"/>
              <w:jc w:val="left"/>
            </w:pPr>
            <w:r>
              <w:t xml:space="preserve">10.03 ± 0.86</w:t>
            </w:r>
          </w:p>
        </w:tc>
        <w:tc>
          <w:tcPr/>
          <w:p>
            <w:pPr>
              <w:pStyle w:val="Compact"/>
              <w:jc w:val="right"/>
            </w:pPr>
            <w:r>
              <w:t xml:space="preserve">0.418</w:t>
            </w:r>
          </w:p>
        </w:tc>
        <w:tc>
          <w:tcPr/>
          <w:p>
            <w:pPr>
              <w:pStyle w:val="Compact"/>
              <w:jc w:val="right"/>
            </w:pPr>
            <w:r>
              <w:t xml:space="preserve">0.426</w:t>
            </w:r>
          </w:p>
        </w:tc>
      </w:tr>
      <w:tr>
        <w:tc>
          <w:tcPr/>
          <w:p>
            <w:pPr>
              <w:pStyle w:val="Compact"/>
              <w:jc w:val="left"/>
            </w:pPr>
            <w:r>
              <w:t xml:space="preserve">Specific conductivity (µS/cm)</w:t>
            </w:r>
          </w:p>
        </w:tc>
        <w:tc>
          <w:tcPr/>
          <w:p>
            <w:pPr>
              <w:pStyle w:val="Compact"/>
              <w:jc w:val="left"/>
            </w:pPr>
            <w:r>
              <w:t xml:space="preserve">195.44 ± 70.05</w:t>
            </w:r>
          </w:p>
        </w:tc>
        <w:tc>
          <w:tcPr/>
          <w:p>
            <w:pPr>
              <w:pStyle w:val="Compact"/>
              <w:jc w:val="left"/>
            </w:pPr>
            <w:r>
              <w:t xml:space="preserve">199.8 ± 78.52</w:t>
            </w:r>
          </w:p>
        </w:tc>
        <w:tc>
          <w:tcPr/>
          <w:p>
            <w:pPr>
              <w:pStyle w:val="Compact"/>
              <w:jc w:val="left"/>
            </w:pPr>
            <w:r>
              <w:t xml:space="preserve">165.45 ± 8.5</w:t>
            </w:r>
          </w:p>
        </w:tc>
        <w:tc>
          <w:tcPr/>
          <w:p>
            <w:pPr>
              <w:pStyle w:val="Compact"/>
              <w:jc w:val="right"/>
            </w:pPr>
            <w:r>
              <w:t xml:space="preserve">0.281</w:t>
            </w:r>
          </w:p>
        </w:tc>
        <w:tc>
          <w:tcPr/>
          <w:p>
            <w:pPr>
              <w:pStyle w:val="Compact"/>
              <w:jc w:val="right"/>
            </w:pPr>
            <w:r>
              <w:t xml:space="preserve">0.951</w:t>
            </w:r>
          </w:p>
        </w:tc>
      </w:tr>
      <w:tr>
        <w:tc>
          <w:tcPr/>
          <w:p>
            <w:pPr>
              <w:pStyle w:val="Compact"/>
              <w:jc w:val="left"/>
            </w:pPr>
            <w:r>
              <w:t xml:space="preserve">pH</w:t>
            </w:r>
          </w:p>
        </w:tc>
        <w:tc>
          <w:tcPr/>
          <w:p>
            <w:pPr>
              <w:pStyle w:val="Compact"/>
              <w:jc w:val="left"/>
            </w:pPr>
            <w:r>
              <w:t xml:space="preserve">7.5 ± 2.15</w:t>
            </w:r>
          </w:p>
        </w:tc>
        <w:tc>
          <w:tcPr/>
          <w:p>
            <w:pPr>
              <w:pStyle w:val="Compact"/>
              <w:jc w:val="left"/>
            </w:pPr>
            <w:r>
              <w:t xml:space="preserve">7.61 ± 2.2</w:t>
            </w:r>
          </w:p>
        </w:tc>
        <w:tc>
          <w:tcPr/>
          <w:p>
            <w:pPr>
              <w:pStyle w:val="Compact"/>
              <w:jc w:val="left"/>
            </w:pPr>
            <w:r>
              <w:t xml:space="preserve">8.53 ± 0.66</w:t>
            </w:r>
          </w:p>
        </w:tc>
        <w:tc>
          <w:tcPr/>
          <w:p>
            <w:pPr>
              <w:pStyle w:val="Compact"/>
              <w:jc w:val="right"/>
            </w:pPr>
            <w:r>
              <w:t xml:space="preserve">1.000</w:t>
            </w:r>
          </w:p>
        </w:tc>
        <w:tc>
          <w:tcPr/>
          <w:p>
            <w:pPr>
              <w:pStyle w:val="Compact"/>
              <w:jc w:val="right"/>
            </w:pPr>
            <w:r>
              <w:t xml:space="preserve">0.426</w:t>
            </w:r>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Article Notebook</w:t>
        </w:r>
      </w:hyperlink>
    </w:p>
    <w:bookmarkEnd w:id="39"/>
    <w:bookmarkStart w:id="5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sites"/>
          <w:p>
            <w:pPr>
              <w:pStyle w:val="Compact"/>
              <w:jc w:val="center"/>
            </w:pPr>
            <w:r>
              <w:drawing>
                <wp:inline>
                  <wp:extent cx="5727700" cy="4050383"/>
                  <wp:effectExtent b="0" l="0" r="0" t="0"/>
                  <wp:docPr descr="" title="" id="41" name="Picture"/>
                  <a:graphic>
                    <a:graphicData uri="http://schemas.openxmlformats.org/drawingml/2006/picture">
                      <pic:pic>
                        <pic:nvPicPr>
                          <pic:cNvPr descr="images/Rotoiti_monitoring_sites.png" id="42" name="Picture"/>
                          <pic:cNvPicPr>
                            <a:picLocks noChangeArrowheads="1" noChangeAspect="1"/>
                          </pic:cNvPicPr>
                        </pic:nvPicPr>
                        <pic:blipFill>
                          <a:blip r:embed="rId40"/>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monitoring sites.</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koura-trends"/>
          <w:p>
            <w:pPr>
              <w:pStyle w:val="Compact"/>
              <w:jc w:val="center"/>
            </w:pPr>
            <w:r>
              <w:drawing>
                <wp:inline>
                  <wp:extent cx="4572000" cy="2286000"/>
                  <wp:effectExtent b="0" l="0" r="0" t="0"/>
                  <wp:docPr descr="" title="" id="45" name="Picture"/>
                  <a:graphic>
                    <a:graphicData uri="http://schemas.openxmlformats.org/drawingml/2006/picture">
                      <pic:pic>
                        <pic:nvPicPr>
                          <pic:cNvPr descr="outputs/fig-koura-trends.png" id="46" name="Picture"/>
                          <pic:cNvPicPr>
                            <a:picLocks noChangeArrowheads="1" noChangeAspect="1"/>
                          </pic:cNvPicPr>
                        </pic:nvPicPr>
                        <pic:blipFill>
                          <a:blip r:embed="rId44"/>
                          <a:stretch>
                            <a:fillRect/>
                          </a:stretch>
                        </pic:blipFill>
                        <pic:spPr bwMode="auto">
                          <a:xfrm>
                            <a:off x="0" y="0"/>
                            <a:ext cx="4572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catch per monitoring round (± 95% CI) by site type for kōura.</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fig-convergence-plot"/>
          <w:p>
            <w:pPr>
              <w:pStyle w:val="Compact"/>
              <w:jc w:val="center"/>
            </w:pPr>
            <w:r>
              <w:drawing>
                <wp:inline>
                  <wp:extent cx="5727700" cy="2863850"/>
                  <wp:effectExtent b="0" l="0" r="0" t="0"/>
                  <wp:docPr descr="" title="" id="49" name="Picture"/>
                  <a:graphic>
                    <a:graphicData uri="http://schemas.openxmlformats.org/drawingml/2006/picture">
                      <pic:pic>
                        <pic:nvPicPr>
                          <pic:cNvPr descr="outputs/fig-convergence-plot.png" id="50" name="Picture"/>
                          <pic:cNvPicPr>
                            <a:picLocks noChangeArrowheads="1" noChangeAspect="1"/>
                          </pic:cNvPicPr>
                        </pic:nvPicPr>
                        <pic:blipFill>
                          <a:blip r:embed="rId48"/>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kōura CPUE trajectories over monitoring rounds at stone pile and reference sites from the RQ3 abundance convergence model. Shaded ribbons represent 95% confidence intervals. The annotation shows the key interaction term (β ± p-value) and model R² values for fixed effects (R²m) and conditional (R²c).</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fig-forest-plot"/>
          <w:p>
            <w:pPr>
              <w:pStyle w:val="Compact"/>
              <w:jc w:val="center"/>
            </w:pPr>
            <w:r>
              <w:drawing>
                <wp:inline>
                  <wp:extent cx="2743200" cy="8229600"/>
                  <wp:effectExtent b="0" l="0" r="0" t="0"/>
                  <wp:docPr descr="" title="" id="53" name="Picture"/>
                  <a:graphic>
                    <a:graphicData uri="http://schemas.openxmlformats.org/drawingml/2006/picture">
                      <pic:pic>
                        <pic:nvPicPr>
                          <pic:cNvPr descr="outputs/fig-forest-plot.png" id="54" name="Picture"/>
                          <pic:cNvPicPr>
                            <a:picLocks noChangeArrowheads="1" noChangeAspect="1"/>
                          </pic:cNvPicPr>
                        </pic:nvPicPr>
                        <pic:blipFill>
                          <a:blip r:embed="rId52"/>
                          <a:stretch>
                            <a:fillRect/>
                          </a:stretch>
                        </pic:blipFill>
                        <pic:spPr bwMode="auto">
                          <a:xfrm>
                            <a:off x="0" y="0"/>
                            <a:ext cx="2743200" cy="8229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Effect sizes (β ± 95% CI) for the key term of interest of every model in model_registry (kōura and catfish, RQ1–RQ4). Filled points indicate significant effects (p &lt; 0.05). Each panel has its own x-axis scale — β magnitudes are not directly comparable across panels because each RQ tests a different contrast (step-change, per-round slope, or simple group difference) and RQ1 occupancy is on the log-odds scale while all others use the Tweedie log link. Models with degenerate confidence intervals (non-positive-definite Hessian) are excluded.</w:t>
            </w:r>
          </w:p>
          <w:bookmarkEnd w:id="55"/>
        </w:tc>
      </w:tr>
    </w:tbl>
    <w:bookmarkEnd w:id="56"/>
    <w:bookmarkStart w:id="153" w:name="supplementary-information"/>
    <w:p>
      <w:pPr>
        <w:pStyle w:val="Heading2"/>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0" w:name="fig-length-weight"/>
          <w:p>
            <w:pPr>
              <w:pStyle w:val="Compact"/>
              <w:jc w:val="center"/>
            </w:pPr>
            <w:r>
              <w:drawing>
                <wp:inline>
                  <wp:extent cx="5727700" cy="3579812"/>
                  <wp:effectExtent b="0" l="0" r="0" t="0"/>
                  <wp:docPr descr="" title="" id="58" name="Picture"/>
                  <a:graphic>
                    <a:graphicData uri="http://schemas.openxmlformats.org/drawingml/2006/picture">
                      <pic:pic>
                        <pic:nvPicPr>
                          <pic:cNvPr descr="outputs/fig-length-weight.png" id="59" name="Picture"/>
                          <pic:cNvPicPr>
                            <a:picLocks noChangeArrowheads="1" noChangeAspect="1"/>
                          </pic:cNvPicPr>
                        </pic:nvPicPr>
                        <pic:blipFill>
                          <a:blip r:embed="rId57"/>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Length–weight relationship for kōura, fitted on log₁₀–log₁₀ scale. Open points are weights predicted from the length–weight regression (used to fill missing scale measurements); filled points are directly measured weights.</w:t>
            </w:r>
          </w:p>
          <w:bookmarkEnd w:id="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descriptive-context"/>
          <w:p>
            <w:pPr>
              <w:pStyle w:val="Compact"/>
              <w:jc w:val="center"/>
            </w:pPr>
            <w:r>
              <w:drawing>
                <wp:inline>
                  <wp:extent cx="5727700" cy="4909457"/>
                  <wp:effectExtent b="0" l="0" r="0" t="0"/>
                  <wp:docPr descr="" title="" id="62" name="Picture"/>
                  <a:graphic>
                    <a:graphicData uri="http://schemas.openxmlformats.org/drawingml/2006/picture">
                      <pic:pic>
                        <pic:nvPicPr>
                          <pic:cNvPr descr="outputs/fig-descriptive-context.png" id="63" name="Picture"/>
                          <pic:cNvPicPr>
                            <a:picLocks noChangeArrowheads="1" noChangeAspect="1"/>
                          </pic:cNvPicPr>
                        </pic:nvPicPr>
                        <pic:blipFill>
                          <a:blip r:embed="rId61"/>
                          <a:stretch>
                            <a:fillRect/>
                          </a:stretch>
                        </pic:blipFill>
                        <pic:spPr bwMode="auto">
                          <a:xfrm>
                            <a:off x="0" y="0"/>
                            <a:ext cx="5727700" cy="490945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Descriptive context plots, combined. Left column (top to bottom): baseline habitat characteristics (mean ± SE by site type), stone pile structure dimensions (5 stone pile sites), chemical conditions over time (mean ± smoothed trend by site type). Right column: mean catch per monitoring round by site type, for catfish, kōaro, and goldfish. Site-type colours are shared across all panels — see the legend on the right. Background/methods-supporting figures, not primary results — see Results for the BACI, trend, and convergence models.</w:t>
            </w:r>
          </w:p>
          <w:bookmarkEnd w:id="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 w:name="tbl-models-summary-full-supp"/>
          <w:p>
            <w:pPr>
              <w:jc w:val="center"/>
            </w:pPr>
            <w:pPr>
              <w:jc w:val="left"/>
              <w:spacing w:before="200"/>
              <w:pStyle w:val="ImageCaption"/>
            </w:pPr>
            <w:r>
              <w:t xml:space="preserve">Table 1: Full fixed-effect estimates (β, SE, 95% CI, p-value) for every term in every model currently in model_registry. Unlike the interaction-only summary above, this surfaces covariate effects (e.g. Substrate_index_after, Season) directly rather than requiring a one-off check per model.</w:t>
            </w:r>
          </w:p>
          <w:tbl>
            <w:tblPr>
              <w:tblStyle w:val="Table"/>
              <w:tblW w:type="pct" w:w="5000"/>
              <w:tblLayout w:type="fixed"/>
              <w:tblLook w:firstRow="1" w:lastRow="0" w:firstColumn="0" w:lastColumn="0" w:noHBand="0" w:noVBand="0" w:val="0020"/>
            </w:tblPr>
            <w:tblGrid>
              <w:gridCol w:w="424"/>
              <w:gridCol w:w="235"/>
              <w:gridCol w:w="377"/>
              <w:gridCol w:w="660"/>
              <w:gridCol w:w="612"/>
              <w:gridCol w:w="518"/>
              <w:gridCol w:w="2027"/>
              <w:gridCol w:w="424"/>
              <w:gridCol w:w="471"/>
              <w:gridCol w:w="471"/>
              <w:gridCol w:w="377"/>
              <w:gridCol w:w="424"/>
              <w:gridCol w:w="424"/>
              <w:gridCol w:w="471"/>
            </w:tblGrid>
            <w:tr>
              <w:trPr>
                <w:tblHeader w:val="on"/>
              </w:trPr>
              <w:tc>
                <w:tcPr/>
                <w:p>
                  <w:pPr>
                    <w:pStyle w:val="Compact"/>
                    <w:jc w:val="left"/>
                    <w:jc w:val="center"/>
                  </w:pPr>
                  <w:r>
                    <w:t xml:space="preserve">model_id</w:t>
                  </w:r>
                </w:p>
              </w:tc>
              <w:tc>
                <w:tcPr/>
                <w:p>
                  <w:pPr>
                    <w:pStyle w:val="Compact"/>
                    <w:jc w:val="left"/>
                    <w:jc w:val="center"/>
                  </w:pPr>
                  <w:r>
                    <w:t xml:space="preserve">RQ</w:t>
                  </w:r>
                </w:p>
              </w:tc>
              <w:tc>
                <w:tcPr/>
                <w:p>
                  <w:pPr>
                    <w:pStyle w:val="Compact"/>
                    <w:jc w:val="left"/>
                    <w:jc w:val="center"/>
                  </w:pPr>
                  <w:r>
                    <w:t xml:space="preserve">species</w:t>
                  </w:r>
                </w:p>
              </w:tc>
              <w:tc>
                <w:tcPr/>
                <w:p>
                  <w:pPr>
                    <w:pStyle w:val="Compact"/>
                    <w:jc w:val="left"/>
                    <w:jc w:val="center"/>
                  </w:pPr>
                  <w:r>
                    <w:t xml:space="preserve">response_type</w:t>
                  </w:r>
                </w:p>
              </w:tc>
              <w:tc>
                <w:tcPr/>
                <w:p>
                  <w:pPr>
                    <w:pStyle w:val="Compact"/>
                    <w:jc w:val="left"/>
                    <w:jc w:val="center"/>
                  </w:pPr>
                  <w:r>
                    <w:t xml:space="preserve">comparison</w:t>
                  </w:r>
                </w:p>
              </w:tc>
              <w:tc>
                <w:tcPr/>
                <w:p>
                  <w:pPr>
                    <w:pStyle w:val="Compact"/>
                    <w:jc w:val="left"/>
                    <w:jc w:val="center"/>
                  </w:pPr>
                  <w:r>
                    <w:t xml:space="preserve">time_frame</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p_adj_BH</w:t>
                  </w:r>
                </w:p>
              </w:tc>
              <w:tc>
                <w:tcPr/>
                <w:p>
                  <w:pPr>
                    <w:pStyle w:val="Compact"/>
                    <w:jc w:val="right"/>
                    <w:jc w:val="center"/>
                  </w:pPr>
                  <w:r>
                    <w:t xml:space="preserve">conf.low</w:t>
                  </w:r>
                </w:p>
              </w:tc>
              <w:tc>
                <w:tcPr/>
                <w:p>
                  <w:pPr>
                    <w:pStyle w:val="Compact"/>
                    <w:jc w:val="right"/>
                    <w:jc w:val="center"/>
                  </w:pPr>
                  <w:r>
                    <w:t xml:space="preserve">conf.high</w:t>
                  </w:r>
                </w:p>
              </w:tc>
            </w:tr>
            <w:tr>
              <w:tc>
                <w:tcPr/>
                <w:p>
                  <w:pPr>
                    <w:pStyle w:val="Compact"/>
                    <w:jc w:val="left"/>
                    <w:jc w:val="center"/>
                  </w:pPr>
                  <w:r>
                    <w:t xml:space="preserve">M1aac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-2.303</w:t>
                  </w:r>
                </w:p>
              </w:tc>
              <w:tc>
                <w:tcPr/>
                <w:p>
                  <w:pPr>
                    <w:pStyle w:val="Compact"/>
                    <w:jc w:val="right"/>
                    <w:jc w:val="center"/>
                  </w:pPr>
                  <w:r>
                    <w:t xml:space="preserve">0.908</w:t>
                  </w:r>
                </w:p>
              </w:tc>
              <w:tc>
                <w:tcPr/>
                <w:p>
                  <w:pPr>
                    <w:pStyle w:val="Compact"/>
                    <w:jc w:val="right"/>
                    <w:jc w:val="center"/>
                  </w:pPr>
                  <w:r>
                    <w:t xml:space="preserve">-2.535</w:t>
                  </w:r>
                </w:p>
              </w:tc>
              <w:tc>
                <w:tcPr/>
                <w:p>
                  <w:pPr>
                    <w:pStyle w:val="Compact"/>
                    <w:jc w:val="right"/>
                    <w:jc w:val="center"/>
                  </w:pPr>
                  <w:r>
                    <w:t xml:space="preserve">0.011</w:t>
                  </w:r>
                </w:p>
              </w:tc>
              <w:tc>
                <w:tcPr/>
                <w:p>
                  <w:pPr>
                    <w:pStyle w:val="Compact"/>
                    <w:jc w:val="right"/>
                    <w:jc w:val="center"/>
                  </w:pPr>
                  <w:r>
                    <w:t xml:space="preserve">NA</w:t>
                  </w:r>
                </w:p>
              </w:tc>
              <w:tc>
                <w:tcPr/>
                <w:p>
                  <w:pPr>
                    <w:pStyle w:val="Compact"/>
                    <w:jc w:val="right"/>
                    <w:jc w:val="center"/>
                  </w:pPr>
                  <w:r>
                    <w:t xml:space="preserve">-4.083</w:t>
                  </w:r>
                </w:p>
              </w:tc>
              <w:tc>
                <w:tcPr/>
                <w:p>
                  <w:pPr>
                    <w:pStyle w:val="Compact"/>
                    <w:jc w:val="right"/>
                    <w:jc w:val="center"/>
                  </w:pPr>
                  <w:r>
                    <w:t xml:space="preserve">-0.522</w:t>
                  </w:r>
                </w:p>
              </w:tc>
            </w:tr>
            <w:tr>
              <w:tc>
                <w:tcPr/>
                <w:p>
                  <w:pPr>
                    <w:pStyle w:val="Compact"/>
                    <w:jc w:val="left"/>
                    <w:jc w:val="center"/>
                  </w:pPr>
                  <w:r>
                    <w:t xml:space="preserve">M1aac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-0.693</w:t>
                  </w:r>
                </w:p>
              </w:tc>
              <w:tc>
                <w:tcPr/>
                <w:p>
                  <w:pPr>
                    <w:pStyle w:val="Compact"/>
                    <w:jc w:val="right"/>
                    <w:jc w:val="center"/>
                  </w:pPr>
                  <w:r>
                    <w:t xml:space="preserve">1.535</w:t>
                  </w:r>
                </w:p>
              </w:tc>
              <w:tc>
                <w:tcPr/>
                <w:p>
                  <w:pPr>
                    <w:pStyle w:val="Compact"/>
                    <w:jc w:val="right"/>
                    <w:jc w:val="center"/>
                  </w:pPr>
                  <w:r>
                    <w:t xml:space="preserve">-0.452</w:t>
                  </w:r>
                </w:p>
              </w:tc>
              <w:tc>
                <w:tcPr/>
                <w:p>
                  <w:pPr>
                    <w:pStyle w:val="Compact"/>
                    <w:jc w:val="right"/>
                    <w:jc w:val="center"/>
                  </w:pPr>
                  <w:r>
                    <w:t xml:space="preserve">0.652</w:t>
                  </w:r>
                </w:p>
              </w:tc>
              <w:tc>
                <w:tcPr/>
                <w:p>
                  <w:pPr>
                    <w:pStyle w:val="Compact"/>
                    <w:jc w:val="right"/>
                    <w:jc w:val="center"/>
                  </w:pPr>
                  <w:r>
                    <w:t xml:space="preserve">0.783</w:t>
                  </w:r>
                </w:p>
              </w:tc>
              <w:tc>
                <w:tcPr/>
                <w:p>
                  <w:pPr>
                    <w:pStyle w:val="Compact"/>
                    <w:jc w:val="right"/>
                    <w:jc w:val="center"/>
                  </w:pPr>
                  <w:r>
                    <w:t xml:space="preserve">-3.701</w:t>
                  </w:r>
                </w:p>
              </w:tc>
              <w:tc>
                <w:tcPr/>
                <w:p>
                  <w:pPr>
                    <w:pStyle w:val="Compact"/>
                    <w:jc w:val="right"/>
                    <w:jc w:val="center"/>
                  </w:pPr>
                  <w:r>
                    <w:t xml:space="preserve">2.315</w:t>
                  </w:r>
                </w:p>
              </w:tc>
            </w:tr>
            <w:tr>
              <w:tc>
                <w:tcPr/>
                <w:p>
                  <w:pPr>
                    <w:pStyle w:val="Compact"/>
                    <w:jc w:val="left"/>
                    <w:jc w:val="center"/>
                  </w:pPr>
                  <w:r>
                    <w:t xml:space="preserve">M1abc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3.203</w:t>
                  </w:r>
                </w:p>
              </w:tc>
              <w:tc>
                <w:tcPr/>
                <w:p>
                  <w:pPr>
                    <w:pStyle w:val="Compact"/>
                    <w:jc w:val="right"/>
                    <w:jc w:val="center"/>
                  </w:pPr>
                  <w:r>
                    <w:t xml:space="preserve">1.279</w:t>
                  </w:r>
                </w:p>
              </w:tc>
              <w:tc>
                <w:tcPr/>
                <w:p>
                  <w:pPr>
                    <w:pStyle w:val="Compact"/>
                    <w:jc w:val="right"/>
                    <w:jc w:val="center"/>
                  </w:pPr>
                  <w:r>
                    <w:t xml:space="preserve">2.504</w:t>
                  </w:r>
                </w:p>
              </w:tc>
              <w:tc>
                <w:tcPr/>
                <w:p>
                  <w:pPr>
                    <w:pStyle w:val="Compact"/>
                    <w:jc w:val="right"/>
                    <w:jc w:val="center"/>
                  </w:pPr>
                  <w:r>
                    <w:t xml:space="preserve">0.012</w:t>
                  </w:r>
                </w:p>
              </w:tc>
              <w:tc>
                <w:tcPr/>
                <w:p>
                  <w:pPr>
                    <w:pStyle w:val="Compact"/>
                    <w:jc w:val="right"/>
                    <w:jc w:val="center"/>
                  </w:pPr>
                  <w:r>
                    <w:t xml:space="preserve">NA</w:t>
                  </w:r>
                </w:p>
              </w:tc>
              <w:tc>
                <w:tcPr/>
                <w:p>
                  <w:pPr>
                    <w:pStyle w:val="Compact"/>
                    <w:jc w:val="right"/>
                    <w:jc w:val="center"/>
                  </w:pPr>
                  <w:r>
                    <w:t xml:space="preserve">0.696</w:t>
                  </w:r>
                </w:p>
              </w:tc>
              <w:tc>
                <w:tcPr/>
                <w:p>
                  <w:pPr>
                    <w:pStyle w:val="Compact"/>
                    <w:jc w:val="right"/>
                    <w:jc w:val="center"/>
                  </w:pPr>
                  <w:r>
                    <w:t xml:space="preserve">5.709</w:t>
                  </w:r>
                </w:p>
              </w:tc>
            </w:tr>
            <w:tr>
              <w:tc>
                <w:tcPr/>
                <w:p>
                  <w:pPr>
                    <w:pStyle w:val="Compact"/>
                    <w:jc w:val="left"/>
                    <w:jc w:val="center"/>
                  </w:pPr>
                  <w:r>
                    <w:t xml:space="preserve">M1abc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-5.100</w:t>
                  </w:r>
                </w:p>
              </w:tc>
              <w:tc>
                <w:tcPr/>
                <w:p>
                  <w:pPr>
                    <w:pStyle w:val="Compact"/>
                    <w:jc w:val="right"/>
                    <w:jc w:val="center"/>
                  </w:pPr>
                  <w:r>
                    <w:t xml:space="preserve">3.107</w:t>
                  </w:r>
                </w:p>
              </w:tc>
              <w:tc>
                <w:tcPr/>
                <w:p>
                  <w:pPr>
                    <w:pStyle w:val="Compact"/>
                    <w:jc w:val="right"/>
                    <w:jc w:val="center"/>
                  </w:pPr>
                  <w:r>
                    <w:t xml:space="preserve">-1.641</w:t>
                  </w:r>
                </w:p>
              </w:tc>
              <w:tc>
                <w:tcPr/>
                <w:p>
                  <w:pPr>
                    <w:pStyle w:val="Compact"/>
                    <w:jc w:val="right"/>
                    <w:jc w:val="center"/>
                  </w:pPr>
                  <w:r>
                    <w:t xml:space="preserve">0.101</w:t>
                  </w:r>
                </w:p>
              </w:tc>
              <w:tc>
                <w:tcPr/>
                <w:p>
                  <w:pPr>
                    <w:pStyle w:val="Compact"/>
                    <w:jc w:val="right"/>
                    <w:jc w:val="center"/>
                  </w:pPr>
                  <w:r>
                    <w:t xml:space="preserve">0.403</w:t>
                  </w:r>
                </w:p>
              </w:tc>
              <w:tc>
                <w:tcPr/>
                <w:p>
                  <w:pPr>
                    <w:pStyle w:val="Compact"/>
                    <w:jc w:val="right"/>
                    <w:jc w:val="center"/>
                  </w:pPr>
                  <w:r>
                    <w:t xml:space="preserve">-11.190</w:t>
                  </w:r>
                </w:p>
              </w:tc>
              <w:tc>
                <w:tcPr/>
                <w:p>
                  <w:pPr>
                    <w:pStyle w:val="Compact"/>
                    <w:jc w:val="right"/>
                    <w:jc w:val="center"/>
                  </w:pPr>
                  <w:r>
                    <w:t xml:space="preserve">0.990</w:t>
                  </w:r>
                </w:p>
              </w:tc>
            </w:tr>
            <w:tr>
              <w:tc>
                <w:tcPr/>
                <w:p>
                  <w:pPr>
                    <w:pStyle w:val="Compact"/>
                    <w:jc w:val="left"/>
                    <w:jc w:val="center"/>
                  </w:pPr>
                  <w:r>
                    <w:t xml:space="preserve">M1aak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-1.897</w:t>
                  </w:r>
                </w:p>
              </w:tc>
              <w:tc>
                <w:tcPr/>
                <w:p>
                  <w:pPr>
                    <w:pStyle w:val="Compact"/>
                    <w:jc w:val="right"/>
                    <w:jc w:val="center"/>
                  </w:pPr>
                  <w:r>
                    <w:t xml:space="preserve">0.785</w:t>
                  </w:r>
                </w:p>
              </w:tc>
              <w:tc>
                <w:tcPr/>
                <w:p>
                  <w:pPr>
                    <w:pStyle w:val="Compact"/>
                    <w:jc w:val="right"/>
                    <w:jc w:val="center"/>
                  </w:pPr>
                  <w:r>
                    <w:t xml:space="preserve">-2.415</w:t>
                  </w:r>
                </w:p>
              </w:tc>
              <w:tc>
                <w:tcPr/>
                <w:p>
                  <w:pPr>
                    <w:pStyle w:val="Compact"/>
                    <w:jc w:val="right"/>
                    <w:jc w:val="center"/>
                  </w:pPr>
                  <w:r>
                    <w:t xml:space="preserve">0.016</w:t>
                  </w:r>
                </w:p>
              </w:tc>
              <w:tc>
                <w:tcPr/>
                <w:p>
                  <w:pPr>
                    <w:pStyle w:val="Compact"/>
                    <w:jc w:val="right"/>
                    <w:jc w:val="center"/>
                  </w:pPr>
                  <w:r>
                    <w:t xml:space="preserve">NA</w:t>
                  </w:r>
                </w:p>
              </w:tc>
              <w:tc>
                <w:tcPr/>
                <w:p>
                  <w:pPr>
                    <w:pStyle w:val="Compact"/>
                    <w:jc w:val="right"/>
                    <w:jc w:val="center"/>
                  </w:pPr>
                  <w:r>
                    <w:t xml:space="preserve">-3.437</w:t>
                  </w:r>
                </w:p>
              </w:tc>
              <w:tc>
                <w:tcPr/>
                <w:p>
                  <w:pPr>
                    <w:pStyle w:val="Compact"/>
                    <w:jc w:val="right"/>
                    <w:jc w:val="center"/>
                  </w:pPr>
                  <w:r>
                    <w:t xml:space="preserve">-0.358</w:t>
                  </w:r>
                </w:p>
              </w:tc>
            </w:tr>
            <w:tr>
              <w:tc>
                <w:tcPr/>
                <w:p>
                  <w:pPr>
                    <w:pStyle w:val="Compact"/>
                    <w:jc w:val="left"/>
                    <w:jc w:val="center"/>
                  </w:pPr>
                  <w:r>
                    <w:t xml:space="preserve">M1aak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0.288</w:t>
                  </w:r>
                </w:p>
              </w:tc>
              <w:tc>
                <w:tcPr/>
                <w:p>
                  <w:pPr>
                    <w:pStyle w:val="Compact"/>
                    <w:jc w:val="right"/>
                    <w:jc w:val="center"/>
                  </w:pPr>
                  <w:r>
                    <w:t xml:space="preserve">1.044</w:t>
                  </w:r>
                </w:p>
              </w:tc>
              <w:tc>
                <w:tcPr/>
                <w:p>
                  <w:pPr>
                    <w:pStyle w:val="Compact"/>
                    <w:jc w:val="right"/>
                    <w:jc w:val="center"/>
                  </w:pPr>
                  <w:r>
                    <w:t xml:space="preserve">0.276</w:t>
                  </w:r>
                </w:p>
              </w:tc>
              <w:tc>
                <w:tcPr/>
                <w:p>
                  <w:pPr>
                    <w:pStyle w:val="Compact"/>
                    <w:jc w:val="right"/>
                    <w:jc w:val="center"/>
                  </w:pPr>
                  <w:r>
                    <w:t xml:space="preserve">0.783</w:t>
                  </w:r>
                </w:p>
              </w:tc>
              <w:tc>
                <w:tcPr/>
                <w:p>
                  <w:pPr>
                    <w:pStyle w:val="Compact"/>
                    <w:jc w:val="right"/>
                    <w:jc w:val="center"/>
                  </w:pPr>
                  <w:r>
                    <w:t xml:space="preserve">0.783</w:t>
                  </w:r>
                </w:p>
              </w:tc>
              <w:tc>
                <w:tcPr/>
                <w:p>
                  <w:pPr>
                    <w:pStyle w:val="Compact"/>
                    <w:jc w:val="right"/>
                    <w:jc w:val="center"/>
                  </w:pPr>
                  <w:r>
                    <w:t xml:space="preserve">-1.759</w:t>
                  </w:r>
                </w:p>
              </w:tc>
              <w:tc>
                <w:tcPr/>
                <w:p>
                  <w:pPr>
                    <w:pStyle w:val="Compact"/>
                    <w:jc w:val="right"/>
                    <w:jc w:val="center"/>
                  </w:pPr>
                  <w:r>
                    <w:t xml:space="preserve">2.334</w:t>
                  </w:r>
                </w:p>
              </w:tc>
            </w:tr>
            <w:tr>
              <w:tc>
                <w:tcPr/>
                <w:p>
                  <w:pPr>
                    <w:pStyle w:val="Compact"/>
                    <w:jc w:val="left"/>
                    <w:jc w:val="center"/>
                  </w:pPr>
                  <w:r>
                    <w:t xml:space="preserve">M1abk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1.030</w:t>
                  </w:r>
                </w:p>
              </w:tc>
              <w:tc>
                <w:tcPr/>
                <w:p>
                  <w:pPr>
                    <w:pStyle w:val="Compact"/>
                    <w:jc w:val="right"/>
                    <w:jc w:val="center"/>
                  </w:pPr>
                  <w:r>
                    <w:t xml:space="preserve">0.830</w:t>
                  </w:r>
                </w:p>
              </w:tc>
              <w:tc>
                <w:tcPr/>
                <w:p>
                  <w:pPr>
                    <w:pStyle w:val="Compact"/>
                    <w:jc w:val="right"/>
                    <w:jc w:val="center"/>
                  </w:pPr>
                  <w:r>
                    <w:t xml:space="preserve">1.241</w:t>
                  </w:r>
                </w:p>
              </w:tc>
              <w:tc>
                <w:tcPr/>
                <w:p>
                  <w:pPr>
                    <w:pStyle w:val="Compact"/>
                    <w:jc w:val="right"/>
                    <w:jc w:val="center"/>
                  </w:pPr>
                  <w:r>
                    <w:t xml:space="preserve">0.215</w:t>
                  </w:r>
                </w:p>
              </w:tc>
              <w:tc>
                <w:tcPr/>
                <w:p>
                  <w:pPr>
                    <w:pStyle w:val="Compact"/>
                    <w:jc w:val="right"/>
                    <w:jc w:val="center"/>
                  </w:pPr>
                  <w:r>
                    <w:t xml:space="preserve">NA</w:t>
                  </w:r>
                </w:p>
              </w:tc>
              <w:tc>
                <w:tcPr/>
                <w:p>
                  <w:pPr>
                    <w:pStyle w:val="Compact"/>
                    <w:jc w:val="right"/>
                    <w:jc w:val="center"/>
                  </w:pPr>
                  <w:r>
                    <w:t xml:space="preserve">-0.597</w:t>
                  </w:r>
                </w:p>
              </w:tc>
              <w:tc>
                <w:tcPr/>
                <w:p>
                  <w:pPr>
                    <w:pStyle w:val="Compact"/>
                    <w:jc w:val="right"/>
                    <w:jc w:val="center"/>
                  </w:pPr>
                  <w:r>
                    <w:t xml:space="preserve">2.656</w:t>
                  </w:r>
                </w:p>
              </w:tc>
            </w:tr>
            <w:tr>
              <w:tc>
                <w:tcPr/>
                <w:p>
                  <w:pPr>
                    <w:pStyle w:val="Compact"/>
                    <w:jc w:val="left"/>
                    <w:jc w:val="center"/>
                  </w:pPr>
                  <w:r>
                    <w:t xml:space="preserve">M1abk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1.044</w:t>
                  </w:r>
                </w:p>
              </w:tc>
              <w:tc>
                <w:tcPr/>
                <w:p>
                  <w:pPr>
                    <w:pStyle w:val="Compact"/>
                    <w:jc w:val="right"/>
                    <w:jc w:val="center"/>
                  </w:pPr>
                  <w:r>
                    <w:t xml:space="preserve">0.977</w:t>
                  </w:r>
                </w:p>
              </w:tc>
              <w:tc>
                <w:tcPr/>
                <w:p>
                  <w:pPr>
                    <w:pStyle w:val="Compact"/>
                    <w:jc w:val="right"/>
                    <w:jc w:val="center"/>
                  </w:pPr>
                  <w:r>
                    <w:t xml:space="preserve">1.068</w:t>
                  </w:r>
                </w:p>
              </w:tc>
              <w:tc>
                <w:tcPr/>
                <w:p>
                  <w:pPr>
                    <w:pStyle w:val="Compact"/>
                    <w:jc w:val="right"/>
                    <w:jc w:val="center"/>
                  </w:pPr>
                  <w:r>
                    <w:t xml:space="preserve">0.286</w:t>
                  </w:r>
                </w:p>
              </w:tc>
              <w:tc>
                <w:tcPr/>
                <w:p>
                  <w:pPr>
                    <w:pStyle w:val="Compact"/>
                    <w:jc w:val="right"/>
                    <w:jc w:val="center"/>
                  </w:pPr>
                  <w:r>
                    <w:t xml:space="preserve">0.571</w:t>
                  </w:r>
                </w:p>
              </w:tc>
              <w:tc>
                <w:tcPr/>
                <w:p>
                  <w:pPr>
                    <w:pStyle w:val="Compact"/>
                    <w:jc w:val="right"/>
                    <w:jc w:val="center"/>
                  </w:pPr>
                  <w:r>
                    <w:t xml:space="preserve">-0.872</w:t>
                  </w:r>
                </w:p>
              </w:tc>
              <w:tc>
                <w:tcPr/>
                <w:p>
                  <w:pPr>
                    <w:pStyle w:val="Compact"/>
                    <w:jc w:val="right"/>
                    <w:jc w:val="center"/>
                  </w:pPr>
                  <w:r>
                    <w:t xml:space="preserve">2.959</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-102.299</w:t>
                  </w:r>
                </w:p>
              </w:tc>
              <w:tc>
                <w:tcPr/>
                <w:p>
                  <w:pPr>
                    <w:pStyle w:val="Compact"/>
                    <w:jc w:val="right"/>
                    <w:jc w:val="center"/>
                  </w:pPr>
                  <w:r>
                    <w:t xml:space="preserve">32.656</w:t>
                  </w:r>
                </w:p>
              </w:tc>
              <w:tc>
                <w:tcPr/>
                <w:p>
                  <w:pPr>
                    <w:pStyle w:val="Compact"/>
                    <w:jc w:val="right"/>
                    <w:jc w:val="center"/>
                  </w:pPr>
                  <w:r>
                    <w:t xml:space="preserve">-3.133</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-166.303</w:t>
                  </w:r>
                </w:p>
              </w:tc>
              <w:tc>
                <w:tcPr/>
                <w:p>
                  <w:pPr>
                    <w:pStyle w:val="Compact"/>
                    <w:jc w:val="right"/>
                    <w:jc w:val="center"/>
                  </w:pPr>
                  <w:r>
                    <w:t xml:space="preserve">-38.295</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-1.655</w:t>
                  </w:r>
                </w:p>
              </w:tc>
              <w:tc>
                <w:tcPr/>
                <w:p>
                  <w:pPr>
                    <w:pStyle w:val="Compact"/>
                    <w:jc w:val="right"/>
                    <w:jc w:val="center"/>
                  </w:pPr>
                  <w:r>
                    <w:t xml:space="preserve">0.536</w:t>
                  </w:r>
                </w:p>
              </w:tc>
              <w:tc>
                <w:tcPr/>
                <w:p>
                  <w:pPr>
                    <w:pStyle w:val="Compact"/>
                    <w:jc w:val="right"/>
                    <w:jc w:val="center"/>
                  </w:pPr>
                  <w:r>
                    <w:t xml:space="preserve">-3.087</w:t>
                  </w:r>
                </w:p>
              </w:tc>
              <w:tc>
                <w:tcPr/>
                <w:p>
                  <w:pPr>
                    <w:pStyle w:val="Compact"/>
                    <w:jc w:val="right"/>
                    <w:jc w:val="center"/>
                  </w:pPr>
                  <w:r>
                    <w:t xml:space="preserve">0.002</w:t>
                  </w:r>
                </w:p>
              </w:tc>
              <w:tc>
                <w:tcPr/>
                <w:p>
                  <w:pPr>
                    <w:pStyle w:val="Compact"/>
                    <w:jc w:val="right"/>
                    <w:jc w:val="center"/>
                  </w:pPr>
                  <w:r>
                    <w:t xml:space="preserve">0.004</w:t>
                  </w:r>
                </w:p>
              </w:tc>
              <w:tc>
                <w:tcPr/>
                <w:p>
                  <w:pPr>
                    <w:pStyle w:val="Compact"/>
                    <w:jc w:val="right"/>
                    <w:jc w:val="center"/>
                  </w:pPr>
                  <w:r>
                    <w:t xml:space="preserve">-2.706</w:t>
                  </w:r>
                </w:p>
              </w:tc>
              <w:tc>
                <w:tcPr/>
                <w:p>
                  <w:pPr>
                    <w:pStyle w:val="Compact"/>
                    <w:jc w:val="right"/>
                    <w:jc w:val="center"/>
                  </w:pPr>
                  <w:r>
                    <w:t xml:space="preserve">-0.604</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Temperature</w:t>
                  </w:r>
                </w:p>
              </w:tc>
              <w:tc>
                <w:tcPr/>
                <w:p>
                  <w:pPr>
                    <w:pStyle w:val="Compact"/>
                    <w:jc w:val="right"/>
                    <w:jc w:val="center"/>
                  </w:pPr>
                  <w:r>
                    <w:t xml:space="preserve">4.079</w:t>
                  </w:r>
                </w:p>
              </w:tc>
              <w:tc>
                <w:tcPr/>
                <w:p>
                  <w:pPr>
                    <w:pStyle w:val="Compact"/>
                    <w:jc w:val="right"/>
                    <w:jc w:val="center"/>
                  </w:pPr>
                  <w:r>
                    <w:t xml:space="preserve">1.293</w:t>
                  </w:r>
                </w:p>
              </w:tc>
              <w:tc>
                <w:tcPr/>
                <w:p>
                  <w:pPr>
                    <w:pStyle w:val="Compact"/>
                    <w:jc w:val="right"/>
                    <w:jc w:val="center"/>
                  </w:pPr>
                  <w:r>
                    <w:t xml:space="preserve">3.154</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1.544</w:t>
                  </w:r>
                </w:p>
              </w:tc>
              <w:tc>
                <w:tcPr/>
                <w:p>
                  <w:pPr>
                    <w:pStyle w:val="Compact"/>
                    <w:jc w:val="right"/>
                    <w:jc w:val="center"/>
                  </w:pPr>
                  <w:r>
                    <w:t xml:space="preserve">6.613</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-153.136</w:t>
                  </w:r>
                </w:p>
              </w:tc>
              <w:tc>
                <w:tcPr/>
                <w:p>
                  <w:pPr>
                    <w:pStyle w:val="Compact"/>
                    <w:jc w:val="right"/>
                    <w:jc w:val="center"/>
                  </w:pPr>
                  <w:r>
                    <w:t xml:space="preserve">37.363</w:t>
                  </w:r>
                </w:p>
              </w:tc>
              <w:tc>
                <w:tcPr/>
                <w:p>
                  <w:pPr>
                    <w:pStyle w:val="Compact"/>
                    <w:jc w:val="right"/>
                    <w:jc w:val="center"/>
                  </w:pPr>
                  <w:r>
                    <w:t xml:space="preserve">-4.099</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-226.366</w:t>
                  </w:r>
                </w:p>
              </w:tc>
              <w:tc>
                <w:tcPr/>
                <w:p>
                  <w:pPr>
                    <w:pStyle w:val="Compact"/>
                    <w:jc w:val="right"/>
                    <w:jc w:val="center"/>
                  </w:pPr>
                  <w:r>
                    <w:t xml:space="preserve">-79.906</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-2.569</w:t>
                  </w:r>
                </w:p>
              </w:tc>
              <w:tc>
                <w:tcPr/>
                <w:p>
                  <w:pPr>
                    <w:pStyle w:val="Compact"/>
                    <w:jc w:val="right"/>
                    <w:jc w:val="center"/>
                  </w:pPr>
                  <w:r>
                    <w:t xml:space="preserve">0.743</w:t>
                  </w:r>
                </w:p>
              </w:tc>
              <w:tc>
                <w:tcPr/>
                <w:p>
                  <w:pPr>
                    <w:pStyle w:val="Compact"/>
                    <w:jc w:val="right"/>
                    <w:jc w:val="center"/>
                  </w:pPr>
                  <w:r>
                    <w:t xml:space="preserve">-3.457</w:t>
                  </w:r>
                </w:p>
              </w:tc>
              <w:tc>
                <w:tcPr/>
                <w:p>
                  <w:pPr>
                    <w:pStyle w:val="Compact"/>
                    <w:jc w:val="right"/>
                    <w:jc w:val="center"/>
                  </w:pPr>
                  <w:r>
                    <w:t xml:space="preserve">0.001</w:t>
                  </w:r>
                </w:p>
              </w:tc>
              <w:tc>
                <w:tcPr/>
                <w:p>
                  <w:pPr>
                    <w:pStyle w:val="Compact"/>
                    <w:jc w:val="right"/>
                    <w:jc w:val="center"/>
                  </w:pPr>
                  <w:r>
                    <w:t xml:space="preserve">0.002</w:t>
                  </w:r>
                </w:p>
              </w:tc>
              <w:tc>
                <w:tcPr/>
                <w:p>
                  <w:pPr>
                    <w:pStyle w:val="Compact"/>
                    <w:jc w:val="right"/>
                    <w:jc w:val="center"/>
                  </w:pPr>
                  <w:r>
                    <w:t xml:space="preserve">-4.026</w:t>
                  </w:r>
                </w:p>
              </w:tc>
              <w:tc>
                <w:tcPr/>
                <w:p>
                  <w:pPr>
                    <w:pStyle w:val="Compact"/>
                    <w:jc w:val="right"/>
                    <w:jc w:val="center"/>
                  </w:pPr>
                  <w:r>
                    <w:t xml:space="preserve">-1.112</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Temperature</w:t>
                  </w:r>
                </w:p>
              </w:tc>
              <w:tc>
                <w:tcPr/>
                <w:p>
                  <w:pPr>
                    <w:pStyle w:val="Compact"/>
                    <w:jc w:val="right"/>
                    <w:jc w:val="center"/>
                  </w:pPr>
                  <w:r>
                    <w:t xml:space="preserve">6.315</w:t>
                  </w:r>
                </w:p>
              </w:tc>
              <w:tc>
                <w:tcPr/>
                <w:p>
                  <w:pPr>
                    <w:pStyle w:val="Compact"/>
                    <w:jc w:val="right"/>
                    <w:jc w:val="center"/>
                  </w:pPr>
                  <w:r>
                    <w:t xml:space="preserve">1.482</w:t>
                  </w:r>
                </w:p>
              </w:tc>
              <w:tc>
                <w:tcPr/>
                <w:p>
                  <w:pPr>
                    <w:pStyle w:val="Compact"/>
                    <w:jc w:val="right"/>
                    <w:jc w:val="center"/>
                  </w:pPr>
                  <w:r>
                    <w:t xml:space="preserve">4.261</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3.410</w:t>
                  </w:r>
                </w:p>
              </w:tc>
              <w:tc>
                <w:tcPr/>
                <w:p>
                  <w:pPr>
                    <w:pStyle w:val="Compact"/>
                    <w:jc w:val="right"/>
                    <w:jc w:val="center"/>
                  </w:pPr>
                  <w:r>
                    <w:t xml:space="preserve">9.220</w:t>
                  </w:r>
                </w:p>
              </w:tc>
            </w:tr>
            <w:tr>
              <w:tc>
                <w:tcPr/>
                <w:p>
                  <w:pPr>
                    <w:pStyle w:val="Compact"/>
                    <w:jc w:val="left"/>
                    <w:jc w:val="center"/>
                  </w:pPr>
                  <w:r>
                    <w:t xml:space="preserve">M1bak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0.742</w:t>
                  </w:r>
                </w:p>
              </w:tc>
              <w:tc>
                <w:tcPr/>
                <w:p>
                  <w:pPr>
                    <w:pStyle w:val="Compact"/>
                    <w:jc w:val="right"/>
                    <w:jc w:val="center"/>
                  </w:pPr>
                  <w:r>
                    <w:t xml:space="preserve">0.553</w:t>
                  </w:r>
                </w:p>
              </w:tc>
              <w:tc>
                <w:tcPr/>
                <w:p>
                  <w:pPr>
                    <w:pStyle w:val="Compact"/>
                    <w:jc w:val="right"/>
                    <w:jc w:val="center"/>
                  </w:pPr>
                  <w:r>
                    <w:t xml:space="preserve">1.343</w:t>
                  </w:r>
                </w:p>
              </w:tc>
              <w:tc>
                <w:tcPr/>
                <w:p>
                  <w:pPr>
                    <w:pStyle w:val="Compact"/>
                    <w:jc w:val="right"/>
                    <w:jc w:val="center"/>
                  </w:pPr>
                  <w:r>
                    <w:t xml:space="preserve">0.179</w:t>
                  </w:r>
                </w:p>
              </w:tc>
              <w:tc>
                <w:tcPr/>
                <w:p>
                  <w:pPr>
                    <w:pStyle w:val="Compact"/>
                    <w:jc w:val="right"/>
                    <w:jc w:val="center"/>
                  </w:pPr>
                  <w:r>
                    <w:t xml:space="preserve">NA</w:t>
                  </w:r>
                </w:p>
              </w:tc>
              <w:tc>
                <w:tcPr/>
                <w:p>
                  <w:pPr>
                    <w:pStyle w:val="Compact"/>
                    <w:jc w:val="right"/>
                    <w:jc w:val="center"/>
                  </w:pPr>
                  <w:r>
                    <w:t xml:space="preserve">-0.341</w:t>
                  </w:r>
                </w:p>
              </w:tc>
              <w:tc>
                <w:tcPr/>
                <w:p>
                  <w:pPr>
                    <w:pStyle w:val="Compact"/>
                    <w:jc w:val="right"/>
                    <w:jc w:val="center"/>
                  </w:pPr>
                  <w:r>
                    <w:t xml:space="preserve">1.825</w:t>
                  </w:r>
                </w:p>
              </w:tc>
            </w:tr>
            <w:tr>
              <w:tc>
                <w:tcPr/>
                <w:p>
                  <w:pPr>
                    <w:pStyle w:val="Compact"/>
                    <w:jc w:val="left"/>
                    <w:jc w:val="center"/>
                  </w:pPr>
                  <w:r>
                    <w:t xml:space="preserve">M1bak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0.031</w:t>
                  </w:r>
                </w:p>
              </w:tc>
              <w:tc>
                <w:tcPr/>
                <w:p>
                  <w:pPr>
                    <w:pStyle w:val="Compact"/>
                    <w:jc w:val="right"/>
                    <w:jc w:val="center"/>
                  </w:pPr>
                  <w:r>
                    <w:t xml:space="preserve">0.778</w:t>
                  </w:r>
                </w:p>
              </w:tc>
              <w:tc>
                <w:tcPr/>
                <w:p>
                  <w:pPr>
                    <w:pStyle w:val="Compact"/>
                    <w:jc w:val="right"/>
                    <w:jc w:val="center"/>
                  </w:pPr>
                  <w:r>
                    <w:t xml:space="preserve">0.040</w:t>
                  </w:r>
                </w:p>
              </w:tc>
              <w:tc>
                <w:tcPr/>
                <w:p>
                  <w:pPr>
                    <w:pStyle w:val="Compact"/>
                    <w:jc w:val="right"/>
                    <w:jc w:val="center"/>
                  </w:pPr>
                  <w:r>
                    <w:t xml:space="preserve">0.968</w:t>
                  </w:r>
                </w:p>
              </w:tc>
              <w:tc>
                <w:tcPr/>
                <w:p>
                  <w:pPr>
                    <w:pStyle w:val="Compact"/>
                    <w:jc w:val="right"/>
                    <w:jc w:val="center"/>
                  </w:pPr>
                  <w:r>
                    <w:t xml:space="preserve">0.968</w:t>
                  </w:r>
                </w:p>
              </w:tc>
              <w:tc>
                <w:tcPr/>
                <w:p>
                  <w:pPr>
                    <w:pStyle w:val="Compact"/>
                    <w:jc w:val="right"/>
                    <w:jc w:val="center"/>
                  </w:pPr>
                  <w:r>
                    <w:t xml:space="preserve">-1.494</w:t>
                  </w:r>
                </w:p>
              </w:tc>
              <w:tc>
                <w:tcPr/>
                <w:p>
                  <w:pPr>
                    <w:pStyle w:val="Compact"/>
                    <w:jc w:val="right"/>
                    <w:jc w:val="center"/>
                  </w:pPr>
                  <w:r>
                    <w:t xml:space="preserve">1.557</w:t>
                  </w:r>
                </w:p>
              </w:tc>
            </w:tr>
            <w:tr>
              <w:tc>
                <w:tcPr/>
                <w:p>
                  <w:pPr>
                    <w:pStyle w:val="Compact"/>
                    <w:jc w:val="left"/>
                    <w:jc w:val="center"/>
                  </w:pPr>
                  <w:r>
                    <w:t xml:space="preserve">M1bbk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3.623</w:t>
                  </w:r>
                </w:p>
              </w:tc>
              <w:tc>
                <w:tcPr/>
                <w:p>
                  <w:pPr>
                    <w:pStyle w:val="Compact"/>
                    <w:jc w:val="right"/>
                    <w:jc w:val="center"/>
                  </w:pPr>
                  <w:r>
                    <w:t xml:space="preserve">0.478</w:t>
                  </w:r>
                </w:p>
              </w:tc>
              <w:tc>
                <w:tcPr/>
                <w:p>
                  <w:pPr>
                    <w:pStyle w:val="Compact"/>
                    <w:jc w:val="right"/>
                    <w:jc w:val="center"/>
                  </w:pPr>
                  <w:r>
                    <w:t xml:space="preserve">7.580</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2.686</w:t>
                  </w:r>
                </w:p>
              </w:tc>
              <w:tc>
                <w:tcPr/>
                <w:p>
                  <w:pPr>
                    <w:pStyle w:val="Compact"/>
                    <w:jc w:val="right"/>
                    <w:jc w:val="center"/>
                  </w:pPr>
                  <w:r>
                    <w:t xml:space="preserve">4.560</w:t>
                  </w:r>
                </w:p>
              </w:tc>
            </w:tr>
            <w:tr>
              <w:tc>
                <w:tcPr/>
                <w:p>
                  <w:pPr>
                    <w:pStyle w:val="Compact"/>
                    <w:jc w:val="left"/>
                    <w:jc w:val="center"/>
                  </w:pPr>
                  <w:r>
                    <w:t xml:space="preserve">M1bbk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-0.041</w:t>
                  </w:r>
                </w:p>
              </w:tc>
              <w:tc>
                <w:tcPr/>
                <w:p>
                  <w:pPr>
                    <w:pStyle w:val="Compact"/>
                    <w:jc w:val="right"/>
                    <w:jc w:val="center"/>
                  </w:pPr>
                  <w:r>
                    <w:t xml:space="preserve">0.681</w:t>
                  </w:r>
                </w:p>
              </w:tc>
              <w:tc>
                <w:tcPr/>
                <w:p>
                  <w:pPr>
                    <w:pStyle w:val="Compact"/>
                    <w:jc w:val="right"/>
                    <w:jc w:val="center"/>
                  </w:pPr>
                  <w:r>
                    <w:t xml:space="preserve">-0.061</w:t>
                  </w:r>
                </w:p>
              </w:tc>
              <w:tc>
                <w:tcPr/>
                <w:p>
                  <w:pPr>
                    <w:pStyle w:val="Compact"/>
                    <w:jc w:val="right"/>
                    <w:jc w:val="center"/>
                  </w:pPr>
                  <w:r>
                    <w:t xml:space="preserve">0.952</w:t>
                  </w:r>
                </w:p>
              </w:tc>
              <w:tc>
                <w:tcPr/>
                <w:p>
                  <w:pPr>
                    <w:pStyle w:val="Compact"/>
                    <w:jc w:val="right"/>
                    <w:jc w:val="center"/>
                  </w:pPr>
                  <w:r>
                    <w:t xml:space="preserve">0.968</w:t>
                  </w:r>
                </w:p>
              </w:tc>
              <w:tc>
                <w:tcPr/>
                <w:p>
                  <w:pPr>
                    <w:pStyle w:val="Compact"/>
                    <w:jc w:val="right"/>
                    <w:jc w:val="center"/>
                  </w:pPr>
                  <w:r>
                    <w:t xml:space="preserve">-1.375</w:t>
                  </w:r>
                </w:p>
              </w:tc>
              <w:tc>
                <w:tcPr/>
                <w:p>
                  <w:pPr>
                    <w:pStyle w:val="Compact"/>
                    <w:jc w:val="right"/>
                    <w:jc w:val="center"/>
                  </w:pPr>
                  <w:r>
                    <w:t xml:space="preserve">1.293</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-3.679</w:t>
                  </w:r>
                </w:p>
              </w:tc>
              <w:tc>
                <w:tcPr/>
                <w:p>
                  <w:pPr>
                    <w:pStyle w:val="Compact"/>
                    <w:jc w:val="right"/>
                    <w:jc w:val="center"/>
                  </w:pPr>
                  <w:r>
                    <w:t xml:space="preserve">1.674</w:t>
                  </w:r>
                </w:p>
              </w:tc>
              <w:tc>
                <w:tcPr/>
                <w:p>
                  <w:pPr>
                    <w:pStyle w:val="Compact"/>
                    <w:jc w:val="right"/>
                    <w:jc w:val="center"/>
                  </w:pPr>
                  <w:r>
                    <w:t xml:space="preserve">-2.198</w:t>
                  </w:r>
                </w:p>
              </w:tc>
              <w:tc>
                <w:tcPr/>
                <w:p>
                  <w:pPr>
                    <w:pStyle w:val="Compact"/>
                    <w:jc w:val="right"/>
                    <w:jc w:val="center"/>
                  </w:pPr>
                  <w:r>
                    <w:t xml:space="preserve">0.028</w:t>
                  </w:r>
                </w:p>
              </w:tc>
              <w:tc>
                <w:tcPr/>
                <w:p>
                  <w:pPr>
                    <w:pStyle w:val="Compact"/>
                    <w:jc w:val="right"/>
                    <w:jc w:val="center"/>
                  </w:pPr>
                  <w:r>
                    <w:t xml:space="preserve">NA</w:t>
                  </w:r>
                </w:p>
              </w:tc>
              <w:tc>
                <w:tcPr/>
                <w:p>
                  <w:pPr>
                    <w:pStyle w:val="Compact"/>
                    <w:jc w:val="right"/>
                    <w:jc w:val="center"/>
                  </w:pPr>
                  <w:r>
                    <w:t xml:space="preserve">-6.959</w:t>
                  </w:r>
                </w:p>
              </w:tc>
              <w:tc>
                <w:tcPr/>
                <w:p>
                  <w:pPr>
                    <w:pStyle w:val="Compact"/>
                    <w:jc w:val="right"/>
                    <w:jc w:val="center"/>
                  </w:pPr>
                  <w:r>
                    <w:t xml:space="preserve">-0.398</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0.184</w:t>
                  </w:r>
                </w:p>
              </w:tc>
              <w:tc>
                <w:tcPr/>
                <w:p>
                  <w:pPr>
                    <w:pStyle w:val="Compact"/>
                    <w:jc w:val="right"/>
                    <w:jc w:val="center"/>
                  </w:pPr>
                  <w:r>
                    <w:t xml:space="preserve">1.470</w:t>
                  </w:r>
                </w:p>
              </w:tc>
              <w:tc>
                <w:tcPr/>
                <w:p>
                  <w:pPr>
                    <w:pStyle w:val="Compact"/>
                    <w:jc w:val="right"/>
                    <w:jc w:val="center"/>
                  </w:pPr>
                  <w:r>
                    <w:t xml:space="preserve">0.125</w:t>
                  </w:r>
                </w:p>
              </w:tc>
              <w:tc>
                <w:tcPr/>
                <w:p>
                  <w:pPr>
                    <w:pStyle w:val="Compact"/>
                    <w:jc w:val="right"/>
                    <w:jc w:val="center"/>
                  </w:pPr>
                  <w:r>
                    <w:t xml:space="preserve">0.900</w:t>
                  </w:r>
                </w:p>
              </w:tc>
              <w:tc>
                <w:tcPr/>
                <w:p>
                  <w:pPr>
                    <w:pStyle w:val="Compact"/>
                    <w:jc w:val="right"/>
                    <w:jc w:val="center"/>
                  </w:pPr>
                  <w:r>
                    <w:t xml:space="preserve">NA</w:t>
                  </w:r>
                </w:p>
              </w:tc>
              <w:tc>
                <w:tcPr/>
                <w:p>
                  <w:pPr>
                    <w:pStyle w:val="Compact"/>
                    <w:jc w:val="right"/>
                    <w:jc w:val="center"/>
                  </w:pPr>
                  <w:r>
                    <w:t xml:space="preserve">-2.698</w:t>
                  </w:r>
                </w:p>
              </w:tc>
              <w:tc>
                <w:tcPr/>
                <w:p>
                  <w:pPr>
                    <w:pStyle w:val="Compact"/>
                    <w:jc w:val="right"/>
                    <w:jc w:val="center"/>
                  </w:pPr>
                  <w:r>
                    <w:t xml:space="preserve">3.066</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-0.695</w:t>
                  </w:r>
                </w:p>
              </w:tc>
              <w:tc>
                <w:tcPr/>
                <w:p>
                  <w:pPr>
                    <w:pStyle w:val="Compact"/>
                    <w:jc w:val="right"/>
                    <w:jc w:val="center"/>
                  </w:pPr>
                  <w:r>
                    <w:t xml:space="preserve">1.641</w:t>
                  </w:r>
                </w:p>
              </w:tc>
              <w:tc>
                <w:tcPr/>
                <w:p>
                  <w:pPr>
                    <w:pStyle w:val="Compact"/>
                    <w:jc w:val="right"/>
                    <w:jc w:val="center"/>
                  </w:pPr>
                  <w:r>
                    <w:t xml:space="preserve">-0.423</w:t>
                  </w:r>
                </w:p>
              </w:tc>
              <w:tc>
                <w:tcPr/>
                <w:p>
                  <w:pPr>
                    <w:pStyle w:val="Compact"/>
                    <w:jc w:val="right"/>
                    <w:jc w:val="center"/>
                  </w:pPr>
                  <w:r>
                    <w:t xml:space="preserve">0.672</w:t>
                  </w:r>
                </w:p>
              </w:tc>
              <w:tc>
                <w:tcPr/>
                <w:p>
                  <w:pPr>
                    <w:pStyle w:val="Compact"/>
                    <w:jc w:val="right"/>
                    <w:jc w:val="center"/>
                  </w:pPr>
                  <w:r>
                    <w:t xml:space="preserve">NA</w:t>
                  </w:r>
                </w:p>
              </w:tc>
              <w:tc>
                <w:tcPr/>
                <w:p>
                  <w:pPr>
                    <w:pStyle w:val="Compact"/>
                    <w:jc w:val="right"/>
                    <w:jc w:val="center"/>
                  </w:pPr>
                  <w:r>
                    <w:t xml:space="preserve">-3.912</w:t>
                  </w:r>
                </w:p>
              </w:tc>
              <w:tc>
                <w:tcPr/>
                <w:p>
                  <w:pPr>
                    <w:pStyle w:val="Compact"/>
                    <w:jc w:val="right"/>
                    <w:jc w:val="center"/>
                  </w:pPr>
                  <w:r>
                    <w:t xml:space="preserve">2.522</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-0.071</w:t>
                  </w:r>
                </w:p>
              </w:tc>
              <w:tc>
                <w:tcPr/>
                <w:p>
                  <w:pPr>
                    <w:pStyle w:val="Compact"/>
                    <w:jc w:val="right"/>
                    <w:jc w:val="center"/>
                  </w:pPr>
                  <w:r>
                    <w:t xml:space="preserve">0.355</w:t>
                  </w:r>
                </w:p>
              </w:tc>
              <w:tc>
                <w:tcPr/>
                <w:p>
                  <w:pPr>
                    <w:pStyle w:val="Compact"/>
                    <w:jc w:val="right"/>
                    <w:jc w:val="center"/>
                  </w:pPr>
                  <w:r>
                    <w:t xml:space="preserve">-0.201</w:t>
                  </w:r>
                </w:p>
              </w:tc>
              <w:tc>
                <w:tcPr/>
                <w:p>
                  <w:pPr>
                    <w:pStyle w:val="Compact"/>
                    <w:jc w:val="right"/>
                    <w:jc w:val="center"/>
                  </w:pPr>
                  <w:r>
                    <w:t xml:space="preserve">0.841</w:t>
                  </w:r>
                </w:p>
              </w:tc>
              <w:tc>
                <w:tcPr/>
                <w:p>
                  <w:pPr>
                    <w:pStyle w:val="Compact"/>
                    <w:jc w:val="right"/>
                    <w:jc w:val="center"/>
                  </w:pPr>
                  <w:r>
                    <w:t xml:space="preserve">NA</w:t>
                  </w:r>
                </w:p>
              </w:tc>
              <w:tc>
                <w:tcPr/>
                <w:p>
                  <w:pPr>
                    <w:pStyle w:val="Compact"/>
                    <w:jc w:val="right"/>
                    <w:jc w:val="center"/>
                  </w:pPr>
                  <w:r>
                    <w:t xml:space="preserve">-0.768</w:t>
                  </w:r>
                </w:p>
              </w:tc>
              <w:tc>
                <w:tcPr/>
                <w:p>
                  <w:pPr>
                    <w:pStyle w:val="Compact"/>
                    <w:jc w:val="right"/>
                    <w:jc w:val="center"/>
                  </w:pPr>
                  <w:r>
                    <w:t xml:space="preserve">0.625</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1.742</w:t>
                  </w:r>
                </w:p>
              </w:tc>
              <w:tc>
                <w:tcPr/>
                <w:p>
                  <w:pPr>
                    <w:pStyle w:val="Compact"/>
                    <w:jc w:val="right"/>
                    <w:jc w:val="center"/>
                  </w:pPr>
                  <w:r>
                    <w:t xml:space="preserve">1.828</w:t>
                  </w:r>
                </w:p>
              </w:tc>
              <w:tc>
                <w:tcPr/>
                <w:p>
                  <w:pPr>
                    <w:pStyle w:val="Compact"/>
                    <w:jc w:val="right"/>
                    <w:jc w:val="center"/>
                  </w:pPr>
                  <w:r>
                    <w:t xml:space="preserve">0.953</w:t>
                  </w:r>
                </w:p>
              </w:tc>
              <w:tc>
                <w:tcPr/>
                <w:p>
                  <w:pPr>
                    <w:pStyle w:val="Compact"/>
                    <w:jc w:val="right"/>
                    <w:jc w:val="center"/>
                  </w:pPr>
                  <w:r>
                    <w:t xml:space="preserve">0.341</w:t>
                  </w:r>
                </w:p>
              </w:tc>
              <w:tc>
                <w:tcPr/>
                <w:p>
                  <w:pPr>
                    <w:pStyle w:val="Compact"/>
                    <w:jc w:val="right"/>
                    <w:jc w:val="center"/>
                  </w:pPr>
                  <w:r>
                    <w:t xml:space="preserve">0.732</w:t>
                  </w:r>
                </w:p>
              </w:tc>
              <w:tc>
                <w:tcPr/>
                <w:p>
                  <w:pPr>
                    <w:pStyle w:val="Compact"/>
                    <w:jc w:val="right"/>
                    <w:jc w:val="center"/>
                  </w:pPr>
                  <w:r>
                    <w:t xml:space="preserve">-1.842</w:t>
                  </w:r>
                </w:p>
              </w:tc>
              <w:tc>
                <w:tcPr/>
                <w:p>
                  <w:pPr>
                    <w:pStyle w:val="Compact"/>
                    <w:jc w:val="right"/>
                    <w:jc w:val="center"/>
                  </w:pPr>
                  <w:r>
                    <w:t xml:space="preserve">5.325</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1.694</w:t>
                  </w:r>
                </w:p>
              </w:tc>
              <w:tc>
                <w:tcPr/>
                <w:p>
                  <w:pPr>
                    <w:pStyle w:val="Compact"/>
                    <w:jc w:val="right"/>
                    <w:jc w:val="center"/>
                  </w:pPr>
                  <w:r>
                    <w:t xml:space="preserve">2.773</w:t>
                  </w:r>
                </w:p>
              </w:tc>
              <w:tc>
                <w:tcPr/>
                <w:p>
                  <w:pPr>
                    <w:pStyle w:val="Compact"/>
                    <w:jc w:val="right"/>
                    <w:jc w:val="center"/>
                  </w:pPr>
                  <w:r>
                    <w:t xml:space="preserve">0.611</w:t>
                  </w:r>
                </w:p>
              </w:tc>
              <w:tc>
                <w:tcPr/>
                <w:p>
                  <w:pPr>
                    <w:pStyle w:val="Compact"/>
                    <w:jc w:val="right"/>
                    <w:jc w:val="center"/>
                  </w:pPr>
                  <w:r>
                    <w:t xml:space="preserve">0.541</w:t>
                  </w:r>
                </w:p>
              </w:tc>
              <w:tc>
                <w:tcPr/>
                <w:p>
                  <w:pPr>
                    <w:pStyle w:val="Compact"/>
                    <w:jc w:val="right"/>
                    <w:jc w:val="center"/>
                  </w:pPr>
                  <w:r>
                    <w:t xml:space="preserve">NA</w:t>
                  </w:r>
                </w:p>
              </w:tc>
              <w:tc>
                <w:tcPr/>
                <w:p>
                  <w:pPr>
                    <w:pStyle w:val="Compact"/>
                    <w:jc w:val="right"/>
                    <w:jc w:val="center"/>
                  </w:pPr>
                  <w:r>
                    <w:t xml:space="preserve">-3.741</w:t>
                  </w:r>
                </w:p>
              </w:tc>
              <w:tc>
                <w:tcPr/>
                <w:p>
                  <w:pPr>
                    <w:pStyle w:val="Compact"/>
                    <w:jc w:val="right"/>
                    <w:jc w:val="center"/>
                  </w:pPr>
                  <w:r>
                    <w:t xml:space="preserve">7.129</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-0.843</w:t>
                  </w:r>
                </w:p>
              </w:tc>
              <w:tc>
                <w:tcPr/>
                <w:p>
                  <w:pPr>
                    <w:pStyle w:val="Compact"/>
                    <w:jc w:val="right"/>
                    <w:jc w:val="center"/>
                  </w:pPr>
                  <w:r>
                    <w:t xml:space="preserve">2.260</w:t>
                  </w:r>
                </w:p>
              </w:tc>
              <w:tc>
                <w:tcPr/>
                <w:p>
                  <w:pPr>
                    <w:pStyle w:val="Compact"/>
                    <w:jc w:val="right"/>
                    <w:jc w:val="center"/>
                  </w:pPr>
                  <w:r>
                    <w:t xml:space="preserve">-0.373</w:t>
                  </w:r>
                </w:p>
              </w:tc>
              <w:tc>
                <w:tcPr/>
                <w:p>
                  <w:pPr>
                    <w:pStyle w:val="Compact"/>
                    <w:jc w:val="right"/>
                    <w:jc w:val="center"/>
                  </w:pPr>
                  <w:r>
                    <w:t xml:space="preserve">0.709</w:t>
                  </w:r>
                </w:p>
              </w:tc>
              <w:tc>
                <w:tcPr/>
                <w:p>
                  <w:pPr>
                    <w:pStyle w:val="Compact"/>
                    <w:jc w:val="right"/>
                    <w:jc w:val="center"/>
                  </w:pPr>
                  <w:r>
                    <w:t xml:space="preserve">NA</w:t>
                  </w:r>
                </w:p>
              </w:tc>
              <w:tc>
                <w:tcPr/>
                <w:p>
                  <w:pPr>
                    <w:pStyle w:val="Compact"/>
                    <w:jc w:val="right"/>
                    <w:jc w:val="center"/>
                  </w:pPr>
                  <w:r>
                    <w:t xml:space="preserve">-5.273</w:t>
                  </w:r>
                </w:p>
              </w:tc>
              <w:tc>
                <w:tcPr/>
                <w:p>
                  <w:pPr>
                    <w:pStyle w:val="Compact"/>
                    <w:jc w:val="right"/>
                    <w:jc w:val="center"/>
                  </w:pPr>
                  <w:r>
                    <w:t xml:space="preserve">3.587</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-5.195</w:t>
                  </w:r>
                </w:p>
              </w:tc>
              <w:tc>
                <w:tcPr/>
                <w:p>
                  <w:pPr>
                    <w:pStyle w:val="Compact"/>
                    <w:jc w:val="right"/>
                    <w:jc w:val="center"/>
                  </w:pPr>
                  <w:r>
                    <w:t xml:space="preserve">5.456</w:t>
                  </w:r>
                </w:p>
              </w:tc>
              <w:tc>
                <w:tcPr/>
                <w:p>
                  <w:pPr>
                    <w:pStyle w:val="Compact"/>
                    <w:jc w:val="right"/>
                    <w:jc w:val="center"/>
                  </w:pPr>
                  <w:r>
                    <w:t xml:space="preserve">-0.952</w:t>
                  </w:r>
                </w:p>
              </w:tc>
              <w:tc>
                <w:tcPr/>
                <w:p>
                  <w:pPr>
                    <w:pStyle w:val="Compact"/>
                    <w:jc w:val="right"/>
                    <w:jc w:val="center"/>
                  </w:pPr>
                  <w:r>
                    <w:t xml:space="preserve">0.341</w:t>
                  </w:r>
                </w:p>
              </w:tc>
              <w:tc>
                <w:tcPr/>
                <w:p>
                  <w:pPr>
                    <w:pStyle w:val="Compact"/>
                    <w:jc w:val="right"/>
                    <w:jc w:val="center"/>
                  </w:pPr>
                  <w:r>
                    <w:t xml:space="preserve">NA</w:t>
                  </w:r>
                </w:p>
              </w:tc>
              <w:tc>
                <w:tcPr/>
                <w:p>
                  <w:pPr>
                    <w:pStyle w:val="Compact"/>
                    <w:jc w:val="right"/>
                    <w:jc w:val="center"/>
                  </w:pPr>
                  <w:r>
                    <w:t xml:space="preserve">-15.889</w:t>
                  </w:r>
                </w:p>
              </w:tc>
              <w:tc>
                <w:tcPr/>
                <w:p>
                  <w:pPr>
                    <w:pStyle w:val="Compact"/>
                    <w:jc w:val="right"/>
                    <w:jc w:val="center"/>
                  </w:pPr>
                  <w:r>
                    <w:t xml:space="preserve">5.500</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-0.082</w:t>
                  </w:r>
                </w:p>
              </w:tc>
              <w:tc>
                <w:tcPr/>
                <w:p>
                  <w:pPr>
                    <w:pStyle w:val="Compact"/>
                    <w:jc w:val="right"/>
                    <w:jc w:val="center"/>
                  </w:pPr>
                  <w:r>
                    <w:t xml:space="preserve">0.545</w:t>
                  </w:r>
                </w:p>
              </w:tc>
              <w:tc>
                <w:tcPr/>
                <w:p>
                  <w:pPr>
                    <w:pStyle w:val="Compact"/>
                    <w:jc w:val="right"/>
                    <w:jc w:val="center"/>
                  </w:pPr>
                  <w:r>
                    <w:t xml:space="preserve">-0.151</w:t>
                  </w:r>
                </w:p>
              </w:tc>
              <w:tc>
                <w:tcPr/>
                <w:p>
                  <w:pPr>
                    <w:pStyle w:val="Compact"/>
                    <w:jc w:val="right"/>
                    <w:jc w:val="center"/>
                  </w:pPr>
                  <w:r>
                    <w:t xml:space="preserve">0.880</w:t>
                  </w:r>
                </w:p>
              </w:tc>
              <w:tc>
                <w:tcPr/>
                <w:p>
                  <w:pPr>
                    <w:pStyle w:val="Compact"/>
                    <w:jc w:val="right"/>
                    <w:jc w:val="center"/>
                  </w:pPr>
                  <w:r>
                    <w:t xml:space="preserve">NA</w:t>
                  </w:r>
                </w:p>
              </w:tc>
              <w:tc>
                <w:tcPr/>
                <w:p>
                  <w:pPr>
                    <w:pStyle w:val="Compact"/>
                    <w:jc w:val="right"/>
                    <w:jc w:val="center"/>
                  </w:pPr>
                  <w:r>
                    <w:t xml:space="preserve">-1.150</w:t>
                  </w:r>
                </w:p>
              </w:tc>
              <w:tc>
                <w:tcPr/>
                <w:p>
                  <w:pPr>
                    <w:pStyle w:val="Compact"/>
                    <w:jc w:val="right"/>
                    <w:jc w:val="center"/>
                  </w:pPr>
                  <w:r>
                    <w:t xml:space="preserve">0.985</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4.977</w:t>
                  </w:r>
                </w:p>
              </w:tc>
              <w:tc>
                <w:tcPr/>
                <w:p>
                  <w:pPr>
                    <w:pStyle w:val="Compact"/>
                    <w:jc w:val="right"/>
                    <w:jc w:val="center"/>
                  </w:pPr>
                  <w:r>
                    <w:t xml:space="preserve">5.352</w:t>
                  </w:r>
                </w:p>
              </w:tc>
              <w:tc>
                <w:tcPr/>
                <w:p>
                  <w:pPr>
                    <w:pStyle w:val="Compact"/>
                    <w:jc w:val="right"/>
                    <w:jc w:val="center"/>
                  </w:pPr>
                  <w:r>
                    <w:t xml:space="preserve">0.930</w:t>
                  </w:r>
                </w:p>
              </w:tc>
              <w:tc>
                <w:tcPr/>
                <w:p>
                  <w:pPr>
                    <w:pStyle w:val="Compact"/>
                    <w:jc w:val="right"/>
                    <w:jc w:val="center"/>
                  </w:pPr>
                  <w:r>
                    <w:t xml:space="preserve">0.352</w:t>
                  </w:r>
                </w:p>
              </w:tc>
              <w:tc>
                <w:tcPr/>
                <w:p>
                  <w:pPr>
                    <w:pStyle w:val="Compact"/>
                    <w:jc w:val="right"/>
                    <w:jc w:val="center"/>
                  </w:pPr>
                  <w:r>
                    <w:t xml:space="preserve">0.732</w:t>
                  </w:r>
                </w:p>
              </w:tc>
              <w:tc>
                <w:tcPr/>
                <w:p>
                  <w:pPr>
                    <w:pStyle w:val="Compact"/>
                    <w:jc w:val="right"/>
                    <w:jc w:val="center"/>
                  </w:pPr>
                  <w:r>
                    <w:t xml:space="preserve">-5.513</w:t>
                  </w:r>
                </w:p>
              </w:tc>
              <w:tc>
                <w:tcPr/>
                <w:p>
                  <w:pPr>
                    <w:pStyle w:val="Compact"/>
                    <w:jc w:val="right"/>
                    <w:jc w:val="center"/>
                  </w:pPr>
                  <w:r>
                    <w:t xml:space="preserve">15.468</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-2.117</w:t>
                  </w:r>
                </w:p>
              </w:tc>
              <w:tc>
                <w:tcPr/>
                <w:p>
                  <w:pPr>
                    <w:pStyle w:val="Compact"/>
                    <w:jc w:val="right"/>
                    <w:jc w:val="center"/>
                  </w:pPr>
                  <w:r>
                    <w:t xml:space="preserve">1.963</w:t>
                  </w:r>
                </w:p>
              </w:tc>
              <w:tc>
                <w:tcPr/>
                <w:p>
                  <w:pPr>
                    <w:pStyle w:val="Compact"/>
                    <w:jc w:val="right"/>
                    <w:jc w:val="center"/>
                  </w:pPr>
                  <w:r>
                    <w:t xml:space="preserve">-1.078</w:t>
                  </w:r>
                </w:p>
              </w:tc>
              <w:tc>
                <w:tcPr/>
                <w:p>
                  <w:pPr>
                    <w:pStyle w:val="Compact"/>
                    <w:jc w:val="right"/>
                    <w:jc w:val="center"/>
                  </w:pPr>
                  <w:r>
                    <w:t xml:space="preserve">0.281</w:t>
                  </w:r>
                </w:p>
              </w:tc>
              <w:tc>
                <w:tcPr/>
                <w:p>
                  <w:pPr>
                    <w:pStyle w:val="Compact"/>
                    <w:jc w:val="right"/>
                    <w:jc w:val="center"/>
                  </w:pPr>
                  <w:r>
                    <w:t xml:space="preserve">NA</w:t>
                  </w:r>
                </w:p>
              </w:tc>
              <w:tc>
                <w:tcPr/>
                <w:p>
                  <w:pPr>
                    <w:pStyle w:val="Compact"/>
                    <w:jc w:val="right"/>
                    <w:jc w:val="center"/>
                  </w:pPr>
                  <w:r>
                    <w:t xml:space="preserve">-5.964</w:t>
                  </w:r>
                </w:p>
              </w:tc>
              <w:tc>
                <w:tcPr/>
                <w:p>
                  <w:pPr>
                    <w:pStyle w:val="Compact"/>
                    <w:jc w:val="right"/>
                    <w:jc w:val="center"/>
                  </w:pPr>
                  <w:r>
                    <w:t xml:space="preserve">1.730</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-1.073</w:t>
                  </w:r>
                </w:p>
              </w:tc>
              <w:tc>
                <w:tcPr/>
                <w:p>
                  <w:pPr>
                    <w:pStyle w:val="Compact"/>
                    <w:jc w:val="right"/>
                    <w:jc w:val="center"/>
                  </w:pPr>
                  <w:r>
                    <w:t xml:space="preserve">1.893</w:t>
                  </w:r>
                </w:p>
              </w:tc>
              <w:tc>
                <w:tcPr/>
                <w:p>
                  <w:pPr>
                    <w:pStyle w:val="Compact"/>
                    <w:jc w:val="right"/>
                    <w:jc w:val="center"/>
                  </w:pPr>
                  <w:r>
                    <w:t xml:space="preserve">-0.567</w:t>
                  </w:r>
                </w:p>
              </w:tc>
              <w:tc>
                <w:tcPr/>
                <w:p>
                  <w:pPr>
                    <w:pStyle w:val="Compact"/>
                    <w:jc w:val="right"/>
                    <w:jc w:val="center"/>
                  </w:pPr>
                  <w:r>
                    <w:t xml:space="preserve">0.571</w:t>
                  </w:r>
                </w:p>
              </w:tc>
              <w:tc>
                <w:tcPr/>
                <w:p>
                  <w:pPr>
                    <w:pStyle w:val="Compact"/>
                    <w:jc w:val="right"/>
                    <w:jc w:val="center"/>
                  </w:pPr>
                  <w:r>
                    <w:t xml:space="preserve">NA</w:t>
                  </w:r>
                </w:p>
              </w:tc>
              <w:tc>
                <w:tcPr/>
                <w:p>
                  <w:pPr>
                    <w:pStyle w:val="Compact"/>
                    <w:jc w:val="right"/>
                    <w:jc w:val="center"/>
                  </w:pPr>
                  <w:r>
                    <w:t xml:space="preserve">-4.784</w:t>
                  </w:r>
                </w:p>
              </w:tc>
              <w:tc>
                <w:tcPr/>
                <w:p>
                  <w:pPr>
                    <w:pStyle w:val="Compact"/>
                    <w:jc w:val="right"/>
                    <w:jc w:val="center"/>
                  </w:pPr>
                  <w:r>
                    <w:t xml:space="preserve">2.638</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0.000</w:t>
                  </w:r>
                </w:p>
              </w:tc>
              <w:tc>
                <w:tcPr/>
                <w:p>
                  <w:pPr>
                    <w:pStyle w:val="Compact"/>
                    <w:jc w:val="right"/>
                    <w:jc w:val="center"/>
                  </w:pPr>
                  <w:r>
                    <w:t xml:space="preserve">2.010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right"/>
                    <w:jc w:val="center"/>
                  </w:pPr>
                  <w:r>
                    <w:t xml:space="preserve">-3.939</w:t>
                  </w:r>
                </w:p>
              </w:tc>
              <w:tc>
                <w:tcPr/>
                <w:p>
                  <w:pPr>
                    <w:pStyle w:val="Compact"/>
                    <w:jc w:val="right"/>
                    <w:jc w:val="center"/>
                  </w:pPr>
                  <w:r>
                    <w:t xml:space="preserve">3.939</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0.213</w:t>
                  </w:r>
                </w:p>
              </w:tc>
              <w:tc>
                <w:tcPr/>
                <w:p>
                  <w:pPr>
                    <w:pStyle w:val="Compact"/>
                    <w:jc w:val="right"/>
                    <w:jc w:val="center"/>
                  </w:pPr>
                  <w:r>
                    <w:t xml:space="preserve">0.331</w:t>
                  </w:r>
                </w:p>
              </w:tc>
              <w:tc>
                <w:tcPr/>
                <w:p>
                  <w:pPr>
                    <w:pStyle w:val="Compact"/>
                    <w:jc w:val="right"/>
                    <w:jc w:val="center"/>
                  </w:pPr>
                  <w:r>
                    <w:t xml:space="preserve">0.644</w:t>
                  </w:r>
                </w:p>
              </w:tc>
              <w:tc>
                <w:tcPr/>
                <w:p>
                  <w:pPr>
                    <w:pStyle w:val="Compact"/>
                    <w:jc w:val="right"/>
                    <w:jc w:val="center"/>
                  </w:pPr>
                  <w:r>
                    <w:t xml:space="preserve">0.519</w:t>
                  </w:r>
                </w:p>
              </w:tc>
              <w:tc>
                <w:tcPr/>
                <w:p>
                  <w:pPr>
                    <w:pStyle w:val="Compact"/>
                    <w:jc w:val="right"/>
                    <w:jc w:val="center"/>
                  </w:pPr>
                  <w:r>
                    <w:t xml:space="preserve">NA</w:t>
                  </w:r>
                </w:p>
              </w:tc>
              <w:tc>
                <w:tcPr/>
                <w:p>
                  <w:pPr>
                    <w:pStyle w:val="Compact"/>
                    <w:jc w:val="right"/>
                    <w:jc w:val="center"/>
                  </w:pPr>
                  <w:r>
                    <w:t xml:space="preserve">-0.436</w:t>
                  </w:r>
                </w:p>
              </w:tc>
              <w:tc>
                <w:tcPr/>
                <w:p>
                  <w:pPr>
                    <w:pStyle w:val="Compact"/>
                    <w:jc w:val="right"/>
                    <w:jc w:val="center"/>
                  </w:pPr>
                  <w:r>
                    <w:t xml:space="preserve">0.863</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0.430</w:t>
                  </w:r>
                </w:p>
              </w:tc>
              <w:tc>
                <w:tcPr/>
                <w:p>
                  <w:pPr>
                    <w:pStyle w:val="Compact"/>
                    <w:jc w:val="right"/>
                    <w:jc w:val="center"/>
                  </w:pPr>
                  <w:r>
                    <w:t xml:space="preserve">2.216</w:t>
                  </w:r>
                </w:p>
              </w:tc>
              <w:tc>
                <w:tcPr/>
                <w:p>
                  <w:pPr>
                    <w:pStyle w:val="Compact"/>
                    <w:jc w:val="right"/>
                    <w:jc w:val="center"/>
                  </w:pPr>
                  <w:r>
                    <w:t xml:space="preserve">0.194</w:t>
                  </w:r>
                </w:p>
              </w:tc>
              <w:tc>
                <w:tcPr/>
                <w:p>
                  <w:pPr>
                    <w:pStyle w:val="Compact"/>
                    <w:jc w:val="right"/>
                    <w:jc w:val="center"/>
                  </w:pPr>
                  <w:r>
                    <w:t xml:space="preserve">0.846</w:t>
                  </w:r>
                </w:p>
              </w:tc>
              <w:tc>
                <w:tcPr/>
                <w:p>
                  <w:pPr>
                    <w:pStyle w:val="Compact"/>
                    <w:jc w:val="right"/>
                    <w:jc w:val="center"/>
                  </w:pPr>
                  <w:r>
                    <w:t xml:space="preserve">0.846</w:t>
                  </w:r>
                </w:p>
              </w:tc>
              <w:tc>
                <w:tcPr/>
                <w:p>
                  <w:pPr>
                    <w:pStyle w:val="Compact"/>
                    <w:jc w:val="right"/>
                    <w:jc w:val="center"/>
                  </w:pPr>
                  <w:r>
                    <w:t xml:space="preserve">-3.914</w:t>
                  </w:r>
                </w:p>
              </w:tc>
              <w:tc>
                <w:tcPr/>
                <w:p>
                  <w:pPr>
                    <w:pStyle w:val="Compact"/>
                    <w:jc w:val="right"/>
                    <w:jc w:val="center"/>
                  </w:pPr>
                  <w:r>
                    <w:t xml:space="preserve">4.774</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-2.739</w:t>
                  </w:r>
                </w:p>
              </w:tc>
              <w:tc>
                <w:tcPr/>
                <w:p>
                  <w:pPr>
                    <w:pStyle w:val="Compact"/>
                    <w:jc w:val="right"/>
                    <w:jc w:val="center"/>
                  </w:pPr>
                  <w:r>
                    <w:t xml:space="preserve">1.178</w:t>
                  </w:r>
                </w:p>
              </w:tc>
              <w:tc>
                <w:tcPr/>
                <w:p>
                  <w:pPr>
                    <w:pStyle w:val="Compact"/>
                    <w:jc w:val="right"/>
                    <w:jc w:val="center"/>
                  </w:pPr>
                  <w:r>
                    <w:t xml:space="preserve">-2.324</w:t>
                  </w:r>
                </w:p>
              </w:tc>
              <w:tc>
                <w:tcPr/>
                <w:p>
                  <w:pPr>
                    <w:pStyle w:val="Compact"/>
                    <w:jc w:val="right"/>
                    <w:jc w:val="center"/>
                  </w:pPr>
                  <w:r>
                    <w:t xml:space="preserve">0.020</w:t>
                  </w:r>
                </w:p>
              </w:tc>
              <w:tc>
                <w:tcPr/>
                <w:p>
                  <w:pPr>
                    <w:pStyle w:val="Compact"/>
                    <w:jc w:val="right"/>
                    <w:jc w:val="center"/>
                  </w:pPr>
                  <w:r>
                    <w:t xml:space="preserve">NA</w:t>
                  </w:r>
                </w:p>
              </w:tc>
              <w:tc>
                <w:tcPr/>
                <w:p>
                  <w:pPr>
                    <w:pStyle w:val="Compact"/>
                    <w:jc w:val="right"/>
                    <w:jc w:val="center"/>
                  </w:pPr>
                  <w:r>
                    <w:t xml:space="preserve">-5.048</w:t>
                  </w:r>
                </w:p>
              </w:tc>
              <w:tc>
                <w:tcPr/>
                <w:p>
                  <w:pPr>
                    <w:pStyle w:val="Compact"/>
                    <w:jc w:val="right"/>
                    <w:jc w:val="center"/>
                  </w:pPr>
                  <w:r>
                    <w:t xml:space="preserve">-0.429</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2.121</w:t>
                  </w:r>
                </w:p>
              </w:tc>
              <w:tc>
                <w:tcPr/>
                <w:p>
                  <w:pPr>
                    <w:pStyle w:val="Compact"/>
                    <w:jc w:val="right"/>
                    <w:jc w:val="center"/>
                  </w:pPr>
                  <w:r>
                    <w:t xml:space="preserve">0.973</w:t>
                  </w:r>
                </w:p>
              </w:tc>
              <w:tc>
                <w:tcPr/>
                <w:p>
                  <w:pPr>
                    <w:pStyle w:val="Compact"/>
                    <w:jc w:val="right"/>
                    <w:jc w:val="center"/>
                  </w:pPr>
                  <w:r>
                    <w:t xml:space="preserve">2.179</w:t>
                  </w:r>
                </w:p>
              </w:tc>
              <w:tc>
                <w:tcPr/>
                <w:p>
                  <w:pPr>
                    <w:pStyle w:val="Compact"/>
                    <w:jc w:val="right"/>
                    <w:jc w:val="center"/>
                  </w:pPr>
                  <w:r>
                    <w:t xml:space="preserve">0.029</w:t>
                  </w:r>
                </w:p>
              </w:tc>
              <w:tc>
                <w:tcPr/>
                <w:p>
                  <w:pPr>
                    <w:pStyle w:val="Compact"/>
                    <w:jc w:val="right"/>
                    <w:jc w:val="center"/>
                  </w:pPr>
                  <w:r>
                    <w:t xml:space="preserve">NA</w:t>
                  </w:r>
                </w:p>
              </w:tc>
              <w:tc>
                <w:tcPr/>
                <w:p>
                  <w:pPr>
                    <w:pStyle w:val="Compact"/>
                    <w:jc w:val="right"/>
                    <w:jc w:val="center"/>
                  </w:pPr>
                  <w:r>
                    <w:t xml:space="preserve">0.213</w:t>
                  </w:r>
                </w:p>
              </w:tc>
              <w:tc>
                <w:tcPr/>
                <w:p>
                  <w:pPr>
                    <w:pStyle w:val="Compact"/>
                    <w:jc w:val="right"/>
                    <w:jc w:val="center"/>
                  </w:pPr>
                  <w:r>
                    <w:t xml:space="preserve">4.028</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0.714</w:t>
                  </w:r>
                </w:p>
              </w:tc>
              <w:tc>
                <w:tcPr/>
                <w:p>
                  <w:pPr>
                    <w:pStyle w:val="Compact"/>
                    <w:jc w:val="right"/>
                    <w:jc w:val="center"/>
                  </w:pPr>
                  <w:r>
                    <w:t xml:space="preserve">1.316</w:t>
                  </w:r>
                </w:p>
              </w:tc>
              <w:tc>
                <w:tcPr/>
                <w:p>
                  <w:pPr>
                    <w:pStyle w:val="Compact"/>
                    <w:jc w:val="right"/>
                    <w:jc w:val="center"/>
                  </w:pPr>
                  <w:r>
                    <w:t xml:space="preserve">0.543</w:t>
                  </w:r>
                </w:p>
              </w:tc>
              <w:tc>
                <w:tcPr/>
                <w:p>
                  <w:pPr>
                    <w:pStyle w:val="Compact"/>
                    <w:jc w:val="right"/>
                    <w:jc w:val="center"/>
                  </w:pPr>
                  <w:r>
                    <w:t xml:space="preserve">0.587</w:t>
                  </w:r>
                </w:p>
              </w:tc>
              <w:tc>
                <w:tcPr/>
                <w:p>
                  <w:pPr>
                    <w:pStyle w:val="Compact"/>
                    <w:jc w:val="right"/>
                    <w:jc w:val="center"/>
                  </w:pPr>
                  <w:r>
                    <w:t xml:space="preserve">NA</w:t>
                  </w:r>
                </w:p>
              </w:tc>
              <w:tc>
                <w:tcPr/>
                <w:p>
                  <w:pPr>
                    <w:pStyle w:val="Compact"/>
                    <w:jc w:val="right"/>
                    <w:jc w:val="center"/>
                  </w:pPr>
                  <w:r>
                    <w:t xml:space="preserve">-1.865</w:t>
                  </w:r>
                </w:p>
              </w:tc>
              <w:tc>
                <w:tcPr/>
                <w:p>
                  <w:pPr>
                    <w:pStyle w:val="Compact"/>
                    <w:jc w:val="right"/>
                    <w:jc w:val="center"/>
                  </w:pPr>
                  <w:r>
                    <w:t xml:space="preserve">3.293</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-0.123</w:t>
                  </w:r>
                </w:p>
              </w:tc>
              <w:tc>
                <w:tcPr/>
                <w:p>
                  <w:pPr>
                    <w:pStyle w:val="Compact"/>
                    <w:jc w:val="right"/>
                    <w:jc w:val="center"/>
                  </w:pPr>
                  <w:r>
                    <w:t xml:space="preserve">0.093</w:t>
                  </w:r>
                </w:p>
              </w:tc>
              <w:tc>
                <w:tcPr/>
                <w:p>
                  <w:pPr>
                    <w:pStyle w:val="Compact"/>
                    <w:jc w:val="right"/>
                    <w:jc w:val="center"/>
                  </w:pPr>
                  <w:r>
                    <w:t xml:space="preserve">-1.312</w:t>
                  </w:r>
                </w:p>
              </w:tc>
              <w:tc>
                <w:tcPr/>
                <w:p>
                  <w:pPr>
                    <w:pStyle w:val="Compact"/>
                    <w:jc w:val="right"/>
                    <w:jc w:val="center"/>
                  </w:pPr>
                  <w:r>
                    <w:t xml:space="preserve">0.189</w:t>
                  </w:r>
                </w:p>
              </w:tc>
              <w:tc>
                <w:tcPr/>
                <w:p>
                  <w:pPr>
                    <w:pStyle w:val="Compact"/>
                    <w:jc w:val="right"/>
                    <w:jc w:val="center"/>
                  </w:pPr>
                  <w:r>
                    <w:t xml:space="preserve">NA</w:t>
                  </w:r>
                </w:p>
              </w:tc>
              <w:tc>
                <w:tcPr/>
                <w:p>
                  <w:pPr>
                    <w:pStyle w:val="Compact"/>
                    <w:jc w:val="right"/>
                    <w:jc w:val="center"/>
                  </w:pPr>
                  <w:r>
                    <w:t xml:space="preserve">-0.306</w:t>
                  </w:r>
                </w:p>
              </w:tc>
              <w:tc>
                <w:tcPr/>
                <w:p>
                  <w:pPr>
                    <w:pStyle w:val="Compact"/>
                    <w:jc w:val="right"/>
                    <w:jc w:val="center"/>
                  </w:pPr>
                  <w:r>
                    <w:t xml:space="preserve">0.061</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0.286</w:t>
                  </w:r>
                </w:p>
              </w:tc>
              <w:tc>
                <w:tcPr/>
                <w:p>
                  <w:pPr>
                    <w:pStyle w:val="Compact"/>
                    <w:jc w:val="right"/>
                    <w:jc w:val="center"/>
                  </w:pPr>
                  <w:r>
                    <w:t xml:space="preserve">1.224</w:t>
                  </w:r>
                </w:p>
              </w:tc>
              <w:tc>
                <w:tcPr/>
                <w:p>
                  <w:pPr>
                    <w:pStyle w:val="Compact"/>
                    <w:jc w:val="right"/>
                    <w:jc w:val="center"/>
                  </w:pPr>
                  <w:r>
                    <w:t xml:space="preserve">0.234</w:t>
                  </w:r>
                </w:p>
              </w:tc>
              <w:tc>
                <w:tcPr/>
                <w:p>
                  <w:pPr>
                    <w:pStyle w:val="Compact"/>
                    <w:jc w:val="right"/>
                    <w:jc w:val="center"/>
                  </w:pPr>
                  <w:r>
                    <w:t xml:space="preserve">0.815</w:t>
                  </w:r>
                </w:p>
              </w:tc>
              <w:tc>
                <w:tcPr/>
                <w:p>
                  <w:pPr>
                    <w:pStyle w:val="Compact"/>
                    <w:jc w:val="right"/>
                    <w:jc w:val="center"/>
                  </w:pPr>
                  <w:r>
                    <w:t xml:space="preserve">0.846</w:t>
                  </w:r>
                </w:p>
              </w:tc>
              <w:tc>
                <w:tcPr/>
                <w:p>
                  <w:pPr>
                    <w:pStyle w:val="Compact"/>
                    <w:jc w:val="right"/>
                    <w:jc w:val="center"/>
                  </w:pPr>
                  <w:r>
                    <w:t xml:space="preserve">-2.112</w:t>
                  </w:r>
                </w:p>
              </w:tc>
              <w:tc>
                <w:tcPr/>
                <w:p>
                  <w:pPr>
                    <w:pStyle w:val="Compact"/>
                    <w:jc w:val="right"/>
                    <w:jc w:val="center"/>
                  </w:pPr>
                  <w:r>
                    <w:t xml:space="preserve">2.685</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0.353</w:t>
                  </w:r>
                </w:p>
              </w:tc>
              <w:tc>
                <w:tcPr/>
                <w:p>
                  <w:pPr>
                    <w:pStyle w:val="Compact"/>
                    <w:jc w:val="right"/>
                    <w:jc w:val="center"/>
                  </w:pPr>
                  <w:r>
                    <w:t xml:space="preserve">1.341</w:t>
                  </w:r>
                </w:p>
              </w:tc>
              <w:tc>
                <w:tcPr/>
                <w:p>
                  <w:pPr>
                    <w:pStyle w:val="Compact"/>
                    <w:jc w:val="right"/>
                    <w:jc w:val="center"/>
                  </w:pPr>
                  <w:r>
                    <w:t xml:space="preserve">0.263</w:t>
                  </w:r>
                </w:p>
              </w:tc>
              <w:tc>
                <w:tcPr/>
                <w:p>
                  <w:pPr>
                    <w:pStyle w:val="Compact"/>
                    <w:jc w:val="right"/>
                    <w:jc w:val="center"/>
                  </w:pPr>
                  <w:r>
                    <w:t xml:space="preserve">0.793</w:t>
                  </w:r>
                </w:p>
              </w:tc>
              <w:tc>
                <w:tcPr/>
                <w:p>
                  <w:pPr>
                    <w:pStyle w:val="Compact"/>
                    <w:jc w:val="right"/>
                    <w:jc w:val="center"/>
                  </w:pPr>
                  <w:r>
                    <w:t xml:space="preserve">NA</w:t>
                  </w:r>
                </w:p>
              </w:tc>
              <w:tc>
                <w:tcPr/>
                <w:p>
                  <w:pPr>
                    <w:pStyle w:val="Compact"/>
                    <w:jc w:val="right"/>
                    <w:jc w:val="center"/>
                  </w:pPr>
                  <w:r>
                    <w:t xml:space="preserve">-2.275</w:t>
                  </w:r>
                </w:p>
              </w:tc>
              <w:tc>
                <w:tcPr/>
                <w:p>
                  <w:pPr>
                    <w:pStyle w:val="Compact"/>
                    <w:jc w:val="right"/>
                    <w:jc w:val="center"/>
                  </w:pPr>
                  <w:r>
                    <w:t xml:space="preserve">2.980</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1.982</w:t>
                  </w:r>
                </w:p>
              </w:tc>
              <w:tc>
                <w:tcPr/>
                <w:p>
                  <w:pPr>
                    <w:pStyle w:val="Compact"/>
                    <w:jc w:val="right"/>
                    <w:jc w:val="center"/>
                  </w:pPr>
                  <w:r>
                    <w:t xml:space="preserve">1.259</w:t>
                  </w:r>
                </w:p>
              </w:tc>
              <w:tc>
                <w:tcPr/>
                <w:p>
                  <w:pPr>
                    <w:pStyle w:val="Compact"/>
                    <w:jc w:val="right"/>
                    <w:jc w:val="center"/>
                  </w:pPr>
                  <w:r>
                    <w:t xml:space="preserve">1.574</w:t>
                  </w:r>
                </w:p>
              </w:tc>
              <w:tc>
                <w:tcPr/>
                <w:p>
                  <w:pPr>
                    <w:pStyle w:val="Compact"/>
                    <w:jc w:val="right"/>
                    <w:jc w:val="center"/>
                  </w:pPr>
                  <w:r>
                    <w:t xml:space="preserve">0.115</w:t>
                  </w:r>
                </w:p>
              </w:tc>
              <w:tc>
                <w:tcPr/>
                <w:p>
                  <w:pPr>
                    <w:pStyle w:val="Compact"/>
                    <w:jc w:val="right"/>
                    <w:jc w:val="center"/>
                  </w:pPr>
                  <w:r>
                    <w:t xml:space="preserve">NA</w:t>
                  </w:r>
                </w:p>
              </w:tc>
              <w:tc>
                <w:tcPr/>
                <w:p>
                  <w:pPr>
                    <w:pStyle w:val="Compact"/>
                    <w:jc w:val="right"/>
                    <w:jc w:val="center"/>
                  </w:pPr>
                  <w:r>
                    <w:t xml:space="preserve">-0.486</w:t>
                  </w:r>
                </w:p>
              </w:tc>
              <w:tc>
                <w:tcPr/>
                <w:p>
                  <w:pPr>
                    <w:pStyle w:val="Compact"/>
                    <w:jc w:val="right"/>
                    <w:jc w:val="center"/>
                  </w:pPr>
                  <w:r>
                    <w:t xml:space="preserve">4.451</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1.370</w:t>
                  </w:r>
                </w:p>
              </w:tc>
              <w:tc>
                <w:tcPr/>
                <w:p>
                  <w:pPr>
                    <w:pStyle w:val="Compact"/>
                    <w:jc w:val="right"/>
                    <w:jc w:val="center"/>
                  </w:pPr>
                  <w:r>
                    <w:t xml:space="preserve">1.542</w:t>
                  </w:r>
                </w:p>
              </w:tc>
              <w:tc>
                <w:tcPr/>
                <w:p>
                  <w:pPr>
                    <w:pStyle w:val="Compact"/>
                    <w:jc w:val="right"/>
                    <w:jc w:val="center"/>
                  </w:pPr>
                  <w:r>
                    <w:t xml:space="preserve">0.888</w:t>
                  </w:r>
                </w:p>
              </w:tc>
              <w:tc>
                <w:tcPr/>
                <w:p>
                  <w:pPr>
                    <w:pStyle w:val="Compact"/>
                    <w:jc w:val="right"/>
                    <w:jc w:val="center"/>
                  </w:pPr>
                  <w:r>
                    <w:t xml:space="preserve">0.375</w:t>
                  </w:r>
                </w:p>
              </w:tc>
              <w:tc>
                <w:tcPr/>
                <w:p>
                  <w:pPr>
                    <w:pStyle w:val="Compact"/>
                    <w:jc w:val="right"/>
                    <w:jc w:val="center"/>
                  </w:pPr>
                  <w:r>
                    <w:t xml:space="preserve">NA</w:t>
                  </w:r>
                </w:p>
              </w:tc>
              <w:tc>
                <w:tcPr/>
                <w:p>
                  <w:pPr>
                    <w:pStyle w:val="Compact"/>
                    <w:jc w:val="right"/>
                    <w:jc w:val="center"/>
                  </w:pPr>
                  <w:r>
                    <w:t xml:space="preserve">-1.654</w:t>
                  </w:r>
                </w:p>
              </w:tc>
              <w:tc>
                <w:tcPr/>
                <w:p>
                  <w:pPr>
                    <w:pStyle w:val="Compact"/>
                    <w:jc w:val="right"/>
                    <w:jc w:val="center"/>
                  </w:pPr>
                  <w:r>
                    <w:t xml:space="preserve">4.393</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-0.056</w:t>
                  </w:r>
                </w:p>
              </w:tc>
              <w:tc>
                <w:tcPr/>
                <w:p>
                  <w:pPr>
                    <w:pStyle w:val="Compact"/>
                    <w:jc w:val="right"/>
                    <w:jc w:val="center"/>
                  </w:pPr>
                  <w:r>
                    <w:t xml:space="preserve">0.126</w:t>
                  </w:r>
                </w:p>
              </w:tc>
              <w:tc>
                <w:tcPr/>
                <w:p>
                  <w:pPr>
                    <w:pStyle w:val="Compact"/>
                    <w:jc w:val="right"/>
                    <w:jc w:val="center"/>
                  </w:pPr>
                  <w:r>
                    <w:t xml:space="preserve">-0.445</w:t>
                  </w:r>
                </w:p>
              </w:tc>
              <w:tc>
                <w:tcPr/>
                <w:p>
                  <w:pPr>
                    <w:pStyle w:val="Compact"/>
                    <w:jc w:val="right"/>
                    <w:jc w:val="center"/>
                  </w:pPr>
                  <w:r>
                    <w:t xml:space="preserve">0.656</w:t>
                  </w:r>
                </w:p>
              </w:tc>
              <w:tc>
                <w:tcPr/>
                <w:p>
                  <w:pPr>
                    <w:pStyle w:val="Compact"/>
                    <w:jc w:val="right"/>
                    <w:jc w:val="center"/>
                  </w:pPr>
                  <w:r>
                    <w:t xml:space="preserve">NA</w:t>
                  </w:r>
                </w:p>
              </w:tc>
              <w:tc>
                <w:tcPr/>
                <w:p>
                  <w:pPr>
                    <w:pStyle w:val="Compact"/>
                    <w:jc w:val="right"/>
                    <w:jc w:val="center"/>
                  </w:pPr>
                  <w:r>
                    <w:t xml:space="preserve">-0.304</w:t>
                  </w:r>
                </w:p>
              </w:tc>
              <w:tc>
                <w:tcPr/>
                <w:p>
                  <w:pPr>
                    <w:pStyle w:val="Compact"/>
                    <w:jc w:val="right"/>
                    <w:jc w:val="center"/>
                  </w:pPr>
                  <w:r>
                    <w:t xml:space="preserve">0.191</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-0.416</w:t>
                  </w:r>
                </w:p>
              </w:tc>
              <w:tc>
                <w:tcPr/>
                <w:p>
                  <w:pPr>
                    <w:pStyle w:val="Compact"/>
                    <w:jc w:val="right"/>
                    <w:jc w:val="center"/>
                  </w:pPr>
                  <w:r>
                    <w:t xml:space="preserve">1.477</w:t>
                  </w:r>
                </w:p>
              </w:tc>
              <w:tc>
                <w:tcPr/>
                <w:p>
                  <w:pPr>
                    <w:pStyle w:val="Compact"/>
                    <w:jc w:val="right"/>
                    <w:jc w:val="center"/>
                  </w:pPr>
                  <w:r>
                    <w:t xml:space="preserve">-0.282</w:t>
                  </w:r>
                </w:p>
              </w:tc>
              <w:tc>
                <w:tcPr/>
                <w:p>
                  <w:pPr>
                    <w:pStyle w:val="Compact"/>
                    <w:jc w:val="right"/>
                    <w:jc w:val="center"/>
                  </w:pPr>
                  <w:r>
                    <w:t xml:space="preserve">0.778</w:t>
                  </w:r>
                </w:p>
              </w:tc>
              <w:tc>
                <w:tcPr/>
                <w:p>
                  <w:pPr>
                    <w:pStyle w:val="Compact"/>
                    <w:jc w:val="right"/>
                    <w:jc w:val="center"/>
                  </w:pPr>
                  <w:r>
                    <w:t xml:space="preserve">0.846</w:t>
                  </w:r>
                </w:p>
              </w:tc>
              <w:tc>
                <w:tcPr/>
                <w:p>
                  <w:pPr>
                    <w:pStyle w:val="Compact"/>
                    <w:jc w:val="right"/>
                    <w:jc w:val="center"/>
                  </w:pPr>
                  <w:r>
                    <w:t xml:space="preserve">-3.311</w:t>
                  </w:r>
                </w:p>
              </w:tc>
              <w:tc>
                <w:tcPr/>
                <w:p>
                  <w:pPr>
                    <w:pStyle w:val="Compact"/>
                    <w:jc w:val="right"/>
                    <w:jc w:val="center"/>
                  </w:pPr>
                  <w:r>
                    <w:t xml:space="preserve">2.479</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-0.696</w:t>
                  </w:r>
                </w:p>
              </w:tc>
              <w:tc>
                <w:tcPr/>
                <w:p>
                  <w:pPr>
                    <w:pStyle w:val="Compact"/>
                    <w:jc w:val="right"/>
                    <w:jc w:val="center"/>
                  </w:pPr>
                  <w:r>
                    <w:t xml:space="preserve">1.727</w:t>
                  </w:r>
                </w:p>
              </w:tc>
              <w:tc>
                <w:tcPr/>
                <w:p>
                  <w:pPr>
                    <w:pStyle w:val="Compact"/>
                    <w:jc w:val="right"/>
                    <w:jc w:val="center"/>
                  </w:pPr>
                  <w:r>
                    <w:t xml:space="preserve">-0.403</w:t>
                  </w:r>
                </w:p>
              </w:tc>
              <w:tc>
                <w:tcPr/>
                <w:p>
                  <w:pPr>
                    <w:pStyle w:val="Compact"/>
                    <w:jc w:val="right"/>
                    <w:jc w:val="center"/>
                  </w:pPr>
                  <w:r>
                    <w:t xml:space="preserve">0.687</w:t>
                  </w:r>
                </w:p>
              </w:tc>
              <w:tc>
                <w:tcPr/>
                <w:p>
                  <w:pPr>
                    <w:pStyle w:val="Compact"/>
                    <w:jc w:val="right"/>
                    <w:jc w:val="center"/>
                  </w:pPr>
                  <w:r>
                    <w:t xml:space="preserve">NA</w:t>
                  </w:r>
                </w:p>
              </w:tc>
              <w:tc>
                <w:tcPr/>
                <w:p>
                  <w:pPr>
                    <w:pStyle w:val="Compact"/>
                    <w:jc w:val="right"/>
                    <w:jc w:val="center"/>
                  </w:pPr>
                  <w:r>
                    <w:t xml:space="preserve">-4.080</w:t>
                  </w:r>
                </w:p>
              </w:tc>
              <w:tc>
                <w:tcPr/>
                <w:p>
                  <w:pPr>
                    <w:pStyle w:val="Compact"/>
                    <w:jc w:val="right"/>
                    <w:jc w:val="center"/>
                  </w:pPr>
                  <w:r>
                    <w:t xml:space="preserve">2.689</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1.019</w:t>
                  </w:r>
                </w:p>
              </w:tc>
              <w:tc>
                <w:tcPr/>
                <w:p>
                  <w:pPr>
                    <w:pStyle w:val="Compact"/>
                    <w:jc w:val="right"/>
                    <w:jc w:val="center"/>
                  </w:pPr>
                  <w:r>
                    <w:t xml:space="preserve">1.571</w:t>
                  </w:r>
                </w:p>
              </w:tc>
              <w:tc>
                <w:tcPr/>
                <w:p>
                  <w:pPr>
                    <w:pStyle w:val="Compact"/>
                    <w:jc w:val="right"/>
                    <w:jc w:val="center"/>
                  </w:pPr>
                  <w:r>
                    <w:t xml:space="preserve">0.648</w:t>
                  </w:r>
                </w:p>
              </w:tc>
              <w:tc>
                <w:tcPr/>
                <w:p>
                  <w:pPr>
                    <w:pStyle w:val="Compact"/>
                    <w:jc w:val="right"/>
                    <w:jc w:val="center"/>
                  </w:pPr>
                  <w:r>
                    <w:t xml:space="preserve">0.517</w:t>
                  </w:r>
                </w:p>
              </w:tc>
              <w:tc>
                <w:tcPr/>
                <w:p>
                  <w:pPr>
                    <w:pStyle w:val="Compact"/>
                    <w:jc w:val="right"/>
                    <w:jc w:val="center"/>
                  </w:pPr>
                  <w:r>
                    <w:t xml:space="preserve">NA</w:t>
                  </w:r>
                </w:p>
              </w:tc>
              <w:tc>
                <w:tcPr/>
                <w:p>
                  <w:pPr>
                    <w:pStyle w:val="Compact"/>
                    <w:jc w:val="right"/>
                    <w:jc w:val="center"/>
                  </w:pPr>
                  <w:r>
                    <w:t xml:space="preserve">-2.061</w:t>
                  </w:r>
                </w:p>
              </w:tc>
              <w:tc>
                <w:tcPr/>
                <w:p>
                  <w:pPr>
                    <w:pStyle w:val="Compact"/>
                    <w:jc w:val="right"/>
                    <w:jc w:val="center"/>
                  </w:pPr>
                  <w:r>
                    <w:t xml:space="preserve">4.098</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-0.035</w:t>
                  </w:r>
                </w:p>
              </w:tc>
              <w:tc>
                <w:tcPr/>
                <w:p>
                  <w:pPr>
                    <w:pStyle w:val="Compact"/>
                    <w:jc w:val="right"/>
                    <w:jc w:val="center"/>
                  </w:pPr>
                  <w:r>
                    <w:t xml:space="preserve">2.277</w:t>
                  </w:r>
                </w:p>
              </w:tc>
              <w:tc>
                <w:tcPr/>
                <w:p>
                  <w:pPr>
                    <w:pStyle w:val="Compact"/>
                    <w:jc w:val="right"/>
                    <w:jc w:val="center"/>
                  </w:pPr>
                  <w:r>
                    <w:t xml:space="preserve">-0.015</w:t>
                  </w:r>
                </w:p>
              </w:tc>
              <w:tc>
                <w:tcPr/>
                <w:p>
                  <w:pPr>
                    <w:pStyle w:val="Compact"/>
                    <w:jc w:val="right"/>
                    <w:jc w:val="center"/>
                  </w:pPr>
                  <w:r>
                    <w:t xml:space="preserve">0.988</w:t>
                  </w:r>
                </w:p>
              </w:tc>
              <w:tc>
                <w:tcPr/>
                <w:p>
                  <w:pPr>
                    <w:pStyle w:val="Compact"/>
                    <w:jc w:val="right"/>
                    <w:jc w:val="center"/>
                  </w:pPr>
                  <w:r>
                    <w:t xml:space="preserve">NA</w:t>
                  </w:r>
                </w:p>
              </w:tc>
              <w:tc>
                <w:tcPr/>
                <w:p>
                  <w:pPr>
                    <w:pStyle w:val="Compact"/>
                    <w:jc w:val="right"/>
                    <w:jc w:val="center"/>
                  </w:pPr>
                  <w:r>
                    <w:t xml:space="preserve">-4.498</w:t>
                  </w:r>
                </w:p>
              </w:tc>
              <w:tc>
                <w:tcPr/>
                <w:p>
                  <w:pPr>
                    <w:pStyle w:val="Compact"/>
                    <w:jc w:val="right"/>
                    <w:jc w:val="center"/>
                  </w:pPr>
                  <w:r>
                    <w:t xml:space="preserve">4.429</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0.000</w:t>
                  </w:r>
                </w:p>
              </w:tc>
              <w:tc>
                <w:tcPr/>
                <w:p>
                  <w:pPr>
                    <w:pStyle w:val="Compact"/>
                    <w:jc w:val="right"/>
                    <w:jc w:val="center"/>
                  </w:pPr>
                  <w:r>
                    <w:t xml:space="preserve">0.287</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right"/>
                    <w:jc w:val="center"/>
                  </w:pPr>
                  <w:r>
                    <w:t xml:space="preserve">-0.563</w:t>
                  </w:r>
                </w:p>
              </w:tc>
              <w:tc>
                <w:tcPr/>
                <w:p>
                  <w:pPr>
                    <w:pStyle w:val="Compact"/>
                    <w:jc w:val="right"/>
                    <w:jc w:val="center"/>
                  </w:pPr>
                  <w:r>
                    <w:t xml:space="preserve">0.563</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1.711</w:t>
                  </w:r>
                </w:p>
              </w:tc>
              <w:tc>
                <w:tcPr/>
                <w:p>
                  <w:pPr>
                    <w:pStyle w:val="Compact"/>
                    <w:jc w:val="right"/>
                    <w:jc w:val="center"/>
                  </w:pPr>
                  <w:r>
                    <w:t xml:space="preserve">1.892</w:t>
                  </w:r>
                </w:p>
              </w:tc>
              <w:tc>
                <w:tcPr/>
                <w:p>
                  <w:pPr>
                    <w:pStyle w:val="Compact"/>
                    <w:jc w:val="right"/>
                    <w:jc w:val="center"/>
                  </w:pPr>
                  <w:r>
                    <w:t xml:space="preserve">0.904</w:t>
                  </w:r>
                </w:p>
              </w:tc>
              <w:tc>
                <w:tcPr/>
                <w:p>
                  <w:pPr>
                    <w:pStyle w:val="Compact"/>
                    <w:jc w:val="right"/>
                    <w:jc w:val="center"/>
                  </w:pPr>
                  <w:r>
                    <w:t xml:space="preserve">0.366</w:t>
                  </w:r>
                </w:p>
              </w:tc>
              <w:tc>
                <w:tcPr/>
                <w:p>
                  <w:pPr>
                    <w:pStyle w:val="Compact"/>
                    <w:jc w:val="right"/>
                    <w:jc w:val="center"/>
                  </w:pPr>
                  <w:r>
                    <w:t xml:space="preserve">0.732</w:t>
                  </w:r>
                </w:p>
              </w:tc>
              <w:tc>
                <w:tcPr/>
                <w:p>
                  <w:pPr>
                    <w:pStyle w:val="Compact"/>
                    <w:jc w:val="right"/>
                    <w:jc w:val="center"/>
                  </w:pPr>
                  <w:r>
                    <w:t xml:space="preserve">-1.998</w:t>
                  </w:r>
                </w:p>
              </w:tc>
              <w:tc>
                <w:tcPr/>
                <w:p>
                  <w:pPr>
                    <w:pStyle w:val="Compact"/>
                    <w:jc w:val="right"/>
                    <w:jc w:val="center"/>
                  </w:pPr>
                  <w:r>
                    <w:t xml:space="preserve">5.420</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-2.016</w:t>
                  </w:r>
                </w:p>
              </w:tc>
              <w:tc>
                <w:tcPr/>
                <w:p>
                  <w:pPr>
                    <w:pStyle w:val="Compact"/>
                    <w:jc w:val="right"/>
                    <w:jc w:val="center"/>
                  </w:pPr>
                  <w:r>
                    <w:t xml:space="preserve">1.699</w:t>
                  </w:r>
                </w:p>
              </w:tc>
              <w:tc>
                <w:tcPr/>
                <w:p>
                  <w:pPr>
                    <w:pStyle w:val="Compact"/>
                    <w:jc w:val="right"/>
                    <w:jc w:val="center"/>
                  </w:pPr>
                  <w:r>
                    <w:t xml:space="preserve">-1.186</w:t>
                  </w:r>
                </w:p>
              </w:tc>
              <w:tc>
                <w:tcPr/>
                <w:p>
                  <w:pPr>
                    <w:pStyle w:val="Compact"/>
                    <w:jc w:val="right"/>
                    <w:jc w:val="center"/>
                  </w:pPr>
                  <w:r>
                    <w:t xml:space="preserve">0.236</w:t>
                  </w:r>
                </w:p>
              </w:tc>
              <w:tc>
                <w:tcPr/>
                <w:p>
                  <w:pPr>
                    <w:pStyle w:val="Compact"/>
                    <w:jc w:val="right"/>
                    <w:jc w:val="center"/>
                  </w:pPr>
                  <w:r>
                    <w:t xml:space="preserve">NA</w:t>
                  </w:r>
                </w:p>
              </w:tc>
              <w:tc>
                <w:tcPr/>
                <w:p>
                  <w:pPr>
                    <w:pStyle w:val="Compact"/>
                    <w:jc w:val="right"/>
                    <w:jc w:val="center"/>
                  </w:pPr>
                  <w:r>
                    <w:t xml:space="preserve">-5.346</w:t>
                  </w:r>
                </w:p>
              </w:tc>
              <w:tc>
                <w:tcPr/>
                <w:p>
                  <w:pPr>
                    <w:pStyle w:val="Compact"/>
                    <w:jc w:val="right"/>
                    <w:jc w:val="center"/>
                  </w:pPr>
                  <w:r>
                    <w:t xml:space="preserve">1.315</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-2.702</w:t>
                  </w:r>
                </w:p>
              </w:tc>
              <w:tc>
                <w:tcPr/>
                <w:p>
                  <w:pPr>
                    <w:pStyle w:val="Compact"/>
                    <w:jc w:val="right"/>
                    <w:jc w:val="center"/>
                  </w:pPr>
                  <w:r>
                    <w:t xml:space="preserve">2.471</w:t>
                  </w:r>
                </w:p>
              </w:tc>
              <w:tc>
                <w:tcPr/>
                <w:p>
                  <w:pPr>
                    <w:pStyle w:val="Compact"/>
                    <w:jc w:val="right"/>
                    <w:jc w:val="center"/>
                  </w:pPr>
                  <w:r>
                    <w:t xml:space="preserve">-1.093</w:t>
                  </w:r>
                </w:p>
              </w:tc>
              <w:tc>
                <w:tcPr/>
                <w:p>
                  <w:pPr>
                    <w:pStyle w:val="Compact"/>
                    <w:jc w:val="right"/>
                    <w:jc w:val="center"/>
                  </w:pPr>
                  <w:r>
                    <w:t xml:space="preserve">0.274</w:t>
                  </w:r>
                </w:p>
              </w:tc>
              <w:tc>
                <w:tcPr/>
                <w:p>
                  <w:pPr>
                    <w:pStyle w:val="Compact"/>
                    <w:jc w:val="right"/>
                    <w:jc w:val="center"/>
                  </w:pPr>
                  <w:r>
                    <w:t xml:space="preserve">NA</w:t>
                  </w:r>
                </w:p>
              </w:tc>
              <w:tc>
                <w:tcPr/>
                <w:p>
                  <w:pPr>
                    <w:pStyle w:val="Compact"/>
                    <w:jc w:val="right"/>
                    <w:jc w:val="center"/>
                  </w:pPr>
                  <w:r>
                    <w:t xml:space="preserve">-7.546</w:t>
                  </w:r>
                </w:p>
              </w:tc>
              <w:tc>
                <w:tcPr/>
                <w:p>
                  <w:pPr>
                    <w:pStyle w:val="Compact"/>
                    <w:jc w:val="right"/>
                    <w:jc w:val="center"/>
                  </w:pPr>
                  <w:r>
                    <w:t xml:space="preserve">2.142</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-0.585</w:t>
                  </w:r>
                </w:p>
              </w:tc>
              <w:tc>
                <w:tcPr/>
                <w:p>
                  <w:pPr>
                    <w:pStyle w:val="Compact"/>
                    <w:jc w:val="right"/>
                    <w:jc w:val="center"/>
                  </w:pPr>
                  <w:r>
                    <w:t xml:space="preserve">0.474</w:t>
                  </w:r>
                </w:p>
              </w:tc>
              <w:tc>
                <w:tcPr/>
                <w:p>
                  <w:pPr>
                    <w:pStyle w:val="Compact"/>
                    <w:jc w:val="right"/>
                    <w:jc w:val="center"/>
                  </w:pPr>
                  <w:r>
                    <w:t xml:space="preserve">-1.232</w:t>
                  </w:r>
                </w:p>
              </w:tc>
              <w:tc>
                <w:tcPr/>
                <w:p>
                  <w:pPr>
                    <w:pStyle w:val="Compact"/>
                    <w:jc w:val="right"/>
                    <w:jc w:val="center"/>
                  </w:pPr>
                  <w:r>
                    <w:t xml:space="preserve">0.218</w:t>
                  </w:r>
                </w:p>
              </w:tc>
              <w:tc>
                <w:tcPr/>
                <w:p>
                  <w:pPr>
                    <w:pStyle w:val="Compact"/>
                    <w:jc w:val="right"/>
                    <w:jc w:val="center"/>
                  </w:pPr>
                  <w:r>
                    <w:t xml:space="preserve">NA</w:t>
                  </w:r>
                </w:p>
              </w:tc>
              <w:tc>
                <w:tcPr/>
                <w:p>
                  <w:pPr>
                    <w:pStyle w:val="Compact"/>
                    <w:jc w:val="right"/>
                    <w:jc w:val="center"/>
                  </w:pPr>
                  <w:r>
                    <w:t xml:space="preserve">-1.515</w:t>
                  </w:r>
                </w:p>
              </w:tc>
              <w:tc>
                <w:tcPr/>
                <w:p>
                  <w:pPr>
                    <w:pStyle w:val="Compact"/>
                    <w:jc w:val="right"/>
                    <w:jc w:val="center"/>
                  </w:pPr>
                  <w:r>
                    <w:t xml:space="preserve">0.345</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1.171</w:t>
                  </w:r>
                </w:p>
              </w:tc>
              <w:tc>
                <w:tcPr/>
                <w:p>
                  <w:pPr>
                    <w:pStyle w:val="Compact"/>
                    <w:jc w:val="right"/>
                    <w:jc w:val="center"/>
                  </w:pPr>
                  <w:r>
                    <w:t xml:space="preserve">0.611</w:t>
                  </w:r>
                </w:p>
              </w:tc>
              <w:tc>
                <w:tcPr/>
                <w:p>
                  <w:pPr>
                    <w:pStyle w:val="Compact"/>
                    <w:jc w:val="right"/>
                    <w:jc w:val="center"/>
                  </w:pPr>
                  <w:r>
                    <w:t xml:space="preserve">1.917</w:t>
                  </w:r>
                </w:p>
              </w:tc>
              <w:tc>
                <w:tcPr/>
                <w:p>
                  <w:pPr>
                    <w:pStyle w:val="Compact"/>
                    <w:jc w:val="right"/>
                    <w:jc w:val="center"/>
                  </w:pPr>
                  <w:r>
                    <w:t xml:space="preserve">0.055</w:t>
                  </w:r>
                </w:p>
              </w:tc>
              <w:tc>
                <w:tcPr/>
                <w:p>
                  <w:pPr>
                    <w:pStyle w:val="Compact"/>
                    <w:jc w:val="right"/>
                    <w:jc w:val="center"/>
                  </w:pPr>
                  <w:r>
                    <w:t xml:space="preserve">0.121</w:t>
                  </w:r>
                </w:p>
              </w:tc>
              <w:tc>
                <w:tcPr/>
                <w:p>
                  <w:pPr>
                    <w:pStyle w:val="Compact"/>
                    <w:jc w:val="right"/>
                    <w:jc w:val="center"/>
                  </w:pPr>
                  <w:r>
                    <w:t xml:space="preserve">-0.026</w:t>
                  </w:r>
                </w:p>
              </w:tc>
              <w:tc>
                <w:tcPr/>
                <w:p>
                  <w:pPr>
                    <w:pStyle w:val="Compact"/>
                    <w:jc w:val="right"/>
                    <w:jc w:val="center"/>
                  </w:pPr>
                  <w:r>
                    <w:t xml:space="preserve">2.368</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3.626</w:t>
                  </w:r>
                </w:p>
              </w:tc>
              <w:tc>
                <w:tcPr/>
                <w:p>
                  <w:pPr>
                    <w:pStyle w:val="Compact"/>
                    <w:jc w:val="right"/>
                    <w:jc w:val="center"/>
                  </w:pPr>
                  <w:r>
                    <w:t xml:space="preserve">1.976</w:t>
                  </w:r>
                </w:p>
              </w:tc>
              <w:tc>
                <w:tcPr/>
                <w:p>
                  <w:pPr>
                    <w:pStyle w:val="Compact"/>
                    <w:jc w:val="right"/>
                    <w:jc w:val="center"/>
                  </w:pPr>
                  <w:r>
                    <w:t xml:space="preserve">1.835</w:t>
                  </w:r>
                </w:p>
              </w:tc>
              <w:tc>
                <w:tcPr/>
                <w:p>
                  <w:pPr>
                    <w:pStyle w:val="Compact"/>
                    <w:jc w:val="right"/>
                    <w:jc w:val="center"/>
                  </w:pPr>
                  <w:r>
                    <w:t xml:space="preserve">0.066</w:t>
                  </w:r>
                </w:p>
              </w:tc>
              <w:tc>
                <w:tcPr/>
                <w:p>
                  <w:pPr>
                    <w:pStyle w:val="Compact"/>
                    <w:jc w:val="right"/>
                    <w:jc w:val="center"/>
                  </w:pPr>
                  <w:r>
                    <w:t xml:space="preserve">NA</w:t>
                  </w:r>
                </w:p>
              </w:tc>
              <w:tc>
                <w:tcPr/>
                <w:p>
                  <w:pPr>
                    <w:pStyle w:val="Compact"/>
                    <w:jc w:val="right"/>
                    <w:jc w:val="center"/>
                  </w:pPr>
                  <w:r>
                    <w:t xml:space="preserve">-0.247</w:t>
                  </w:r>
                </w:p>
              </w:tc>
              <w:tc>
                <w:tcPr/>
                <w:p>
                  <w:pPr>
                    <w:pStyle w:val="Compact"/>
                    <w:jc w:val="right"/>
                    <w:jc w:val="center"/>
                  </w:pPr>
                  <w:r>
                    <w:t xml:space="preserve">7.498</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-6.448</w:t>
                  </w:r>
                </w:p>
              </w:tc>
              <w:tc>
                <w:tcPr/>
                <w:p>
                  <w:pPr>
                    <w:pStyle w:val="Compact"/>
                    <w:jc w:val="right"/>
                    <w:jc w:val="center"/>
                  </w:pPr>
                  <w:r>
                    <w:t xml:space="preserve">4.616</w:t>
                  </w:r>
                </w:p>
              </w:tc>
              <w:tc>
                <w:tcPr/>
                <w:p>
                  <w:pPr>
                    <w:pStyle w:val="Compact"/>
                    <w:jc w:val="right"/>
                    <w:jc w:val="center"/>
                  </w:pPr>
                  <w:r>
                    <w:t xml:space="preserve">-1.397</w:t>
                  </w:r>
                </w:p>
              </w:tc>
              <w:tc>
                <w:tcPr/>
                <w:p>
                  <w:pPr>
                    <w:pStyle w:val="Compact"/>
                    <w:jc w:val="right"/>
                    <w:jc w:val="center"/>
                  </w:pPr>
                  <w:r>
                    <w:t xml:space="preserve">0.162</w:t>
                  </w:r>
                </w:p>
              </w:tc>
              <w:tc>
                <w:tcPr/>
                <w:p>
                  <w:pPr>
                    <w:pStyle w:val="Compact"/>
                    <w:jc w:val="right"/>
                    <w:jc w:val="center"/>
                  </w:pPr>
                  <w:r>
                    <w:t xml:space="preserve">NA</w:t>
                  </w:r>
                </w:p>
              </w:tc>
              <w:tc>
                <w:tcPr/>
                <w:p>
                  <w:pPr>
                    <w:pStyle w:val="Compact"/>
                    <w:jc w:val="right"/>
                    <w:jc w:val="center"/>
                  </w:pPr>
                  <w:r>
                    <w:t xml:space="preserve">-15.496</w:t>
                  </w:r>
                </w:p>
              </w:tc>
              <w:tc>
                <w:tcPr/>
                <w:p>
                  <w:pPr>
                    <w:pStyle w:val="Compact"/>
                    <w:jc w:val="right"/>
                    <w:jc w:val="center"/>
                  </w:pPr>
                  <w:r>
                    <w:t xml:space="preserve">2.600</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-0.860</w:t>
                  </w:r>
                </w:p>
              </w:tc>
              <w:tc>
                <w:tcPr/>
                <w:p>
                  <w:pPr>
                    <w:pStyle w:val="Compact"/>
                    <w:jc w:val="right"/>
                    <w:jc w:val="center"/>
                  </w:pPr>
                  <w:r>
                    <w:t xml:space="preserve">0.681</w:t>
                  </w:r>
                </w:p>
              </w:tc>
              <w:tc>
                <w:tcPr/>
                <w:p>
                  <w:pPr>
                    <w:pStyle w:val="Compact"/>
                    <w:jc w:val="right"/>
                    <w:jc w:val="center"/>
                  </w:pPr>
                  <w:r>
                    <w:t xml:space="preserve">-1.263</w:t>
                  </w:r>
                </w:p>
              </w:tc>
              <w:tc>
                <w:tcPr/>
                <w:p>
                  <w:pPr>
                    <w:pStyle w:val="Compact"/>
                    <w:jc w:val="right"/>
                    <w:jc w:val="center"/>
                  </w:pPr>
                  <w:r>
                    <w:t xml:space="preserve">0.207</w:t>
                  </w:r>
                </w:p>
              </w:tc>
              <w:tc>
                <w:tcPr/>
                <w:p>
                  <w:pPr>
                    <w:pStyle w:val="Compact"/>
                    <w:jc w:val="right"/>
                    <w:jc w:val="center"/>
                  </w:pPr>
                  <w:r>
                    <w:t xml:space="preserve">NA</w:t>
                  </w:r>
                </w:p>
              </w:tc>
              <w:tc>
                <w:tcPr/>
                <w:p>
                  <w:pPr>
                    <w:pStyle w:val="Compact"/>
                    <w:jc w:val="right"/>
                    <w:jc w:val="center"/>
                  </w:pPr>
                  <w:r>
                    <w:t xml:space="preserve">-2.194</w:t>
                  </w:r>
                </w:p>
              </w:tc>
              <w:tc>
                <w:tcPr/>
                <w:p>
                  <w:pPr>
                    <w:pStyle w:val="Compact"/>
                    <w:jc w:val="right"/>
                    <w:jc w:val="center"/>
                  </w:pPr>
                  <w:r>
                    <w:t xml:space="preserve">0.474</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1.925</w:t>
                  </w:r>
                </w:p>
              </w:tc>
              <w:tc>
                <w:tcPr/>
                <w:p>
                  <w:pPr>
                    <w:pStyle w:val="Compact"/>
                    <w:jc w:val="right"/>
                    <w:jc w:val="center"/>
                  </w:pPr>
                  <w:r>
                    <w:t xml:space="preserve">1.211</w:t>
                  </w:r>
                </w:p>
              </w:tc>
              <w:tc>
                <w:tcPr/>
                <w:p>
                  <w:pPr>
                    <w:pStyle w:val="Compact"/>
                    <w:jc w:val="right"/>
                    <w:jc w:val="center"/>
                  </w:pPr>
                  <w:r>
                    <w:t xml:space="preserve">1.589</w:t>
                  </w:r>
                </w:p>
              </w:tc>
              <w:tc>
                <w:tcPr/>
                <w:p>
                  <w:pPr>
                    <w:pStyle w:val="Compact"/>
                    <w:jc w:val="right"/>
                    <w:jc w:val="center"/>
                  </w:pPr>
                  <w:r>
                    <w:t xml:space="preserve">0.112</w:t>
                  </w:r>
                </w:p>
              </w:tc>
              <w:tc>
                <w:tcPr/>
                <w:p>
                  <w:pPr>
                    <w:pStyle w:val="Compact"/>
                    <w:jc w:val="right"/>
                    <w:jc w:val="center"/>
                  </w:pPr>
                  <w:r>
                    <w:t xml:space="preserve">0.121</w:t>
                  </w:r>
                </w:p>
              </w:tc>
              <w:tc>
                <w:tcPr/>
                <w:p>
                  <w:pPr>
                    <w:pStyle w:val="Compact"/>
                    <w:jc w:val="right"/>
                    <w:jc w:val="center"/>
                  </w:pPr>
                  <w:r>
                    <w:t xml:space="preserve">-0.449</w:t>
                  </w:r>
                </w:p>
              </w:tc>
              <w:tc>
                <w:tcPr/>
                <w:p>
                  <w:pPr>
                    <w:pStyle w:val="Compact"/>
                    <w:jc w:val="right"/>
                    <w:jc w:val="center"/>
                  </w:pPr>
                  <w:r>
                    <w:t xml:space="preserve">4.299</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-1.095</w:t>
                  </w:r>
                </w:p>
              </w:tc>
              <w:tc>
                <w:tcPr/>
                <w:p>
                  <w:pPr>
                    <w:pStyle w:val="Compact"/>
                    <w:jc w:val="right"/>
                    <w:jc w:val="center"/>
                  </w:pPr>
                  <w:r>
                    <w:t xml:space="preserve">1.837</w:t>
                  </w:r>
                </w:p>
              </w:tc>
              <w:tc>
                <w:tcPr/>
                <w:p>
                  <w:pPr>
                    <w:pStyle w:val="Compact"/>
                    <w:jc w:val="right"/>
                    <w:jc w:val="center"/>
                  </w:pPr>
                  <w:r>
                    <w:t xml:space="preserve">-0.596</w:t>
                  </w:r>
                </w:p>
              </w:tc>
              <w:tc>
                <w:tcPr/>
                <w:p>
                  <w:pPr>
                    <w:pStyle w:val="Compact"/>
                    <w:jc w:val="right"/>
                    <w:jc w:val="center"/>
                  </w:pPr>
                  <w:r>
                    <w:t xml:space="preserve">0.551</w:t>
                  </w:r>
                </w:p>
              </w:tc>
              <w:tc>
                <w:tcPr/>
                <w:p>
                  <w:pPr>
                    <w:pStyle w:val="Compact"/>
                    <w:jc w:val="right"/>
                    <w:jc w:val="center"/>
                  </w:pPr>
                  <w:r>
                    <w:t xml:space="preserve">NA</w:t>
                  </w:r>
                </w:p>
              </w:tc>
              <w:tc>
                <w:tcPr/>
                <w:p>
                  <w:pPr>
                    <w:pStyle w:val="Compact"/>
                    <w:jc w:val="right"/>
                    <w:jc w:val="center"/>
                  </w:pPr>
                  <w:r>
                    <w:t xml:space="preserve">-4.695</w:t>
                  </w:r>
                </w:p>
              </w:tc>
              <w:tc>
                <w:tcPr/>
                <w:p>
                  <w:pPr>
                    <w:pStyle w:val="Compact"/>
                    <w:jc w:val="right"/>
                    <w:jc w:val="center"/>
                  </w:pPr>
                  <w:r>
                    <w:t xml:space="preserve">2.505</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-3.049</w:t>
                  </w:r>
                </w:p>
              </w:tc>
              <w:tc>
                <w:tcPr/>
                <w:p>
                  <w:pPr>
                    <w:pStyle w:val="Compact"/>
                    <w:jc w:val="right"/>
                    <w:jc w:val="center"/>
                  </w:pPr>
                  <w:r>
                    <w:t xml:space="preserve">2.879</w:t>
                  </w:r>
                </w:p>
              </w:tc>
              <w:tc>
                <w:tcPr/>
                <w:p>
                  <w:pPr>
                    <w:pStyle w:val="Compact"/>
                    <w:jc w:val="right"/>
                    <w:jc w:val="center"/>
                  </w:pPr>
                  <w:r>
                    <w:t xml:space="preserve">-1.059</w:t>
                  </w:r>
                </w:p>
              </w:tc>
              <w:tc>
                <w:tcPr/>
                <w:p>
                  <w:pPr>
                    <w:pStyle w:val="Compact"/>
                    <w:jc w:val="right"/>
                    <w:jc w:val="center"/>
                  </w:pPr>
                  <w:r>
                    <w:t xml:space="preserve">0.290</w:t>
                  </w:r>
                </w:p>
              </w:tc>
              <w:tc>
                <w:tcPr/>
                <w:p>
                  <w:pPr>
                    <w:pStyle w:val="Compact"/>
                    <w:jc w:val="right"/>
                    <w:jc w:val="center"/>
                  </w:pPr>
                  <w:r>
                    <w:t xml:space="preserve">NA</w:t>
                  </w:r>
                </w:p>
              </w:tc>
              <w:tc>
                <w:tcPr/>
                <w:p>
                  <w:pPr>
                    <w:pStyle w:val="Compact"/>
                    <w:jc w:val="right"/>
                    <w:jc w:val="center"/>
                  </w:pPr>
                  <w:r>
                    <w:t xml:space="preserve">-8.692</w:t>
                  </w:r>
                </w:p>
              </w:tc>
              <w:tc>
                <w:tcPr/>
                <w:p>
                  <w:pPr>
                    <w:pStyle w:val="Compact"/>
                    <w:jc w:val="right"/>
                    <w:jc w:val="center"/>
                  </w:pPr>
                  <w:r>
                    <w:t xml:space="preserve">2.594</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-0.419</w:t>
                  </w:r>
                </w:p>
              </w:tc>
              <w:tc>
                <w:tcPr/>
                <w:p>
                  <w:pPr>
                    <w:pStyle w:val="Compact"/>
                    <w:jc w:val="right"/>
                    <w:jc w:val="center"/>
                  </w:pPr>
                  <w:r>
                    <w:t xml:space="preserve">0.487</w:t>
                  </w:r>
                </w:p>
              </w:tc>
              <w:tc>
                <w:tcPr/>
                <w:p>
                  <w:pPr>
                    <w:pStyle w:val="Compact"/>
                    <w:jc w:val="right"/>
                    <w:jc w:val="center"/>
                  </w:pPr>
                  <w:r>
                    <w:t xml:space="preserve">-0.862</w:t>
                  </w:r>
                </w:p>
              </w:tc>
              <w:tc>
                <w:tcPr/>
                <w:p>
                  <w:pPr>
                    <w:pStyle w:val="Compact"/>
                    <w:jc w:val="right"/>
                    <w:jc w:val="center"/>
                  </w:pPr>
                  <w:r>
                    <w:t xml:space="preserve">0.389</w:t>
                  </w:r>
                </w:p>
              </w:tc>
              <w:tc>
                <w:tcPr/>
                <w:p>
                  <w:pPr>
                    <w:pStyle w:val="Compact"/>
                    <w:jc w:val="right"/>
                    <w:jc w:val="center"/>
                  </w:pPr>
                  <w:r>
                    <w:t xml:space="preserve">NA</w:t>
                  </w:r>
                </w:p>
              </w:tc>
              <w:tc>
                <w:tcPr/>
                <w:p>
                  <w:pPr>
                    <w:pStyle w:val="Compact"/>
                    <w:jc w:val="right"/>
                    <w:jc w:val="center"/>
                  </w:pPr>
                  <w:r>
                    <w:t xml:space="preserve">-1.373</w:t>
                  </w:r>
                </w:p>
              </w:tc>
              <w:tc>
                <w:tcPr/>
                <w:p>
                  <w:pPr>
                    <w:pStyle w:val="Compact"/>
                    <w:jc w:val="right"/>
                    <w:jc w:val="center"/>
                  </w:pPr>
                  <w:r>
                    <w:t xml:space="preserve">0.534</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1.128</w:t>
                  </w:r>
                </w:p>
              </w:tc>
              <w:tc>
                <w:tcPr/>
                <w:p>
                  <w:pPr>
                    <w:pStyle w:val="Compact"/>
                    <w:jc w:val="right"/>
                    <w:jc w:val="center"/>
                  </w:pPr>
                  <w:r>
                    <w:t xml:space="preserve">0.701</w:t>
                  </w:r>
                </w:p>
              </w:tc>
              <w:tc>
                <w:tcPr/>
                <w:p>
                  <w:pPr>
                    <w:pStyle w:val="Compact"/>
                    <w:jc w:val="right"/>
                    <w:jc w:val="center"/>
                  </w:pPr>
                  <w:r>
                    <w:t xml:space="preserve">1.610</w:t>
                  </w:r>
                </w:p>
              </w:tc>
              <w:tc>
                <w:tcPr/>
                <w:p>
                  <w:pPr>
                    <w:pStyle w:val="Compact"/>
                    <w:jc w:val="right"/>
                    <w:jc w:val="center"/>
                  </w:pPr>
                  <w:r>
                    <w:t xml:space="preserve">0.107</w:t>
                  </w:r>
                </w:p>
              </w:tc>
              <w:tc>
                <w:tcPr/>
                <w:p>
                  <w:pPr>
                    <w:pStyle w:val="Compact"/>
                    <w:jc w:val="right"/>
                    <w:jc w:val="center"/>
                  </w:pPr>
                  <w:r>
                    <w:t xml:space="preserve">0.121</w:t>
                  </w:r>
                </w:p>
              </w:tc>
              <w:tc>
                <w:tcPr/>
                <w:p>
                  <w:pPr>
                    <w:pStyle w:val="Compact"/>
                    <w:jc w:val="right"/>
                    <w:jc w:val="center"/>
                  </w:pPr>
                  <w:r>
                    <w:t xml:space="preserve">-0.245</w:t>
                  </w:r>
                </w:p>
              </w:tc>
              <w:tc>
                <w:tcPr/>
                <w:p>
                  <w:pPr>
                    <w:pStyle w:val="Compact"/>
                    <w:jc w:val="right"/>
                    <w:jc w:val="center"/>
                  </w:pPr>
                  <w:r>
                    <w:t xml:space="preserve">2.502</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-0.130</w:t>
                  </w:r>
                </w:p>
              </w:tc>
              <w:tc>
                <w:tcPr/>
                <w:p>
                  <w:pPr>
                    <w:pStyle w:val="Compact"/>
                    <w:jc w:val="right"/>
                    <w:jc w:val="center"/>
                  </w:pPr>
                  <w:r>
                    <w:t xml:space="preserve">0.911</w:t>
                  </w:r>
                </w:p>
              </w:tc>
              <w:tc>
                <w:tcPr/>
                <w:p>
                  <w:pPr>
                    <w:pStyle w:val="Compact"/>
                    <w:jc w:val="right"/>
                    <w:jc w:val="center"/>
                  </w:pPr>
                  <w:r>
                    <w:t xml:space="preserve">-0.143</w:t>
                  </w:r>
                </w:p>
              </w:tc>
              <w:tc>
                <w:tcPr/>
                <w:p>
                  <w:pPr>
                    <w:pStyle w:val="Compact"/>
                    <w:jc w:val="right"/>
                    <w:jc w:val="center"/>
                  </w:pPr>
                  <w:r>
                    <w:t xml:space="preserve">0.886</w:t>
                  </w:r>
                </w:p>
              </w:tc>
              <w:tc>
                <w:tcPr/>
                <w:p>
                  <w:pPr>
                    <w:pStyle w:val="Compact"/>
                    <w:jc w:val="right"/>
                    <w:jc w:val="center"/>
                  </w:pPr>
                  <w:r>
                    <w:t xml:space="preserve">NA</w:t>
                  </w:r>
                </w:p>
              </w:tc>
              <w:tc>
                <w:tcPr/>
                <w:p>
                  <w:pPr>
                    <w:pStyle w:val="Compact"/>
                    <w:jc w:val="right"/>
                    <w:jc w:val="center"/>
                  </w:pPr>
                  <w:r>
                    <w:t xml:space="preserve">-1.915</w:t>
                  </w:r>
                </w:p>
              </w:tc>
              <w:tc>
                <w:tcPr/>
                <w:p>
                  <w:pPr>
                    <w:pStyle w:val="Compact"/>
                    <w:jc w:val="right"/>
                    <w:jc w:val="center"/>
                  </w:pPr>
                  <w:r>
                    <w:t xml:space="preserve">1.655</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0.177</w:t>
                  </w:r>
                </w:p>
              </w:tc>
              <w:tc>
                <w:tcPr/>
                <w:p>
                  <w:pPr>
                    <w:pStyle w:val="Compact"/>
                    <w:jc w:val="right"/>
                    <w:jc w:val="center"/>
                  </w:pPr>
                  <w:r>
                    <w:t xml:space="preserve">1.231</w:t>
                  </w:r>
                </w:p>
              </w:tc>
              <w:tc>
                <w:tcPr/>
                <w:p>
                  <w:pPr>
                    <w:pStyle w:val="Compact"/>
                    <w:jc w:val="right"/>
                    <w:jc w:val="center"/>
                  </w:pPr>
                  <w:r>
                    <w:t xml:space="preserve">0.144</w:t>
                  </w:r>
                </w:p>
              </w:tc>
              <w:tc>
                <w:tcPr/>
                <w:p>
                  <w:pPr>
                    <w:pStyle w:val="Compact"/>
                    <w:jc w:val="right"/>
                    <w:jc w:val="center"/>
                  </w:pPr>
                  <w:r>
                    <w:t xml:space="preserve">0.886</w:t>
                  </w:r>
                </w:p>
              </w:tc>
              <w:tc>
                <w:tcPr/>
                <w:p>
                  <w:pPr>
                    <w:pStyle w:val="Compact"/>
                    <w:jc w:val="right"/>
                    <w:jc w:val="center"/>
                  </w:pPr>
                  <w:r>
                    <w:t xml:space="preserve">NA</w:t>
                  </w:r>
                </w:p>
              </w:tc>
              <w:tc>
                <w:tcPr/>
                <w:p>
                  <w:pPr>
                    <w:pStyle w:val="Compact"/>
                    <w:jc w:val="right"/>
                    <w:jc w:val="center"/>
                  </w:pPr>
                  <w:r>
                    <w:t xml:space="preserve">-2.235</w:t>
                  </w:r>
                </w:p>
              </w:tc>
              <w:tc>
                <w:tcPr/>
                <w:p>
                  <w:pPr>
                    <w:pStyle w:val="Compact"/>
                    <w:jc w:val="right"/>
                    <w:jc w:val="center"/>
                  </w:pPr>
                  <w:r>
                    <w:t xml:space="preserve">2.589</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-0.329</w:t>
                  </w:r>
                </w:p>
              </w:tc>
              <w:tc>
                <w:tcPr/>
                <w:p>
                  <w:pPr>
                    <w:pStyle w:val="Compact"/>
                    <w:jc w:val="right"/>
                    <w:jc w:val="center"/>
                  </w:pPr>
                  <w:r>
                    <w:t xml:space="preserve">0.164</w:t>
                  </w:r>
                </w:p>
              </w:tc>
              <w:tc>
                <w:tcPr/>
                <w:p>
                  <w:pPr>
                    <w:pStyle w:val="Compact"/>
                    <w:jc w:val="right"/>
                    <w:jc w:val="center"/>
                  </w:pPr>
                  <w:r>
                    <w:t xml:space="preserve">-2.014</w:t>
                  </w:r>
                </w:p>
              </w:tc>
              <w:tc>
                <w:tcPr/>
                <w:p>
                  <w:pPr>
                    <w:pStyle w:val="Compact"/>
                    <w:jc w:val="right"/>
                    <w:jc w:val="center"/>
                  </w:pPr>
                  <w:r>
                    <w:t xml:space="preserve">0.044</w:t>
                  </w:r>
                </w:p>
              </w:tc>
              <w:tc>
                <w:tcPr/>
                <w:p>
                  <w:pPr>
                    <w:pStyle w:val="Compact"/>
                    <w:jc w:val="right"/>
                    <w:jc w:val="center"/>
                  </w:pPr>
                  <w:r>
                    <w:t xml:space="preserve">NA</w:t>
                  </w:r>
                </w:p>
              </w:tc>
              <w:tc>
                <w:tcPr/>
                <w:p>
                  <w:pPr>
                    <w:pStyle w:val="Compact"/>
                    <w:jc w:val="right"/>
                    <w:jc w:val="center"/>
                  </w:pPr>
                  <w:r>
                    <w:t xml:space="preserve">-0.650</w:t>
                  </w:r>
                </w:p>
              </w:tc>
              <w:tc>
                <w:tcPr/>
                <w:p>
                  <w:pPr>
                    <w:pStyle w:val="Compact"/>
                    <w:jc w:val="right"/>
                    <w:jc w:val="center"/>
                  </w:pPr>
                  <w:r>
                    <w:t xml:space="preserve">-0.009</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0.318</w:t>
                  </w:r>
                </w:p>
              </w:tc>
              <w:tc>
                <w:tcPr/>
                <w:p>
                  <w:pPr>
                    <w:pStyle w:val="Compact"/>
                    <w:jc w:val="right"/>
                    <w:jc w:val="center"/>
                  </w:pPr>
                  <w:r>
                    <w:t xml:space="preserve">0.205</w:t>
                  </w:r>
                </w:p>
              </w:tc>
              <w:tc>
                <w:tcPr/>
                <w:p>
                  <w:pPr>
                    <w:pStyle w:val="Compact"/>
                    <w:jc w:val="right"/>
                    <w:jc w:val="center"/>
                  </w:pPr>
                  <w:r>
                    <w:t xml:space="preserve">1.552</w:t>
                  </w:r>
                </w:p>
              </w:tc>
              <w:tc>
                <w:tcPr/>
                <w:p>
                  <w:pPr>
                    <w:pStyle w:val="Compact"/>
                    <w:jc w:val="right"/>
                    <w:jc w:val="center"/>
                  </w:pPr>
                  <w:r>
                    <w:t xml:space="preserve">0.121</w:t>
                  </w:r>
                </w:p>
              </w:tc>
              <w:tc>
                <w:tcPr/>
                <w:p>
                  <w:pPr>
                    <w:pStyle w:val="Compact"/>
                    <w:jc w:val="right"/>
                    <w:jc w:val="center"/>
                  </w:pPr>
                  <w:r>
                    <w:t xml:space="preserve">0.121</w:t>
                  </w:r>
                </w:p>
              </w:tc>
              <w:tc>
                <w:tcPr/>
                <w:p>
                  <w:pPr>
                    <w:pStyle w:val="Compact"/>
                    <w:jc w:val="right"/>
                    <w:jc w:val="center"/>
                  </w:pPr>
                  <w:r>
                    <w:t xml:space="preserve">-0.083</w:t>
                  </w:r>
                </w:p>
              </w:tc>
              <w:tc>
                <w:tcPr/>
                <w:p>
                  <w:pPr>
                    <w:pStyle w:val="Compact"/>
                    <w:jc w:val="right"/>
                    <w:jc w:val="center"/>
                  </w:pPr>
                  <w:r>
                    <w:t xml:space="preserve">0.718</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3.105</w:t>
                  </w:r>
                </w:p>
              </w:tc>
              <w:tc>
                <w:tcPr/>
                <w:p>
                  <w:pPr>
                    <w:pStyle w:val="Compact"/>
                    <w:jc w:val="right"/>
                    <w:jc w:val="center"/>
                  </w:pPr>
                  <w:r>
                    <w:t xml:space="preserve">0.891</w:t>
                  </w:r>
                </w:p>
              </w:tc>
              <w:tc>
                <w:tcPr/>
                <w:p>
                  <w:pPr>
                    <w:pStyle w:val="Compact"/>
                    <w:jc w:val="right"/>
                    <w:jc w:val="center"/>
                  </w:pPr>
                  <w:r>
                    <w:t xml:space="preserve">3.487</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1.360</w:t>
                  </w:r>
                </w:p>
              </w:tc>
              <w:tc>
                <w:tcPr/>
                <w:p>
                  <w:pPr>
                    <w:pStyle w:val="Compact"/>
                    <w:jc w:val="right"/>
                    <w:jc w:val="center"/>
                  </w:pPr>
                  <w:r>
                    <w:t xml:space="preserve">4.850</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-0.270</w:t>
                  </w:r>
                </w:p>
              </w:tc>
              <w:tc>
                <w:tcPr/>
                <w:p>
                  <w:pPr>
                    <w:pStyle w:val="Compact"/>
                    <w:jc w:val="right"/>
                    <w:jc w:val="center"/>
                  </w:pPr>
                  <w:r>
                    <w:t xml:space="preserve">1.190</w:t>
                  </w:r>
                </w:p>
              </w:tc>
              <w:tc>
                <w:tcPr/>
                <w:p>
                  <w:pPr>
                    <w:pStyle w:val="Compact"/>
                    <w:jc w:val="right"/>
                    <w:jc w:val="center"/>
                  </w:pPr>
                  <w:r>
                    <w:t xml:space="preserve">-0.227</w:t>
                  </w:r>
                </w:p>
              </w:tc>
              <w:tc>
                <w:tcPr/>
                <w:p>
                  <w:pPr>
                    <w:pStyle w:val="Compact"/>
                    <w:jc w:val="right"/>
                    <w:jc w:val="center"/>
                  </w:pPr>
                  <w:r>
                    <w:t xml:space="preserve">0.821</w:t>
                  </w:r>
                </w:p>
              </w:tc>
              <w:tc>
                <w:tcPr/>
                <w:p>
                  <w:pPr>
                    <w:pStyle w:val="Compact"/>
                    <w:jc w:val="right"/>
                    <w:jc w:val="center"/>
                  </w:pPr>
                  <w:r>
                    <w:t xml:space="preserve">NA</w:t>
                  </w:r>
                </w:p>
              </w:tc>
              <w:tc>
                <w:tcPr/>
                <w:p>
                  <w:pPr>
                    <w:pStyle w:val="Compact"/>
                    <w:jc w:val="right"/>
                    <w:jc w:val="center"/>
                  </w:pPr>
                  <w:r>
                    <w:t xml:space="preserve">-2.601</w:t>
                  </w:r>
                </w:p>
              </w:tc>
              <w:tc>
                <w:tcPr/>
                <w:p>
                  <w:pPr>
                    <w:pStyle w:val="Compact"/>
                    <w:jc w:val="right"/>
                    <w:jc w:val="center"/>
                  </w:pPr>
                  <w:r>
                    <w:t xml:space="preserve">2.062</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-0.339</w:t>
                  </w:r>
                </w:p>
              </w:tc>
              <w:tc>
                <w:tcPr/>
                <w:p>
                  <w:pPr>
                    <w:pStyle w:val="Compact"/>
                    <w:jc w:val="right"/>
                    <w:jc w:val="center"/>
                  </w:pPr>
                  <w:r>
                    <w:t xml:space="preserve">0.220</w:t>
                  </w:r>
                </w:p>
              </w:tc>
              <w:tc>
                <w:tcPr/>
                <w:p>
                  <w:pPr>
                    <w:pStyle w:val="Compact"/>
                    <w:jc w:val="right"/>
                    <w:jc w:val="center"/>
                  </w:pPr>
                  <w:r>
                    <w:t xml:space="preserve">-1.538</w:t>
                  </w:r>
                </w:p>
              </w:tc>
              <w:tc>
                <w:tcPr/>
                <w:p>
                  <w:pPr>
                    <w:pStyle w:val="Compact"/>
                    <w:jc w:val="right"/>
                    <w:jc w:val="center"/>
                  </w:pPr>
                  <w:r>
                    <w:t xml:space="preserve">0.124</w:t>
                  </w:r>
                </w:p>
              </w:tc>
              <w:tc>
                <w:tcPr/>
                <w:p>
                  <w:pPr>
                    <w:pStyle w:val="Compact"/>
                    <w:jc w:val="right"/>
                    <w:jc w:val="center"/>
                  </w:pPr>
                  <w:r>
                    <w:t xml:space="preserve">NA</w:t>
                  </w:r>
                </w:p>
              </w:tc>
              <w:tc>
                <w:tcPr/>
                <w:p>
                  <w:pPr>
                    <w:pStyle w:val="Compact"/>
                    <w:jc w:val="right"/>
                    <w:jc w:val="center"/>
                  </w:pPr>
                  <w:r>
                    <w:t xml:space="preserve">-0.771</w:t>
                  </w:r>
                </w:p>
              </w:tc>
              <w:tc>
                <w:tcPr/>
                <w:p>
                  <w:pPr>
                    <w:pStyle w:val="Compact"/>
                    <w:jc w:val="right"/>
                    <w:jc w:val="center"/>
                  </w:pPr>
                  <w:r>
                    <w:t xml:space="preserve">0.093</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0.437</w:t>
                  </w:r>
                </w:p>
              </w:tc>
              <w:tc>
                <w:tcPr/>
                <w:p>
                  <w:pPr>
                    <w:pStyle w:val="Compact"/>
                    <w:jc w:val="right"/>
                    <w:jc w:val="center"/>
                  </w:pPr>
                  <w:r>
                    <w:t xml:space="preserve">0.276</w:t>
                  </w:r>
                </w:p>
              </w:tc>
              <w:tc>
                <w:tcPr/>
                <w:p>
                  <w:pPr>
                    <w:pStyle w:val="Compact"/>
                    <w:jc w:val="right"/>
                    <w:jc w:val="center"/>
                  </w:pPr>
                  <w:r>
                    <w:t xml:space="preserve">1.584</w:t>
                  </w:r>
                </w:p>
              </w:tc>
              <w:tc>
                <w:tcPr/>
                <w:p>
                  <w:pPr>
                    <w:pStyle w:val="Compact"/>
                    <w:jc w:val="right"/>
                    <w:jc w:val="center"/>
                  </w:pPr>
                  <w:r>
                    <w:t xml:space="preserve">0.113</w:t>
                  </w:r>
                </w:p>
              </w:tc>
              <w:tc>
                <w:tcPr/>
                <w:p>
                  <w:pPr>
                    <w:pStyle w:val="Compact"/>
                    <w:jc w:val="right"/>
                    <w:jc w:val="center"/>
                  </w:pPr>
                  <w:r>
                    <w:t xml:space="preserve">0.121</w:t>
                  </w:r>
                </w:p>
              </w:tc>
              <w:tc>
                <w:tcPr/>
                <w:p>
                  <w:pPr>
                    <w:pStyle w:val="Compact"/>
                    <w:jc w:val="right"/>
                    <w:jc w:val="center"/>
                  </w:pPr>
                  <w:r>
                    <w:t xml:space="preserve">-0.104</w:t>
                  </w:r>
                </w:p>
              </w:tc>
              <w:tc>
                <w:tcPr/>
                <w:p>
                  <w:pPr>
                    <w:pStyle w:val="Compact"/>
                    <w:jc w:val="right"/>
                    <w:jc w:val="center"/>
                  </w:pPr>
                  <w:r>
                    <w:t xml:space="preserve">0.977</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1.529</w:t>
                  </w:r>
                </w:p>
              </w:tc>
              <w:tc>
                <w:tcPr/>
                <w:p>
                  <w:pPr>
                    <w:pStyle w:val="Compact"/>
                    <w:jc w:val="right"/>
                    <w:jc w:val="center"/>
                  </w:pPr>
                  <w:r>
                    <w:t xml:space="preserve">2.376</w:t>
                  </w:r>
                </w:p>
              </w:tc>
              <w:tc>
                <w:tcPr/>
                <w:p>
                  <w:pPr>
                    <w:pStyle w:val="Compact"/>
                    <w:jc w:val="right"/>
                    <w:jc w:val="center"/>
                  </w:pPr>
                  <w:r>
                    <w:t xml:space="preserve">0.643</w:t>
                  </w:r>
                </w:p>
              </w:tc>
              <w:tc>
                <w:tcPr/>
                <w:p>
                  <w:pPr>
                    <w:pStyle w:val="Compact"/>
                    <w:jc w:val="right"/>
                    <w:jc w:val="center"/>
                  </w:pPr>
                  <w:r>
                    <w:t xml:space="preserve">0.520</w:t>
                  </w:r>
                </w:p>
              </w:tc>
              <w:tc>
                <w:tcPr/>
                <w:p>
                  <w:pPr>
                    <w:pStyle w:val="Compact"/>
                    <w:jc w:val="right"/>
                    <w:jc w:val="center"/>
                  </w:pPr>
                  <w:r>
                    <w:t xml:space="preserve">NA</w:t>
                  </w:r>
                </w:p>
              </w:tc>
              <w:tc>
                <w:tcPr/>
                <w:p>
                  <w:pPr>
                    <w:pStyle w:val="Compact"/>
                    <w:jc w:val="right"/>
                    <w:jc w:val="center"/>
                  </w:pPr>
                  <w:r>
                    <w:t xml:space="preserve">-3.128</w:t>
                  </w:r>
                </w:p>
              </w:tc>
              <w:tc>
                <w:tcPr/>
                <w:p>
                  <w:pPr>
                    <w:pStyle w:val="Compact"/>
                    <w:jc w:val="right"/>
                    <w:jc w:val="center"/>
                  </w:pPr>
                  <w:r>
                    <w:t xml:space="preserve">6.185</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-1.447</w:t>
                  </w:r>
                </w:p>
              </w:tc>
              <w:tc>
                <w:tcPr/>
                <w:p>
                  <w:pPr>
                    <w:pStyle w:val="Compact"/>
                    <w:jc w:val="right"/>
                    <w:jc w:val="center"/>
                  </w:pPr>
                  <w:r>
                    <w:t xml:space="preserve">3.580</w:t>
                  </w:r>
                </w:p>
              </w:tc>
              <w:tc>
                <w:tcPr/>
                <w:p>
                  <w:pPr>
                    <w:pStyle w:val="Compact"/>
                    <w:jc w:val="right"/>
                    <w:jc w:val="center"/>
                  </w:pPr>
                  <w:r>
                    <w:t xml:space="preserve">-0.404</w:t>
                  </w:r>
                </w:p>
              </w:tc>
              <w:tc>
                <w:tcPr/>
                <w:p>
                  <w:pPr>
                    <w:pStyle w:val="Compact"/>
                    <w:jc w:val="right"/>
                    <w:jc w:val="center"/>
                  </w:pPr>
                  <w:r>
                    <w:t xml:space="preserve">0.686</w:t>
                  </w:r>
                </w:p>
              </w:tc>
              <w:tc>
                <w:tcPr/>
                <w:p>
                  <w:pPr>
                    <w:pStyle w:val="Compact"/>
                    <w:jc w:val="right"/>
                    <w:jc w:val="center"/>
                  </w:pPr>
                  <w:r>
                    <w:t xml:space="preserve">NA</w:t>
                  </w:r>
                </w:p>
              </w:tc>
              <w:tc>
                <w:tcPr/>
                <w:p>
                  <w:pPr>
                    <w:pStyle w:val="Compact"/>
                    <w:jc w:val="right"/>
                    <w:jc w:val="center"/>
                  </w:pPr>
                  <w:r>
                    <w:t xml:space="preserve">-8.465</w:t>
                  </w:r>
                </w:p>
              </w:tc>
              <w:tc>
                <w:tcPr/>
                <w:p>
                  <w:pPr>
                    <w:pStyle w:val="Compact"/>
                    <w:jc w:val="right"/>
                    <w:jc w:val="center"/>
                  </w:pPr>
                  <w:r>
                    <w:t xml:space="preserve">5.571</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-0.424</w:t>
                  </w:r>
                </w:p>
              </w:tc>
              <w:tc>
                <w:tcPr/>
                <w:p>
                  <w:pPr>
                    <w:pStyle w:val="Compact"/>
                    <w:jc w:val="right"/>
                    <w:jc w:val="center"/>
                  </w:pPr>
                  <w:r>
                    <w:t xml:space="preserve">0.398</w:t>
                  </w:r>
                </w:p>
              </w:tc>
              <w:tc>
                <w:tcPr/>
                <w:p>
                  <w:pPr>
                    <w:pStyle w:val="Compact"/>
                    <w:jc w:val="right"/>
                    <w:jc w:val="center"/>
                  </w:pPr>
                  <w:r>
                    <w:t xml:space="preserve">-1.066</w:t>
                  </w:r>
                </w:p>
              </w:tc>
              <w:tc>
                <w:tcPr/>
                <w:p>
                  <w:pPr>
                    <w:pStyle w:val="Compact"/>
                    <w:jc w:val="right"/>
                    <w:jc w:val="center"/>
                  </w:pPr>
                  <w:r>
                    <w:t xml:space="preserve">0.287</w:t>
                  </w:r>
                </w:p>
              </w:tc>
              <w:tc>
                <w:tcPr/>
                <w:p>
                  <w:pPr>
                    <w:pStyle w:val="Compact"/>
                    <w:jc w:val="right"/>
                    <w:jc w:val="center"/>
                  </w:pPr>
                  <w:r>
                    <w:t xml:space="preserve">NA</w:t>
                  </w:r>
                </w:p>
              </w:tc>
              <w:tc>
                <w:tcPr/>
                <w:p>
                  <w:pPr>
                    <w:pStyle w:val="Compact"/>
                    <w:jc w:val="right"/>
                    <w:jc w:val="center"/>
                  </w:pPr>
                  <w:r>
                    <w:t xml:space="preserve">-1.203</w:t>
                  </w:r>
                </w:p>
              </w:tc>
              <w:tc>
                <w:tcPr/>
                <w:p>
                  <w:pPr>
                    <w:pStyle w:val="Compact"/>
                    <w:jc w:val="right"/>
                    <w:jc w:val="center"/>
                  </w:pPr>
                  <w:r>
                    <w:t xml:space="preserve">0.356</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1.325</w:t>
                  </w:r>
                </w:p>
              </w:tc>
              <w:tc>
                <w:tcPr/>
                <w:p>
                  <w:pPr>
                    <w:pStyle w:val="Compact"/>
                    <w:jc w:val="right"/>
                    <w:jc w:val="center"/>
                  </w:pPr>
                  <w:r>
                    <w:t xml:space="preserve">0.827</w:t>
                  </w:r>
                </w:p>
              </w:tc>
              <w:tc>
                <w:tcPr/>
                <w:p>
                  <w:pPr>
                    <w:pStyle w:val="Compact"/>
                    <w:jc w:val="right"/>
                    <w:jc w:val="center"/>
                  </w:pPr>
                  <w:r>
                    <w:t xml:space="preserve">1.602</w:t>
                  </w:r>
                </w:p>
              </w:tc>
              <w:tc>
                <w:tcPr/>
                <w:p>
                  <w:pPr>
                    <w:pStyle w:val="Compact"/>
                    <w:jc w:val="right"/>
                    <w:jc w:val="center"/>
                  </w:pPr>
                  <w:r>
                    <w:t xml:space="preserve">0.109</w:t>
                  </w:r>
                </w:p>
              </w:tc>
              <w:tc>
                <w:tcPr/>
                <w:p>
                  <w:pPr>
                    <w:pStyle w:val="Compact"/>
                    <w:jc w:val="right"/>
                    <w:jc w:val="center"/>
                  </w:pPr>
                  <w:r>
                    <w:t xml:space="preserve">0.121</w:t>
                  </w:r>
                </w:p>
              </w:tc>
              <w:tc>
                <w:tcPr/>
                <w:p>
                  <w:pPr>
                    <w:pStyle w:val="Compact"/>
                    <w:jc w:val="right"/>
                    <w:jc w:val="center"/>
                  </w:pPr>
                  <w:r>
                    <w:t xml:space="preserve">-0.296</w:t>
                  </w:r>
                </w:p>
              </w:tc>
              <w:tc>
                <w:tcPr/>
                <w:p>
                  <w:pPr>
                    <w:pStyle w:val="Compact"/>
                    <w:jc w:val="right"/>
                    <w:jc w:val="center"/>
                  </w:pPr>
                  <w:r>
                    <w:t xml:space="preserve">2.946</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-6.558</w:t>
                  </w:r>
                </w:p>
              </w:tc>
              <w:tc>
                <w:tcPr/>
                <w:p>
                  <w:pPr>
                    <w:pStyle w:val="Compact"/>
                    <w:jc w:val="right"/>
                    <w:jc w:val="center"/>
                  </w:pPr>
                  <w:r>
                    <w:t xml:space="preserve">1.347</w:t>
                  </w:r>
                </w:p>
              </w:tc>
              <w:tc>
                <w:tcPr/>
                <w:p>
                  <w:pPr>
                    <w:pStyle w:val="Compact"/>
                    <w:jc w:val="right"/>
                    <w:jc w:val="center"/>
                  </w:pPr>
                  <w:r>
                    <w:t xml:space="preserve">-4.869</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-9.198</w:t>
                  </w:r>
                </w:p>
              </w:tc>
              <w:tc>
                <w:tcPr/>
                <w:p>
                  <w:pPr>
                    <w:pStyle w:val="Compact"/>
                    <w:jc w:val="right"/>
                    <w:jc w:val="center"/>
                  </w:pPr>
                  <w:r>
                    <w:t xml:space="preserve">-3.918</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-2.717</w:t>
                  </w:r>
                </w:p>
              </w:tc>
              <w:tc>
                <w:tcPr/>
                <w:p>
                  <w:pPr>
                    <w:pStyle w:val="Compact"/>
                    <w:jc w:val="right"/>
                    <w:jc w:val="center"/>
                  </w:pPr>
                  <w:r>
                    <w:t xml:space="preserve">2.048</w:t>
                  </w:r>
                </w:p>
              </w:tc>
              <w:tc>
                <w:tcPr/>
                <w:p>
                  <w:pPr>
                    <w:pStyle w:val="Compact"/>
                    <w:jc w:val="right"/>
                    <w:jc w:val="center"/>
                  </w:pPr>
                  <w:r>
                    <w:t xml:space="preserve">-1.326</w:t>
                  </w:r>
                </w:p>
              </w:tc>
              <w:tc>
                <w:tcPr/>
                <w:p>
                  <w:pPr>
                    <w:pStyle w:val="Compact"/>
                    <w:jc w:val="right"/>
                    <w:jc w:val="center"/>
                  </w:pPr>
                  <w:r>
                    <w:t xml:space="preserve">0.185</w:t>
                  </w:r>
                </w:p>
              </w:tc>
              <w:tc>
                <w:tcPr/>
                <w:p>
                  <w:pPr>
                    <w:pStyle w:val="Compact"/>
                    <w:jc w:val="right"/>
                    <w:jc w:val="center"/>
                  </w:pPr>
                  <w:r>
                    <w:t xml:space="preserve">NA</w:t>
                  </w:r>
                </w:p>
              </w:tc>
              <w:tc>
                <w:tcPr/>
                <w:p>
                  <w:pPr>
                    <w:pStyle w:val="Compact"/>
                    <w:jc w:val="right"/>
                    <w:jc w:val="center"/>
                  </w:pPr>
                  <w:r>
                    <w:t xml:space="preserve">-6.732</w:t>
                  </w:r>
                </w:p>
              </w:tc>
              <w:tc>
                <w:tcPr/>
                <w:p>
                  <w:pPr>
                    <w:pStyle w:val="Compact"/>
                    <w:jc w:val="right"/>
                    <w:jc w:val="center"/>
                  </w:pPr>
                  <w:r>
                    <w:t xml:space="preserve">1.298</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-0.143</w:t>
                  </w:r>
                </w:p>
              </w:tc>
              <w:tc>
                <w:tcPr/>
                <w:p>
                  <w:pPr>
                    <w:pStyle w:val="Compact"/>
                    <w:jc w:val="right"/>
                    <w:jc w:val="center"/>
                  </w:pPr>
                  <w:r>
                    <w:t xml:space="preserve">0.158</w:t>
                  </w:r>
                </w:p>
              </w:tc>
              <w:tc>
                <w:tcPr/>
                <w:p>
                  <w:pPr>
                    <w:pStyle w:val="Compact"/>
                    <w:jc w:val="right"/>
                    <w:jc w:val="center"/>
                  </w:pPr>
                  <w:r>
                    <w:t xml:space="preserve">-0.907</w:t>
                  </w:r>
                </w:p>
              </w:tc>
              <w:tc>
                <w:tcPr/>
                <w:p>
                  <w:pPr>
                    <w:pStyle w:val="Compact"/>
                    <w:jc w:val="right"/>
                    <w:jc w:val="center"/>
                  </w:pPr>
                  <w:r>
                    <w:t xml:space="preserve">0.364</w:t>
                  </w:r>
                </w:p>
              </w:tc>
              <w:tc>
                <w:tcPr/>
                <w:p>
                  <w:pPr>
                    <w:pStyle w:val="Compact"/>
                    <w:jc w:val="right"/>
                    <w:jc w:val="center"/>
                  </w:pPr>
                  <w:r>
                    <w:t xml:space="preserve">NA</w:t>
                  </w:r>
                </w:p>
              </w:tc>
              <w:tc>
                <w:tcPr/>
                <w:p>
                  <w:pPr>
                    <w:pStyle w:val="Compact"/>
                    <w:jc w:val="right"/>
                    <w:jc w:val="center"/>
                  </w:pPr>
                  <w:r>
                    <w:t xml:space="preserve">-0.453</w:t>
                  </w:r>
                </w:p>
              </w:tc>
              <w:tc>
                <w:tcPr/>
                <w:p>
                  <w:pPr>
                    <w:pStyle w:val="Compact"/>
                    <w:jc w:val="right"/>
                    <w:jc w:val="center"/>
                  </w:pPr>
                  <w:r>
                    <w:t xml:space="preserve">0.166</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0.273</w:t>
                  </w:r>
                </w:p>
              </w:tc>
              <w:tc>
                <w:tcPr/>
                <w:p>
                  <w:pPr>
                    <w:pStyle w:val="Compact"/>
                    <w:jc w:val="right"/>
                    <w:jc w:val="center"/>
                  </w:pPr>
                  <w:r>
                    <w:t xml:space="preserve">0.065</w:t>
                  </w:r>
                </w:p>
              </w:tc>
              <w:tc>
                <w:tcPr/>
                <w:p>
                  <w:pPr>
                    <w:pStyle w:val="Compact"/>
                    <w:jc w:val="right"/>
                    <w:jc w:val="center"/>
                  </w:pPr>
                  <w:r>
                    <w:t xml:space="preserve">4.183</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0.145</w:t>
                  </w:r>
                </w:p>
              </w:tc>
              <w:tc>
                <w:tcPr/>
                <w:p>
                  <w:pPr>
                    <w:pStyle w:val="Compact"/>
                    <w:jc w:val="right"/>
                    <w:jc w:val="center"/>
                  </w:pPr>
                  <w:r>
                    <w:t xml:space="preserve">0.401</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0.579</w:t>
                  </w:r>
                </w:p>
              </w:tc>
              <w:tc>
                <w:tcPr/>
                <w:p>
                  <w:pPr>
                    <w:pStyle w:val="Compact"/>
                    <w:jc w:val="right"/>
                    <w:jc w:val="center"/>
                  </w:pPr>
                  <w:r>
                    <w:t xml:space="preserve">0.434</w:t>
                  </w:r>
                </w:p>
              </w:tc>
              <w:tc>
                <w:tcPr/>
                <w:p>
                  <w:pPr>
                    <w:pStyle w:val="Compact"/>
                    <w:jc w:val="right"/>
                    <w:jc w:val="center"/>
                  </w:pPr>
                  <w:r>
                    <w:t xml:space="preserve">1.334</w:t>
                  </w:r>
                </w:p>
              </w:tc>
              <w:tc>
                <w:tcPr/>
                <w:p>
                  <w:pPr>
                    <w:pStyle w:val="Compact"/>
                    <w:jc w:val="right"/>
                    <w:jc w:val="center"/>
                  </w:pPr>
                  <w:r>
                    <w:t xml:space="preserve">0.182</w:t>
                  </w:r>
                </w:p>
              </w:tc>
              <w:tc>
                <w:tcPr/>
                <w:p>
                  <w:pPr>
                    <w:pStyle w:val="Compact"/>
                    <w:jc w:val="right"/>
                    <w:jc w:val="center"/>
                  </w:pPr>
                  <w:r>
                    <w:t xml:space="preserve">0.243</w:t>
                  </w:r>
                </w:p>
              </w:tc>
              <w:tc>
                <w:tcPr/>
                <w:p>
                  <w:pPr>
                    <w:pStyle w:val="Compact"/>
                    <w:jc w:val="right"/>
                    <w:jc w:val="center"/>
                  </w:pPr>
                  <w:r>
                    <w:t xml:space="preserve">-0.271</w:t>
                  </w:r>
                </w:p>
              </w:tc>
              <w:tc>
                <w:tcPr/>
                <w:p>
                  <w:pPr>
                    <w:pStyle w:val="Compact"/>
                    <w:jc w:val="right"/>
                    <w:jc w:val="center"/>
                  </w:pPr>
                  <w:r>
                    <w:t xml:space="preserve">1.429</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2.334</w:t>
                  </w:r>
                </w:p>
              </w:tc>
              <w:tc>
                <w:tcPr/>
                <w:p>
                  <w:pPr>
                    <w:pStyle w:val="Compact"/>
                    <w:jc w:val="right"/>
                    <w:jc w:val="center"/>
                  </w:pPr>
                  <w:r>
                    <w:t xml:space="preserve">1.213</w:t>
                  </w:r>
                </w:p>
              </w:tc>
              <w:tc>
                <w:tcPr/>
                <w:p>
                  <w:pPr>
                    <w:pStyle w:val="Compact"/>
                    <w:jc w:val="right"/>
                    <w:jc w:val="center"/>
                  </w:pPr>
                  <w:r>
                    <w:t xml:space="preserve">1.924</w:t>
                  </w:r>
                </w:p>
              </w:tc>
              <w:tc>
                <w:tcPr/>
                <w:p>
                  <w:pPr>
                    <w:pStyle w:val="Compact"/>
                    <w:jc w:val="right"/>
                    <w:jc w:val="center"/>
                  </w:pPr>
                  <w:r>
                    <w:t xml:space="preserve">0.054</w:t>
                  </w:r>
                </w:p>
              </w:tc>
              <w:tc>
                <w:tcPr/>
                <w:p>
                  <w:pPr>
                    <w:pStyle w:val="Compact"/>
                    <w:jc w:val="right"/>
                    <w:jc w:val="center"/>
                  </w:pPr>
                  <w:r>
                    <w:t xml:space="preserve">NA</w:t>
                  </w:r>
                </w:p>
              </w:tc>
              <w:tc>
                <w:tcPr/>
                <w:p>
                  <w:pPr>
                    <w:pStyle w:val="Compact"/>
                    <w:jc w:val="right"/>
                    <w:jc w:val="center"/>
                  </w:pPr>
                  <w:r>
                    <w:t xml:space="preserve">-0.044</w:t>
                  </w:r>
                </w:p>
              </w:tc>
              <w:tc>
                <w:tcPr/>
                <w:p>
                  <w:pPr>
                    <w:pStyle w:val="Compact"/>
                    <w:jc w:val="right"/>
                    <w:jc w:val="center"/>
                  </w:pPr>
                  <w:r>
                    <w:t xml:space="preserve">4.711</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-6.736</w:t>
                  </w:r>
                </w:p>
              </w:tc>
              <w:tc>
                <w:tcPr/>
                <w:p>
                  <w:pPr>
                    <w:pStyle w:val="Compact"/>
                    <w:jc w:val="right"/>
                    <w:jc w:val="center"/>
                  </w:pPr>
                  <w:r>
                    <w:t xml:space="preserve">4.117</w:t>
                  </w:r>
                </w:p>
              </w:tc>
              <w:tc>
                <w:tcPr/>
                <w:p>
                  <w:pPr>
                    <w:pStyle w:val="Compact"/>
                    <w:jc w:val="right"/>
                    <w:jc w:val="center"/>
                  </w:pPr>
                  <w:r>
                    <w:t xml:space="preserve">-1.636</w:t>
                  </w:r>
                </w:p>
              </w:tc>
              <w:tc>
                <w:tcPr/>
                <w:p>
                  <w:pPr>
                    <w:pStyle w:val="Compact"/>
                    <w:jc w:val="right"/>
                    <w:jc w:val="center"/>
                  </w:pPr>
                  <w:r>
                    <w:t xml:space="preserve">0.102</w:t>
                  </w:r>
                </w:p>
              </w:tc>
              <w:tc>
                <w:tcPr/>
                <w:p>
                  <w:pPr>
                    <w:pStyle w:val="Compact"/>
                    <w:jc w:val="right"/>
                    <w:jc w:val="center"/>
                  </w:pPr>
                  <w:r>
                    <w:t xml:space="preserve">NA</w:t>
                  </w:r>
                </w:p>
              </w:tc>
              <w:tc>
                <w:tcPr/>
                <w:p>
                  <w:pPr>
                    <w:pStyle w:val="Compact"/>
                    <w:jc w:val="right"/>
                    <w:jc w:val="center"/>
                  </w:pPr>
                  <w:r>
                    <w:t xml:space="preserve">-14.806</w:t>
                  </w:r>
                </w:p>
              </w:tc>
              <w:tc>
                <w:tcPr/>
                <w:p>
                  <w:pPr>
                    <w:pStyle w:val="Compact"/>
                    <w:jc w:val="right"/>
                    <w:jc w:val="center"/>
                  </w:pPr>
                  <w:r>
                    <w:t xml:space="preserve">1.333</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-0.023</w:t>
                  </w:r>
                </w:p>
              </w:tc>
              <w:tc>
                <w:tcPr/>
                <w:p>
                  <w:pPr>
                    <w:pStyle w:val="Compact"/>
                    <w:jc w:val="right"/>
                    <w:jc w:val="center"/>
                  </w:pPr>
                  <w:r>
                    <w:t xml:space="preserve">0.222</w:t>
                  </w:r>
                </w:p>
              </w:tc>
              <w:tc>
                <w:tcPr/>
                <w:p>
                  <w:pPr>
                    <w:pStyle w:val="Compact"/>
                    <w:jc w:val="right"/>
                    <w:jc w:val="center"/>
                  </w:pPr>
                  <w:r>
                    <w:t xml:space="preserve">-0.102</w:t>
                  </w:r>
                </w:p>
              </w:tc>
              <w:tc>
                <w:tcPr/>
                <w:p>
                  <w:pPr>
                    <w:pStyle w:val="Compact"/>
                    <w:jc w:val="right"/>
                    <w:jc w:val="center"/>
                  </w:pPr>
                  <w:r>
                    <w:t xml:space="preserve">0.919</w:t>
                  </w:r>
                </w:p>
              </w:tc>
              <w:tc>
                <w:tcPr/>
                <w:p>
                  <w:pPr>
                    <w:pStyle w:val="Compact"/>
                    <w:jc w:val="right"/>
                    <w:jc w:val="center"/>
                  </w:pPr>
                  <w:r>
                    <w:t xml:space="preserve">NA</w:t>
                  </w:r>
                </w:p>
              </w:tc>
              <w:tc>
                <w:tcPr/>
                <w:p>
                  <w:pPr>
                    <w:pStyle w:val="Compact"/>
                    <w:jc w:val="right"/>
                    <w:jc w:val="center"/>
                  </w:pPr>
                  <w:r>
                    <w:t xml:space="preserve">-0.458</w:t>
                  </w:r>
                </w:p>
              </w:tc>
              <w:tc>
                <w:tcPr/>
                <w:p>
                  <w:pPr>
                    <w:pStyle w:val="Compact"/>
                    <w:jc w:val="right"/>
                    <w:jc w:val="center"/>
                  </w:pPr>
                  <w:r>
                    <w:t xml:space="preserve">0.413</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1.300</w:t>
                  </w:r>
                </w:p>
              </w:tc>
              <w:tc>
                <w:tcPr/>
                <w:p>
                  <w:pPr>
                    <w:pStyle w:val="Compact"/>
                    <w:jc w:val="right"/>
                    <w:jc w:val="center"/>
                  </w:pPr>
                  <w:r>
                    <w:t xml:space="preserve">0.923</w:t>
                  </w:r>
                </w:p>
              </w:tc>
              <w:tc>
                <w:tcPr/>
                <w:p>
                  <w:pPr>
                    <w:pStyle w:val="Compact"/>
                    <w:jc w:val="right"/>
                    <w:jc w:val="center"/>
                  </w:pPr>
                  <w:r>
                    <w:t xml:space="preserve">1.407</w:t>
                  </w:r>
                </w:p>
              </w:tc>
              <w:tc>
                <w:tcPr/>
                <w:p>
                  <w:pPr>
                    <w:pStyle w:val="Compact"/>
                    <w:jc w:val="right"/>
                    <w:jc w:val="center"/>
                  </w:pPr>
                  <w:r>
                    <w:t xml:space="preserve">0.159</w:t>
                  </w:r>
                </w:p>
              </w:tc>
              <w:tc>
                <w:tcPr/>
                <w:p>
                  <w:pPr>
                    <w:pStyle w:val="Compact"/>
                    <w:jc w:val="right"/>
                    <w:jc w:val="center"/>
                  </w:pPr>
                  <w:r>
                    <w:t xml:space="preserve">0.243</w:t>
                  </w:r>
                </w:p>
              </w:tc>
              <w:tc>
                <w:tcPr/>
                <w:p>
                  <w:pPr>
                    <w:pStyle w:val="Compact"/>
                    <w:jc w:val="right"/>
                    <w:jc w:val="center"/>
                  </w:pPr>
                  <w:r>
                    <w:t xml:space="preserve">-0.510</w:t>
                  </w:r>
                </w:p>
              </w:tc>
              <w:tc>
                <w:tcPr/>
                <w:p>
                  <w:pPr>
                    <w:pStyle w:val="Compact"/>
                    <w:jc w:val="right"/>
                    <w:jc w:val="center"/>
                  </w:pPr>
                  <w:r>
                    <w:t xml:space="preserve">3.109</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0.307</w:t>
                  </w:r>
                </w:p>
              </w:tc>
              <w:tc>
                <w:tcPr/>
                <w:p>
                  <w:pPr>
                    <w:pStyle w:val="Compact"/>
                    <w:jc w:val="right"/>
                    <w:jc w:val="center"/>
                  </w:pPr>
                  <w:r>
                    <w:t xml:space="preserve">0.533</w:t>
                  </w:r>
                </w:p>
              </w:tc>
              <w:tc>
                <w:tcPr/>
                <w:p>
                  <w:pPr>
                    <w:pStyle w:val="Compact"/>
                    <w:jc w:val="right"/>
                    <w:jc w:val="center"/>
                  </w:pPr>
                  <w:r>
                    <w:t xml:space="preserve">0.575</w:t>
                  </w:r>
                </w:p>
              </w:tc>
              <w:tc>
                <w:tcPr/>
                <w:p>
                  <w:pPr>
                    <w:pStyle w:val="Compact"/>
                    <w:jc w:val="right"/>
                    <w:jc w:val="center"/>
                  </w:pPr>
                  <w:r>
                    <w:t xml:space="preserve">0.565</w:t>
                  </w:r>
                </w:p>
              </w:tc>
              <w:tc>
                <w:tcPr/>
                <w:p>
                  <w:pPr>
                    <w:pStyle w:val="Compact"/>
                    <w:jc w:val="right"/>
                    <w:jc w:val="center"/>
                  </w:pPr>
                  <w:r>
                    <w:t xml:space="preserve">NA</w:t>
                  </w:r>
                </w:p>
              </w:tc>
              <w:tc>
                <w:tcPr/>
                <w:p>
                  <w:pPr>
                    <w:pStyle w:val="Compact"/>
                    <w:jc w:val="right"/>
                    <w:jc w:val="center"/>
                  </w:pPr>
                  <w:r>
                    <w:t xml:space="preserve">-0.739</w:t>
                  </w:r>
                </w:p>
              </w:tc>
              <w:tc>
                <w:tcPr/>
                <w:p>
                  <w:pPr>
                    <w:pStyle w:val="Compact"/>
                    <w:jc w:val="right"/>
                    <w:jc w:val="center"/>
                  </w:pPr>
                  <w:r>
                    <w:t xml:space="preserve">1.352</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-0.228</w:t>
                  </w:r>
                </w:p>
              </w:tc>
              <w:tc>
                <w:tcPr/>
                <w:p>
                  <w:pPr>
                    <w:pStyle w:val="Compact"/>
                    <w:jc w:val="right"/>
                    <w:jc w:val="center"/>
                  </w:pPr>
                  <w:r>
                    <w:t xml:space="preserve">0.923</w:t>
                  </w:r>
                </w:p>
              </w:tc>
              <w:tc>
                <w:tcPr/>
                <w:p>
                  <w:pPr>
                    <w:pStyle w:val="Compact"/>
                    <w:jc w:val="right"/>
                    <w:jc w:val="center"/>
                  </w:pPr>
                  <w:r>
                    <w:t xml:space="preserve">-0.247</w:t>
                  </w:r>
                </w:p>
              </w:tc>
              <w:tc>
                <w:tcPr/>
                <w:p>
                  <w:pPr>
                    <w:pStyle w:val="Compact"/>
                    <w:jc w:val="right"/>
                    <w:jc w:val="center"/>
                  </w:pPr>
                  <w:r>
                    <w:t xml:space="preserve">0.805</w:t>
                  </w:r>
                </w:p>
              </w:tc>
              <w:tc>
                <w:tcPr/>
                <w:p>
                  <w:pPr>
                    <w:pStyle w:val="Compact"/>
                    <w:jc w:val="right"/>
                    <w:jc w:val="center"/>
                  </w:pPr>
                  <w:r>
                    <w:t xml:space="preserve">NA</w:t>
                  </w:r>
                </w:p>
              </w:tc>
              <w:tc>
                <w:tcPr/>
                <w:p>
                  <w:pPr>
                    <w:pStyle w:val="Compact"/>
                    <w:jc w:val="right"/>
                    <w:jc w:val="center"/>
                  </w:pPr>
                  <w:r>
                    <w:t xml:space="preserve">-2.038</w:t>
                  </w:r>
                </w:p>
              </w:tc>
              <w:tc>
                <w:tcPr/>
                <w:p>
                  <w:pPr>
                    <w:pStyle w:val="Compact"/>
                    <w:jc w:val="right"/>
                    <w:jc w:val="center"/>
                  </w:pPr>
                  <w:r>
                    <w:t xml:space="preserve">1.582</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-0.118</w:t>
                  </w:r>
                </w:p>
              </w:tc>
              <w:tc>
                <w:tcPr/>
                <w:p>
                  <w:pPr>
                    <w:pStyle w:val="Compact"/>
                    <w:jc w:val="right"/>
                    <w:jc w:val="center"/>
                  </w:pPr>
                  <w:r>
                    <w:t xml:space="preserve">0.072</w:t>
                  </w:r>
                </w:p>
              </w:tc>
              <w:tc>
                <w:tcPr/>
                <w:p>
                  <w:pPr>
                    <w:pStyle w:val="Compact"/>
                    <w:jc w:val="right"/>
                    <w:jc w:val="center"/>
                  </w:pPr>
                  <w:r>
                    <w:t xml:space="preserve">-1.640</w:t>
                  </w:r>
                </w:p>
              </w:tc>
              <w:tc>
                <w:tcPr/>
                <w:p>
                  <w:pPr>
                    <w:pStyle w:val="Compact"/>
                    <w:jc w:val="right"/>
                    <w:jc w:val="center"/>
                  </w:pPr>
                  <w:r>
                    <w:t xml:space="preserve">0.101</w:t>
                  </w:r>
                </w:p>
              </w:tc>
              <w:tc>
                <w:tcPr/>
                <w:p>
                  <w:pPr>
                    <w:pStyle w:val="Compact"/>
                    <w:jc w:val="right"/>
                    <w:jc w:val="center"/>
                  </w:pPr>
                  <w:r>
                    <w:t xml:space="preserve">NA</w:t>
                  </w:r>
                </w:p>
              </w:tc>
              <w:tc>
                <w:tcPr/>
                <w:p>
                  <w:pPr>
                    <w:pStyle w:val="Compact"/>
                    <w:jc w:val="right"/>
                    <w:jc w:val="center"/>
                  </w:pPr>
                  <w:r>
                    <w:t xml:space="preserve">-0.260</w:t>
                  </w:r>
                </w:p>
              </w:tc>
              <w:tc>
                <w:tcPr/>
                <w:p>
                  <w:pPr>
                    <w:pStyle w:val="Compact"/>
                    <w:jc w:val="right"/>
                    <w:jc w:val="center"/>
                  </w:pPr>
                  <w:r>
                    <w:t xml:space="preserve">0.023</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0.100</w:t>
                  </w:r>
                </w:p>
              </w:tc>
              <w:tc>
                <w:tcPr/>
                <w:p>
                  <w:pPr>
                    <w:pStyle w:val="Compact"/>
                    <w:jc w:val="right"/>
                    <w:jc w:val="center"/>
                  </w:pPr>
                  <w:r>
                    <w:t xml:space="preserve">0.131</w:t>
                  </w:r>
                </w:p>
              </w:tc>
              <w:tc>
                <w:tcPr/>
                <w:p>
                  <w:pPr>
                    <w:pStyle w:val="Compact"/>
                    <w:jc w:val="right"/>
                    <w:jc w:val="center"/>
                  </w:pPr>
                  <w:r>
                    <w:t xml:space="preserve">0.760</w:t>
                  </w:r>
                </w:p>
              </w:tc>
              <w:tc>
                <w:tcPr/>
                <w:p>
                  <w:pPr>
                    <w:pStyle w:val="Compact"/>
                    <w:jc w:val="right"/>
                    <w:jc w:val="center"/>
                  </w:pPr>
                  <w:r>
                    <w:t xml:space="preserve">0.447</w:t>
                  </w:r>
                </w:p>
              </w:tc>
              <w:tc>
                <w:tcPr/>
                <w:p>
                  <w:pPr>
                    <w:pStyle w:val="Compact"/>
                    <w:jc w:val="right"/>
                    <w:jc w:val="center"/>
                  </w:pPr>
                  <w:r>
                    <w:t xml:space="preserve">0.447</w:t>
                  </w:r>
                </w:p>
              </w:tc>
              <w:tc>
                <w:tcPr/>
                <w:p>
                  <w:pPr>
                    <w:pStyle w:val="Compact"/>
                    <w:jc w:val="right"/>
                    <w:jc w:val="center"/>
                  </w:pPr>
                  <w:r>
                    <w:t xml:space="preserve">-0.158</w:t>
                  </w:r>
                </w:p>
              </w:tc>
              <w:tc>
                <w:tcPr/>
                <w:p>
                  <w:pPr>
                    <w:pStyle w:val="Compact"/>
                    <w:jc w:val="right"/>
                    <w:jc w:val="center"/>
                  </w:pPr>
                  <w:r>
                    <w:t xml:space="preserve">0.358</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3.445</w:t>
                  </w:r>
                </w:p>
              </w:tc>
              <w:tc>
                <w:tcPr/>
                <w:p>
                  <w:pPr>
                    <w:pStyle w:val="Compact"/>
                    <w:jc w:val="right"/>
                    <w:jc w:val="center"/>
                  </w:pPr>
                  <w:r>
                    <w:t xml:space="preserve">0.539</w:t>
                  </w:r>
                </w:p>
              </w:tc>
              <w:tc>
                <w:tcPr/>
                <w:p>
                  <w:pPr>
                    <w:pStyle w:val="Compact"/>
                    <w:jc w:val="right"/>
                    <w:jc w:val="center"/>
                  </w:pPr>
                  <w:r>
                    <w:t xml:space="preserve">6.393</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2.389</w:t>
                  </w:r>
                </w:p>
              </w:tc>
              <w:tc>
                <w:tcPr/>
                <w:p>
                  <w:pPr>
                    <w:pStyle w:val="Compact"/>
                    <w:jc w:val="right"/>
                    <w:jc w:val="center"/>
                  </w:pPr>
                  <w:r>
                    <w:t xml:space="preserve">4.502</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-0.648</w:t>
                  </w:r>
                </w:p>
              </w:tc>
              <w:tc>
                <w:tcPr/>
                <w:p>
                  <w:pPr>
                    <w:pStyle w:val="Compact"/>
                    <w:jc w:val="right"/>
                    <w:jc w:val="center"/>
                  </w:pPr>
                  <w:r>
                    <w:t xml:space="preserve">0.934</w:t>
                  </w:r>
                </w:p>
              </w:tc>
              <w:tc>
                <w:tcPr/>
                <w:p>
                  <w:pPr>
                    <w:pStyle w:val="Compact"/>
                    <w:jc w:val="right"/>
                    <w:jc w:val="center"/>
                  </w:pPr>
                  <w:r>
                    <w:t xml:space="preserve">-0.694</w:t>
                  </w:r>
                </w:p>
              </w:tc>
              <w:tc>
                <w:tcPr/>
                <w:p>
                  <w:pPr>
                    <w:pStyle w:val="Compact"/>
                    <w:jc w:val="right"/>
                    <w:jc w:val="center"/>
                  </w:pPr>
                  <w:r>
                    <w:t xml:space="preserve">0.488</w:t>
                  </w:r>
                </w:p>
              </w:tc>
              <w:tc>
                <w:tcPr/>
                <w:p>
                  <w:pPr>
                    <w:pStyle w:val="Compact"/>
                    <w:jc w:val="right"/>
                    <w:jc w:val="center"/>
                  </w:pPr>
                  <w:r>
                    <w:t xml:space="preserve">NA</w:t>
                  </w:r>
                </w:p>
              </w:tc>
              <w:tc>
                <w:tcPr/>
                <w:p>
                  <w:pPr>
                    <w:pStyle w:val="Compact"/>
                    <w:jc w:val="right"/>
                    <w:jc w:val="center"/>
                  </w:pPr>
                  <w:r>
                    <w:t xml:space="preserve">-2.477</w:t>
                  </w:r>
                </w:p>
              </w:tc>
              <w:tc>
                <w:tcPr/>
                <w:p>
                  <w:pPr>
                    <w:pStyle w:val="Compact"/>
                    <w:jc w:val="right"/>
                    <w:jc w:val="center"/>
                  </w:pPr>
                  <w:r>
                    <w:t xml:space="preserve">1.182</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-0.131</w:t>
                  </w:r>
                </w:p>
              </w:tc>
              <w:tc>
                <w:tcPr/>
                <w:p>
                  <w:pPr>
                    <w:pStyle w:val="Compact"/>
                    <w:jc w:val="right"/>
                    <w:jc w:val="center"/>
                  </w:pPr>
                  <w:r>
                    <w:t xml:space="preserve">0.097</w:t>
                  </w:r>
                </w:p>
              </w:tc>
              <w:tc>
                <w:tcPr/>
                <w:p>
                  <w:pPr>
                    <w:pStyle w:val="Compact"/>
                    <w:jc w:val="right"/>
                    <w:jc w:val="center"/>
                  </w:pPr>
                  <w:r>
                    <w:t xml:space="preserve">-1.346</w:t>
                  </w:r>
                </w:p>
              </w:tc>
              <w:tc>
                <w:tcPr/>
                <w:p>
                  <w:pPr>
                    <w:pStyle w:val="Compact"/>
                    <w:jc w:val="right"/>
                    <w:jc w:val="center"/>
                  </w:pPr>
                  <w:r>
                    <w:t xml:space="preserve">0.178</w:t>
                  </w:r>
                </w:p>
              </w:tc>
              <w:tc>
                <w:tcPr/>
                <w:p>
                  <w:pPr>
                    <w:pStyle w:val="Compact"/>
                    <w:jc w:val="right"/>
                    <w:jc w:val="center"/>
                  </w:pPr>
                  <w:r>
                    <w:t xml:space="preserve">NA</w:t>
                  </w:r>
                </w:p>
              </w:tc>
              <w:tc>
                <w:tcPr/>
                <w:p>
                  <w:pPr>
                    <w:pStyle w:val="Compact"/>
                    <w:jc w:val="right"/>
                    <w:jc w:val="center"/>
                  </w:pPr>
                  <w:r>
                    <w:t xml:space="preserve">-0.322</w:t>
                  </w:r>
                </w:p>
              </w:tc>
              <w:tc>
                <w:tcPr/>
                <w:p>
                  <w:pPr>
                    <w:pStyle w:val="Compact"/>
                    <w:jc w:val="right"/>
                    <w:jc w:val="center"/>
                  </w:pPr>
                  <w:r>
                    <w:t xml:space="preserve">0.060</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0.231</w:t>
                  </w:r>
                </w:p>
              </w:tc>
              <w:tc>
                <w:tcPr/>
                <w:p>
                  <w:pPr>
                    <w:pStyle w:val="Compact"/>
                    <w:jc w:val="right"/>
                    <w:jc w:val="center"/>
                  </w:pPr>
                  <w:r>
                    <w:t xml:space="preserve">0.173</w:t>
                  </w:r>
                </w:p>
              </w:tc>
              <w:tc>
                <w:tcPr/>
                <w:p>
                  <w:pPr>
                    <w:pStyle w:val="Compact"/>
                    <w:jc w:val="right"/>
                    <w:jc w:val="center"/>
                  </w:pPr>
                  <w:r>
                    <w:t xml:space="preserve">1.338</w:t>
                  </w:r>
                </w:p>
              </w:tc>
              <w:tc>
                <w:tcPr/>
                <w:p>
                  <w:pPr>
                    <w:pStyle w:val="Compact"/>
                    <w:jc w:val="right"/>
                    <w:jc w:val="center"/>
                  </w:pPr>
                  <w:r>
                    <w:t xml:space="preserve">0.181</w:t>
                  </w:r>
                </w:p>
              </w:tc>
              <w:tc>
                <w:tcPr/>
                <w:p>
                  <w:pPr>
                    <w:pStyle w:val="Compact"/>
                    <w:jc w:val="right"/>
                    <w:jc w:val="center"/>
                  </w:pPr>
                  <w:r>
                    <w:t xml:space="preserve">0.243</w:t>
                  </w:r>
                </w:p>
              </w:tc>
              <w:tc>
                <w:tcPr/>
                <w:p>
                  <w:pPr>
                    <w:pStyle w:val="Compact"/>
                    <w:jc w:val="right"/>
                    <w:jc w:val="center"/>
                  </w:pPr>
                  <w:r>
                    <w:t xml:space="preserve">-0.107</w:t>
                  </w:r>
                </w:p>
              </w:tc>
              <w:tc>
                <w:tcPr/>
                <w:p>
                  <w:pPr>
                    <w:pStyle w:val="Compact"/>
                    <w:jc w:val="right"/>
                    <w:jc w:val="center"/>
                  </w:pPr>
                  <w:r>
                    <w:t xml:space="preserve">0.569</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-6.715</w:t>
                  </w:r>
                </w:p>
              </w:tc>
              <w:tc>
                <w:tcPr/>
                <w:p>
                  <w:pPr>
                    <w:pStyle w:val="Compact"/>
                    <w:jc w:val="right"/>
                    <w:jc w:val="center"/>
                  </w:pPr>
                  <w:r>
                    <w:t xml:space="preserve">1.788</w:t>
                  </w:r>
                </w:p>
              </w:tc>
              <w:tc>
                <w:tcPr/>
                <w:p>
                  <w:pPr>
                    <w:pStyle w:val="Compact"/>
                    <w:jc w:val="right"/>
                    <w:jc w:val="center"/>
                  </w:pPr>
                  <w:r>
                    <w:t xml:space="preserve">-3.757</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-10.219</w:t>
                  </w:r>
                </w:p>
              </w:tc>
              <w:tc>
                <w:tcPr/>
                <w:p>
                  <w:pPr>
                    <w:pStyle w:val="Compact"/>
                    <w:jc w:val="right"/>
                    <w:jc w:val="center"/>
                  </w:pPr>
                  <w:r>
                    <w:t xml:space="preserve">-3.212</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0.731</w:t>
                  </w:r>
                </w:p>
              </w:tc>
              <w:tc>
                <w:tcPr/>
                <w:p>
                  <w:pPr>
                    <w:pStyle w:val="Compact"/>
                    <w:jc w:val="right"/>
                    <w:jc w:val="center"/>
                  </w:pPr>
                  <w:r>
                    <w:t xml:space="preserve">1.033</w:t>
                  </w:r>
                </w:p>
              </w:tc>
              <w:tc>
                <w:tcPr/>
                <w:p>
                  <w:pPr>
                    <w:pStyle w:val="Compact"/>
                    <w:jc w:val="right"/>
                    <w:jc w:val="center"/>
                  </w:pPr>
                  <w:r>
                    <w:t xml:space="preserve">0.707</w:t>
                  </w:r>
                </w:p>
              </w:tc>
              <w:tc>
                <w:tcPr/>
                <w:p>
                  <w:pPr>
                    <w:pStyle w:val="Compact"/>
                    <w:jc w:val="right"/>
                    <w:jc w:val="center"/>
                  </w:pPr>
                  <w:r>
                    <w:t xml:space="preserve">0.479</w:t>
                  </w:r>
                </w:p>
              </w:tc>
              <w:tc>
                <w:tcPr/>
                <w:p>
                  <w:pPr>
                    <w:pStyle w:val="Compact"/>
                    <w:jc w:val="right"/>
                    <w:jc w:val="center"/>
                  </w:pPr>
                  <w:r>
                    <w:t xml:space="preserve">NA</w:t>
                  </w:r>
                </w:p>
              </w:tc>
              <w:tc>
                <w:tcPr/>
                <w:p>
                  <w:pPr>
                    <w:pStyle w:val="Compact"/>
                    <w:jc w:val="right"/>
                    <w:jc w:val="center"/>
                  </w:pPr>
                  <w:r>
                    <w:t xml:space="preserve">-1.295</w:t>
                  </w:r>
                </w:p>
              </w:tc>
              <w:tc>
                <w:tcPr/>
                <w:p>
                  <w:pPr>
                    <w:pStyle w:val="Compact"/>
                    <w:jc w:val="right"/>
                    <w:jc w:val="center"/>
                  </w:pPr>
                  <w:r>
                    <w:t xml:space="preserve">2.756</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-0.051</w:t>
                  </w:r>
                </w:p>
              </w:tc>
              <w:tc>
                <w:tcPr/>
                <w:p>
                  <w:pPr>
                    <w:pStyle w:val="Compact"/>
                    <w:jc w:val="right"/>
                    <w:jc w:val="center"/>
                  </w:pPr>
                  <w:r>
                    <w:t xml:space="preserve">0.233</w:t>
                  </w:r>
                </w:p>
              </w:tc>
              <w:tc>
                <w:tcPr/>
                <w:p>
                  <w:pPr>
                    <w:pStyle w:val="Compact"/>
                    <w:jc w:val="right"/>
                    <w:jc w:val="center"/>
                  </w:pPr>
                  <w:r>
                    <w:t xml:space="preserve">-0.220</w:t>
                  </w:r>
                </w:p>
              </w:tc>
              <w:tc>
                <w:tcPr/>
                <w:p>
                  <w:pPr>
                    <w:pStyle w:val="Compact"/>
                    <w:jc w:val="right"/>
                    <w:jc w:val="center"/>
                  </w:pPr>
                  <w:r>
                    <w:t xml:space="preserve">0.826</w:t>
                  </w:r>
                </w:p>
              </w:tc>
              <w:tc>
                <w:tcPr/>
                <w:p>
                  <w:pPr>
                    <w:pStyle w:val="Compact"/>
                    <w:jc w:val="right"/>
                    <w:jc w:val="center"/>
                  </w:pPr>
                  <w:r>
                    <w:t xml:space="preserve">NA</w:t>
                  </w:r>
                </w:p>
              </w:tc>
              <w:tc>
                <w:tcPr/>
                <w:p>
                  <w:pPr>
                    <w:pStyle w:val="Compact"/>
                    <w:jc w:val="right"/>
                    <w:jc w:val="center"/>
                  </w:pPr>
                  <w:r>
                    <w:t xml:space="preserve">-0.509</w:t>
                  </w:r>
                </w:p>
              </w:tc>
              <w:tc>
                <w:tcPr/>
                <w:p>
                  <w:pPr>
                    <w:pStyle w:val="Compact"/>
                    <w:jc w:val="right"/>
                    <w:jc w:val="center"/>
                  </w:pPr>
                  <w:r>
                    <w:t xml:space="preserve">0.406</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0.258</w:t>
                  </w:r>
                </w:p>
              </w:tc>
              <w:tc>
                <w:tcPr/>
                <w:p>
                  <w:pPr>
                    <w:pStyle w:val="Compact"/>
                    <w:jc w:val="right"/>
                    <w:jc w:val="center"/>
                  </w:pPr>
                  <w:r>
                    <w:t xml:space="preserve">0.082</w:t>
                  </w:r>
                </w:p>
              </w:tc>
              <w:tc>
                <w:tcPr/>
                <w:p>
                  <w:pPr>
                    <w:pStyle w:val="Compact"/>
                    <w:jc w:val="right"/>
                    <w:jc w:val="center"/>
                  </w:pPr>
                  <w:r>
                    <w:t xml:space="preserve">3.131</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0.096</w:t>
                  </w:r>
                </w:p>
              </w:tc>
              <w:tc>
                <w:tcPr/>
                <w:p>
                  <w:pPr>
                    <w:pStyle w:val="Compact"/>
                    <w:jc w:val="right"/>
                    <w:jc w:val="center"/>
                  </w:pPr>
                  <w:r>
                    <w:t xml:space="preserve">0.419</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-0.146</w:t>
                  </w:r>
                </w:p>
              </w:tc>
              <w:tc>
                <w:tcPr/>
                <w:p>
                  <w:pPr>
                    <w:pStyle w:val="Compact"/>
                    <w:jc w:val="right"/>
                    <w:jc w:val="center"/>
                  </w:pPr>
                  <w:r>
                    <w:t xml:space="preserve">0.296</w:t>
                  </w:r>
                </w:p>
              </w:tc>
              <w:tc>
                <w:tcPr/>
                <w:p>
                  <w:pPr>
                    <w:pStyle w:val="Compact"/>
                    <w:jc w:val="right"/>
                    <w:jc w:val="center"/>
                  </w:pPr>
                  <w:r>
                    <w:t xml:space="preserve">-0.491</w:t>
                  </w:r>
                </w:p>
              </w:tc>
              <w:tc>
                <w:tcPr/>
                <w:p>
                  <w:pPr>
                    <w:pStyle w:val="Compact"/>
                    <w:jc w:val="right"/>
                    <w:jc w:val="center"/>
                  </w:pPr>
                  <w:r>
                    <w:t xml:space="preserve">0.623</w:t>
                  </w:r>
                </w:p>
              </w:tc>
              <w:tc>
                <w:tcPr/>
                <w:p>
                  <w:pPr>
                    <w:pStyle w:val="Compact"/>
                    <w:jc w:val="right"/>
                    <w:jc w:val="center"/>
                  </w:pPr>
                  <w:r>
                    <w:t xml:space="preserve">0.902</w:t>
                  </w:r>
                </w:p>
              </w:tc>
              <w:tc>
                <w:tcPr/>
                <w:p>
                  <w:pPr>
                    <w:pStyle w:val="Compact"/>
                    <w:jc w:val="right"/>
                    <w:jc w:val="center"/>
                  </w:pPr>
                  <w:r>
                    <w:t xml:space="preserve">-0.727</w:t>
                  </w:r>
                </w:p>
              </w:tc>
              <w:tc>
                <w:tcPr/>
                <w:p>
                  <w:pPr>
                    <w:pStyle w:val="Compact"/>
                    <w:jc w:val="right"/>
                    <w:jc w:val="center"/>
                  </w:pPr>
                  <w:r>
                    <w:t xml:space="preserve">0.435</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2.128</w:t>
                  </w:r>
                </w:p>
              </w:tc>
              <w:tc>
                <w:tcPr/>
                <w:p>
                  <w:pPr>
                    <w:pStyle w:val="Compact"/>
                    <w:jc w:val="right"/>
                    <w:jc w:val="center"/>
                  </w:pPr>
                  <w:r>
                    <w:t xml:space="preserve">1.527</w:t>
                  </w:r>
                </w:p>
              </w:tc>
              <w:tc>
                <w:tcPr/>
                <w:p>
                  <w:pPr>
                    <w:pStyle w:val="Compact"/>
                    <w:jc w:val="right"/>
                    <w:jc w:val="center"/>
                  </w:pPr>
                  <w:r>
                    <w:t xml:space="preserve">1.393</w:t>
                  </w:r>
                </w:p>
              </w:tc>
              <w:tc>
                <w:tcPr/>
                <w:p>
                  <w:pPr>
                    <w:pStyle w:val="Compact"/>
                    <w:jc w:val="right"/>
                    <w:jc w:val="center"/>
                  </w:pPr>
                  <w:r>
                    <w:t xml:space="preserve">0.163</w:t>
                  </w:r>
                </w:p>
              </w:tc>
              <w:tc>
                <w:tcPr/>
                <w:p>
                  <w:pPr>
                    <w:pStyle w:val="Compact"/>
                    <w:jc w:val="right"/>
                    <w:jc w:val="center"/>
                  </w:pPr>
                  <w:r>
                    <w:t xml:space="preserve">NA</w:t>
                  </w:r>
                </w:p>
              </w:tc>
              <w:tc>
                <w:tcPr/>
                <w:p>
                  <w:pPr>
                    <w:pStyle w:val="Compact"/>
                    <w:jc w:val="right"/>
                    <w:jc w:val="center"/>
                  </w:pPr>
                  <w:r>
                    <w:t xml:space="preserve">-0.865</w:t>
                  </w:r>
                </w:p>
              </w:tc>
              <w:tc>
                <w:tcPr/>
                <w:p>
                  <w:pPr>
                    <w:pStyle w:val="Compact"/>
                    <w:jc w:val="right"/>
                    <w:jc w:val="center"/>
                  </w:pPr>
                  <w:r>
                    <w:t xml:space="preserve">5.121</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0.062</w:t>
                  </w:r>
                </w:p>
              </w:tc>
              <w:tc>
                <w:tcPr/>
                <w:p>
                  <w:pPr>
                    <w:pStyle w:val="Compact"/>
                    <w:jc w:val="right"/>
                    <w:jc w:val="center"/>
                  </w:pPr>
                  <w:r>
                    <w:t xml:space="preserve">1.575</w:t>
                  </w:r>
                </w:p>
              </w:tc>
              <w:tc>
                <w:tcPr/>
                <w:p>
                  <w:pPr>
                    <w:pStyle w:val="Compact"/>
                    <w:jc w:val="right"/>
                    <w:jc w:val="center"/>
                  </w:pPr>
                  <w:r>
                    <w:t xml:space="preserve">0.039</w:t>
                  </w:r>
                </w:p>
              </w:tc>
              <w:tc>
                <w:tcPr/>
                <w:p>
                  <w:pPr>
                    <w:pStyle w:val="Compact"/>
                    <w:jc w:val="right"/>
                    <w:jc w:val="center"/>
                  </w:pPr>
                  <w:r>
                    <w:t xml:space="preserve">0.969</w:t>
                  </w:r>
                </w:p>
              </w:tc>
              <w:tc>
                <w:tcPr/>
                <w:p>
                  <w:pPr>
                    <w:pStyle w:val="Compact"/>
                    <w:jc w:val="right"/>
                    <w:jc w:val="center"/>
                  </w:pPr>
                  <w:r>
                    <w:t xml:space="preserve">NA</w:t>
                  </w:r>
                </w:p>
              </w:tc>
              <w:tc>
                <w:tcPr/>
                <w:p>
                  <w:pPr>
                    <w:pStyle w:val="Compact"/>
                    <w:jc w:val="right"/>
                    <w:jc w:val="center"/>
                  </w:pPr>
                  <w:r>
                    <w:t xml:space="preserve">-3.025</w:t>
                  </w:r>
                </w:p>
              </w:tc>
              <w:tc>
                <w:tcPr/>
                <w:p>
                  <w:pPr>
                    <w:pStyle w:val="Compact"/>
                    <w:jc w:val="right"/>
                    <w:jc w:val="center"/>
                  </w:pPr>
                  <w:r>
                    <w:t xml:space="preserve">3.149</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0.007</w:t>
                  </w:r>
                </w:p>
              </w:tc>
              <w:tc>
                <w:tcPr/>
                <w:p>
                  <w:pPr>
                    <w:pStyle w:val="Compact"/>
                    <w:jc w:val="right"/>
                    <w:jc w:val="center"/>
                  </w:pPr>
                  <w:r>
                    <w:t xml:space="preserve">0.325</w:t>
                  </w:r>
                </w:p>
              </w:tc>
              <w:tc>
                <w:tcPr/>
                <w:p>
                  <w:pPr>
                    <w:pStyle w:val="Compact"/>
                    <w:jc w:val="right"/>
                    <w:jc w:val="center"/>
                  </w:pPr>
                  <w:r>
                    <w:t xml:space="preserve">0.023</w:t>
                  </w:r>
                </w:p>
              </w:tc>
              <w:tc>
                <w:tcPr/>
                <w:p>
                  <w:pPr>
                    <w:pStyle w:val="Compact"/>
                    <w:jc w:val="right"/>
                    <w:jc w:val="center"/>
                  </w:pPr>
                  <w:r>
                    <w:t xml:space="preserve">0.982</w:t>
                  </w:r>
                </w:p>
              </w:tc>
              <w:tc>
                <w:tcPr/>
                <w:p>
                  <w:pPr>
                    <w:pStyle w:val="Compact"/>
                    <w:jc w:val="right"/>
                    <w:jc w:val="center"/>
                  </w:pPr>
                  <w:r>
                    <w:t xml:space="preserve">NA</w:t>
                  </w:r>
                </w:p>
              </w:tc>
              <w:tc>
                <w:tcPr/>
                <w:p>
                  <w:pPr>
                    <w:pStyle w:val="Compact"/>
                    <w:jc w:val="right"/>
                    <w:jc w:val="center"/>
                  </w:pPr>
                  <w:r>
                    <w:t xml:space="preserve">-0.629</w:t>
                  </w:r>
                </w:p>
              </w:tc>
              <w:tc>
                <w:tcPr/>
                <w:p>
                  <w:pPr>
                    <w:pStyle w:val="Compact"/>
                    <w:jc w:val="right"/>
                    <w:jc w:val="center"/>
                  </w:pPr>
                  <w:r>
                    <w:t xml:space="preserve">0.644</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0.055</w:t>
                  </w:r>
                </w:p>
              </w:tc>
              <w:tc>
                <w:tcPr/>
                <w:p>
                  <w:pPr>
                    <w:pStyle w:val="Compact"/>
                    <w:jc w:val="right"/>
                    <w:jc w:val="center"/>
                  </w:pPr>
                  <w:r>
                    <w:t xml:space="preserve">0.448</w:t>
                  </w:r>
                </w:p>
              </w:tc>
              <w:tc>
                <w:tcPr/>
                <w:p>
                  <w:pPr>
                    <w:pStyle w:val="Compact"/>
                    <w:jc w:val="right"/>
                    <w:jc w:val="center"/>
                  </w:pPr>
                  <w:r>
                    <w:t xml:space="preserve">0.123</w:t>
                  </w:r>
                </w:p>
              </w:tc>
              <w:tc>
                <w:tcPr/>
                <w:p>
                  <w:pPr>
                    <w:pStyle w:val="Compact"/>
                    <w:jc w:val="right"/>
                    <w:jc w:val="center"/>
                  </w:pPr>
                  <w:r>
                    <w:t xml:space="preserve">0.902</w:t>
                  </w:r>
                </w:p>
              </w:tc>
              <w:tc>
                <w:tcPr/>
                <w:p>
                  <w:pPr>
                    <w:pStyle w:val="Compact"/>
                    <w:jc w:val="right"/>
                    <w:jc w:val="center"/>
                  </w:pPr>
                  <w:r>
                    <w:t xml:space="preserve">0.902</w:t>
                  </w:r>
                </w:p>
              </w:tc>
              <w:tc>
                <w:tcPr/>
                <w:p>
                  <w:pPr>
                    <w:pStyle w:val="Compact"/>
                    <w:jc w:val="right"/>
                    <w:jc w:val="center"/>
                  </w:pPr>
                  <w:r>
                    <w:t xml:space="preserve">-0.823</w:t>
                  </w:r>
                </w:p>
              </w:tc>
              <w:tc>
                <w:tcPr/>
                <w:p>
                  <w:pPr>
                    <w:pStyle w:val="Compact"/>
                    <w:jc w:val="right"/>
                    <w:jc w:val="center"/>
                  </w:pPr>
                  <w:r>
                    <w:t xml:space="preserve">0.933</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0.712</w:t>
                  </w:r>
                </w:p>
              </w:tc>
              <w:tc>
                <w:tcPr/>
                <w:p>
                  <w:pPr>
                    <w:pStyle w:val="Compact"/>
                    <w:jc w:val="right"/>
                    <w:jc w:val="center"/>
                  </w:pPr>
                  <w:r>
                    <w:t xml:space="preserve">0.805</w:t>
                  </w:r>
                </w:p>
              </w:tc>
              <w:tc>
                <w:tcPr/>
                <w:p>
                  <w:pPr>
                    <w:pStyle w:val="Compact"/>
                    <w:jc w:val="right"/>
                    <w:jc w:val="center"/>
                  </w:pPr>
                  <w:r>
                    <w:t xml:space="preserve">0.884</w:t>
                  </w:r>
                </w:p>
              </w:tc>
              <w:tc>
                <w:tcPr/>
                <w:p>
                  <w:pPr>
                    <w:pStyle w:val="Compact"/>
                    <w:jc w:val="right"/>
                    <w:jc w:val="center"/>
                  </w:pPr>
                  <w:r>
                    <w:t xml:space="preserve">0.377</w:t>
                  </w:r>
                </w:p>
              </w:tc>
              <w:tc>
                <w:tcPr/>
                <w:p>
                  <w:pPr>
                    <w:pStyle w:val="Compact"/>
                    <w:jc w:val="right"/>
                    <w:jc w:val="center"/>
                  </w:pPr>
                  <w:r>
                    <w:t xml:space="preserve">NA</w:t>
                  </w:r>
                </w:p>
              </w:tc>
              <w:tc>
                <w:tcPr/>
                <w:p>
                  <w:pPr>
                    <w:pStyle w:val="Compact"/>
                    <w:jc w:val="right"/>
                    <w:jc w:val="center"/>
                  </w:pPr>
                  <w:r>
                    <w:t xml:space="preserve">-0.866</w:t>
                  </w:r>
                </w:p>
              </w:tc>
              <w:tc>
                <w:tcPr/>
                <w:p>
                  <w:pPr>
                    <w:pStyle w:val="Compact"/>
                    <w:jc w:val="right"/>
                    <w:jc w:val="center"/>
                  </w:pPr>
                  <w:r>
                    <w:t xml:space="preserve">2.290</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-0.263</w:t>
                  </w:r>
                </w:p>
              </w:tc>
              <w:tc>
                <w:tcPr/>
                <w:p>
                  <w:pPr>
                    <w:pStyle w:val="Compact"/>
                    <w:jc w:val="right"/>
                    <w:jc w:val="center"/>
                  </w:pPr>
                  <w:r>
                    <w:t xml:space="preserve">0.567</w:t>
                  </w:r>
                </w:p>
              </w:tc>
              <w:tc>
                <w:tcPr/>
                <w:p>
                  <w:pPr>
                    <w:pStyle w:val="Compact"/>
                    <w:jc w:val="right"/>
                    <w:jc w:val="center"/>
                  </w:pPr>
                  <w:r>
                    <w:t xml:space="preserve">-0.464</w:t>
                  </w:r>
                </w:p>
              </w:tc>
              <w:tc>
                <w:tcPr/>
                <w:p>
                  <w:pPr>
                    <w:pStyle w:val="Compact"/>
                    <w:jc w:val="right"/>
                    <w:jc w:val="center"/>
                  </w:pPr>
                  <w:r>
                    <w:t xml:space="preserve">0.642</w:t>
                  </w:r>
                </w:p>
              </w:tc>
              <w:tc>
                <w:tcPr/>
                <w:p>
                  <w:pPr>
                    <w:pStyle w:val="Compact"/>
                    <w:jc w:val="right"/>
                    <w:jc w:val="center"/>
                  </w:pPr>
                  <w:r>
                    <w:t xml:space="preserve">NA</w:t>
                  </w:r>
                </w:p>
              </w:tc>
              <w:tc>
                <w:tcPr/>
                <w:p>
                  <w:pPr>
                    <w:pStyle w:val="Compact"/>
                    <w:jc w:val="right"/>
                    <w:jc w:val="center"/>
                  </w:pPr>
                  <w:r>
                    <w:t xml:space="preserve">-1.374</w:t>
                  </w:r>
                </w:p>
              </w:tc>
              <w:tc>
                <w:tcPr/>
                <w:p>
                  <w:pPr>
                    <w:pStyle w:val="Compact"/>
                    <w:jc w:val="right"/>
                    <w:jc w:val="center"/>
                  </w:pPr>
                  <w:r>
                    <w:t xml:space="preserve">0.848</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-0.136</w:t>
                  </w:r>
                </w:p>
              </w:tc>
              <w:tc>
                <w:tcPr/>
                <w:p>
                  <w:pPr>
                    <w:pStyle w:val="Compact"/>
                    <w:jc w:val="right"/>
                    <w:jc w:val="center"/>
                  </w:pPr>
                  <w:r>
                    <w:t xml:space="preserve">0.075</w:t>
                  </w:r>
                </w:p>
              </w:tc>
              <w:tc>
                <w:tcPr/>
                <w:p>
                  <w:pPr>
                    <w:pStyle w:val="Compact"/>
                    <w:jc w:val="right"/>
                    <w:jc w:val="center"/>
                  </w:pPr>
                  <w:r>
                    <w:t xml:space="preserve">-1.820</w:t>
                  </w:r>
                </w:p>
              </w:tc>
              <w:tc>
                <w:tcPr/>
                <w:p>
                  <w:pPr>
                    <w:pStyle w:val="Compact"/>
                    <w:jc w:val="right"/>
                    <w:jc w:val="center"/>
                  </w:pPr>
                  <w:r>
                    <w:t xml:space="preserve">0.069</w:t>
                  </w:r>
                </w:p>
              </w:tc>
              <w:tc>
                <w:tcPr/>
                <w:p>
                  <w:pPr>
                    <w:pStyle w:val="Compact"/>
                    <w:jc w:val="right"/>
                    <w:jc w:val="center"/>
                  </w:pPr>
                  <w:r>
                    <w:t xml:space="preserve">NA</w:t>
                  </w:r>
                </w:p>
              </w:tc>
              <w:tc>
                <w:tcPr/>
                <w:p>
                  <w:pPr>
                    <w:pStyle w:val="Compact"/>
                    <w:jc w:val="right"/>
                    <w:jc w:val="center"/>
                  </w:pPr>
                  <w:r>
                    <w:t xml:space="preserve">-0.283</w:t>
                  </w:r>
                </w:p>
              </w:tc>
              <w:tc>
                <w:tcPr/>
                <w:p>
                  <w:pPr>
                    <w:pStyle w:val="Compact"/>
                    <w:jc w:val="right"/>
                    <w:jc w:val="center"/>
                  </w:pPr>
                  <w:r>
                    <w:t xml:space="preserve">0.010</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SeasonSpring</w:t>
                  </w:r>
                </w:p>
              </w:tc>
              <w:tc>
                <w:tcPr/>
                <w:p>
                  <w:pPr>
                    <w:pStyle w:val="Compact"/>
                    <w:jc w:val="right"/>
                    <w:jc w:val="center"/>
                  </w:pPr>
                  <w:r>
                    <w:t xml:space="preserve">-0.343</w:t>
                  </w:r>
                </w:p>
              </w:tc>
              <w:tc>
                <w:tcPr/>
                <w:p>
                  <w:pPr>
                    <w:pStyle w:val="Compact"/>
                    <w:jc w:val="right"/>
                    <w:jc w:val="center"/>
                  </w:pPr>
                  <w:r>
                    <w:t xml:space="preserve">0.210</w:t>
                  </w:r>
                </w:p>
              </w:tc>
              <w:tc>
                <w:tcPr/>
                <w:p>
                  <w:pPr>
                    <w:pStyle w:val="Compact"/>
                    <w:jc w:val="right"/>
                    <w:jc w:val="center"/>
                  </w:pPr>
                  <w:r>
                    <w:t xml:space="preserve">-1.628</w:t>
                  </w:r>
                </w:p>
              </w:tc>
              <w:tc>
                <w:tcPr/>
                <w:p>
                  <w:pPr>
                    <w:pStyle w:val="Compact"/>
                    <w:jc w:val="right"/>
                    <w:jc w:val="center"/>
                  </w:pPr>
                  <w:r>
                    <w:t xml:space="preserve">0.103</w:t>
                  </w:r>
                </w:p>
              </w:tc>
              <w:tc>
                <w:tcPr/>
                <w:p>
                  <w:pPr>
                    <w:pStyle w:val="Compact"/>
                    <w:jc w:val="right"/>
                    <w:jc w:val="center"/>
                  </w:pPr>
                  <w:r>
                    <w:t xml:space="preserve">NA</w:t>
                  </w:r>
                </w:p>
              </w:tc>
              <w:tc>
                <w:tcPr/>
                <w:p>
                  <w:pPr>
                    <w:pStyle w:val="Compact"/>
                    <w:jc w:val="right"/>
                    <w:jc w:val="center"/>
                  </w:pPr>
                  <w:r>
                    <w:t xml:space="preserve">-0.755</w:t>
                  </w:r>
                </w:p>
              </w:tc>
              <w:tc>
                <w:tcPr/>
                <w:p>
                  <w:pPr>
                    <w:pStyle w:val="Compact"/>
                    <w:jc w:val="right"/>
                    <w:jc w:val="center"/>
                  </w:pPr>
                  <w:r>
                    <w:t xml:space="preserve">0.070</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SeasonSummer</w:t>
                  </w:r>
                </w:p>
              </w:tc>
              <w:tc>
                <w:tcPr/>
                <w:p>
                  <w:pPr>
                    <w:pStyle w:val="Compact"/>
                    <w:jc w:val="right"/>
                    <w:jc w:val="center"/>
                  </w:pPr>
                  <w:r>
                    <w:t xml:space="preserve">-0.211</w:t>
                  </w:r>
                </w:p>
              </w:tc>
              <w:tc>
                <w:tcPr/>
                <w:p>
                  <w:pPr>
                    <w:pStyle w:val="Compact"/>
                    <w:jc w:val="right"/>
                    <w:jc w:val="center"/>
                  </w:pPr>
                  <w:r>
                    <w:t xml:space="preserve">0.225</w:t>
                  </w:r>
                </w:p>
              </w:tc>
              <w:tc>
                <w:tcPr/>
                <w:p>
                  <w:pPr>
                    <w:pStyle w:val="Compact"/>
                    <w:jc w:val="right"/>
                    <w:jc w:val="center"/>
                  </w:pPr>
                  <w:r>
                    <w:t xml:space="preserve">-0.936</w:t>
                  </w:r>
                </w:p>
              </w:tc>
              <w:tc>
                <w:tcPr/>
                <w:p>
                  <w:pPr>
                    <w:pStyle w:val="Compact"/>
                    <w:jc w:val="right"/>
                    <w:jc w:val="center"/>
                  </w:pPr>
                  <w:r>
                    <w:t xml:space="preserve">0.349</w:t>
                  </w:r>
                </w:p>
              </w:tc>
              <w:tc>
                <w:tcPr/>
                <w:p>
                  <w:pPr>
                    <w:pStyle w:val="Compact"/>
                    <w:jc w:val="right"/>
                    <w:jc w:val="center"/>
                  </w:pPr>
                  <w:r>
                    <w:t xml:space="preserve">NA</w:t>
                  </w:r>
                </w:p>
              </w:tc>
              <w:tc>
                <w:tcPr/>
                <w:p>
                  <w:pPr>
                    <w:pStyle w:val="Compact"/>
                    <w:jc w:val="right"/>
                    <w:jc w:val="center"/>
                  </w:pPr>
                  <w:r>
                    <w:t xml:space="preserve">-0.652</w:t>
                  </w:r>
                </w:p>
              </w:tc>
              <w:tc>
                <w:tcPr/>
                <w:p>
                  <w:pPr>
                    <w:pStyle w:val="Compact"/>
                    <w:jc w:val="right"/>
                    <w:jc w:val="center"/>
                  </w:pPr>
                  <w:r>
                    <w:t xml:space="preserve">0.231</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SeasonWinter</w:t>
                  </w:r>
                </w:p>
              </w:tc>
              <w:tc>
                <w:tcPr/>
                <w:p>
                  <w:pPr>
                    <w:pStyle w:val="Compact"/>
                    <w:jc w:val="right"/>
                    <w:jc w:val="center"/>
                  </w:pPr>
                  <w:r>
                    <w:t xml:space="preserve">-0.942</w:t>
                  </w:r>
                </w:p>
              </w:tc>
              <w:tc>
                <w:tcPr/>
                <w:p>
                  <w:pPr>
                    <w:pStyle w:val="Compact"/>
                    <w:jc w:val="right"/>
                    <w:jc w:val="center"/>
                  </w:pPr>
                  <w:r>
                    <w:t xml:space="preserve">0.242</w:t>
                  </w:r>
                </w:p>
              </w:tc>
              <w:tc>
                <w:tcPr/>
                <w:p>
                  <w:pPr>
                    <w:pStyle w:val="Compact"/>
                    <w:jc w:val="right"/>
                    <w:jc w:val="center"/>
                  </w:pPr>
                  <w:r>
                    <w:t xml:space="preserve">-3.889</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-1.417</w:t>
                  </w:r>
                </w:p>
              </w:tc>
              <w:tc>
                <w:tcPr/>
                <w:p>
                  <w:pPr>
                    <w:pStyle w:val="Compact"/>
                    <w:jc w:val="right"/>
                    <w:jc w:val="center"/>
                  </w:pPr>
                  <w:r>
                    <w:t xml:space="preserve">-0.467</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-0.025</w:t>
                  </w:r>
                </w:p>
              </w:tc>
              <w:tc>
                <w:tcPr/>
                <w:p>
                  <w:pPr>
                    <w:pStyle w:val="Compact"/>
                    <w:jc w:val="right"/>
                    <w:jc w:val="center"/>
                  </w:pPr>
                  <w:r>
                    <w:t xml:space="preserve">0.101</w:t>
                  </w:r>
                </w:p>
              </w:tc>
              <w:tc>
                <w:tcPr/>
                <w:p>
                  <w:pPr>
                    <w:pStyle w:val="Compact"/>
                    <w:jc w:val="right"/>
                    <w:jc w:val="center"/>
                  </w:pPr>
                  <w:r>
                    <w:t xml:space="preserve">-0.251</w:t>
                  </w:r>
                </w:p>
              </w:tc>
              <w:tc>
                <w:tcPr/>
                <w:p>
                  <w:pPr>
                    <w:pStyle w:val="Compact"/>
                    <w:jc w:val="right"/>
                    <w:jc w:val="center"/>
                  </w:pPr>
                  <w:r>
                    <w:t xml:space="preserve">0.802</w:t>
                  </w:r>
                </w:p>
              </w:tc>
              <w:tc>
                <w:tcPr/>
                <w:p>
                  <w:pPr>
                    <w:pStyle w:val="Compact"/>
                    <w:jc w:val="right"/>
                    <w:jc w:val="center"/>
                  </w:pPr>
                  <w:r>
                    <w:t xml:space="preserve">0.902</w:t>
                  </w:r>
                </w:p>
              </w:tc>
              <w:tc>
                <w:tcPr/>
                <w:p>
                  <w:pPr>
                    <w:pStyle w:val="Compact"/>
                    <w:jc w:val="right"/>
                    <w:jc w:val="center"/>
                  </w:pPr>
                  <w:r>
                    <w:t xml:space="preserve">-0.223</w:t>
                  </w:r>
                </w:p>
              </w:tc>
              <w:tc>
                <w:tcPr/>
                <w:p>
                  <w:pPr>
                    <w:pStyle w:val="Compact"/>
                    <w:jc w:val="right"/>
                    <w:jc w:val="center"/>
                  </w:pPr>
                  <w:r>
                    <w:t xml:space="preserve">0.173</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3.370</w:t>
                  </w:r>
                </w:p>
              </w:tc>
              <w:tc>
                <w:tcPr/>
                <w:p>
                  <w:pPr>
                    <w:pStyle w:val="Compact"/>
                    <w:jc w:val="right"/>
                    <w:jc w:val="center"/>
                  </w:pPr>
                  <w:r>
                    <w:t xml:space="preserve">0.860</w:t>
                  </w:r>
                </w:p>
              </w:tc>
              <w:tc>
                <w:tcPr/>
                <w:p>
                  <w:pPr>
                    <w:pStyle w:val="Compact"/>
                    <w:jc w:val="right"/>
                    <w:jc w:val="center"/>
                  </w:pPr>
                  <w:r>
                    <w:t xml:space="preserve">3.917</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1.683</w:t>
                  </w:r>
                </w:p>
              </w:tc>
              <w:tc>
                <w:tcPr/>
                <w:p>
                  <w:pPr>
                    <w:pStyle w:val="Compact"/>
                    <w:jc w:val="right"/>
                    <w:jc w:val="center"/>
                  </w:pPr>
                  <w:r>
                    <w:t xml:space="preserve">5.056</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-0.184</w:t>
                  </w:r>
                </w:p>
              </w:tc>
              <w:tc>
                <w:tcPr/>
                <w:p>
                  <w:pPr>
                    <w:pStyle w:val="Compact"/>
                    <w:jc w:val="right"/>
                    <w:jc w:val="center"/>
                  </w:pPr>
                  <w:r>
                    <w:t xml:space="preserve">0.737</w:t>
                  </w:r>
                </w:p>
              </w:tc>
              <w:tc>
                <w:tcPr/>
                <w:p>
                  <w:pPr>
                    <w:pStyle w:val="Compact"/>
                    <w:jc w:val="right"/>
                    <w:jc w:val="center"/>
                  </w:pPr>
                  <w:r>
                    <w:t xml:space="preserve">-0.250</w:t>
                  </w:r>
                </w:p>
              </w:tc>
              <w:tc>
                <w:tcPr/>
                <w:p>
                  <w:pPr>
                    <w:pStyle w:val="Compact"/>
                    <w:jc w:val="right"/>
                    <w:jc w:val="center"/>
                  </w:pPr>
                  <w:r>
                    <w:t xml:space="preserve">0.803</w:t>
                  </w:r>
                </w:p>
              </w:tc>
              <w:tc>
                <w:tcPr/>
                <w:p>
                  <w:pPr>
                    <w:pStyle w:val="Compact"/>
                    <w:jc w:val="right"/>
                    <w:jc w:val="center"/>
                  </w:pPr>
                  <w:r>
                    <w:t xml:space="preserve">NA</w:t>
                  </w:r>
                </w:p>
              </w:tc>
              <w:tc>
                <w:tcPr/>
                <w:p>
                  <w:pPr>
                    <w:pStyle w:val="Compact"/>
                    <w:jc w:val="right"/>
                    <w:jc w:val="center"/>
                  </w:pPr>
                  <w:r>
                    <w:t xml:space="preserve">-1.630</w:t>
                  </w:r>
                </w:p>
              </w:tc>
              <w:tc>
                <w:tcPr/>
                <w:p>
                  <w:pPr>
                    <w:pStyle w:val="Compact"/>
                    <w:jc w:val="right"/>
                    <w:jc w:val="center"/>
                  </w:pPr>
                  <w:r>
                    <w:t xml:space="preserve">1.261</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-0.104</w:t>
                  </w:r>
                </w:p>
              </w:tc>
              <w:tc>
                <w:tcPr/>
                <w:p>
                  <w:pPr>
                    <w:pStyle w:val="Compact"/>
                    <w:jc w:val="right"/>
                    <w:jc w:val="center"/>
                  </w:pPr>
                  <w:r>
                    <w:t xml:space="preserve">0.117</w:t>
                  </w:r>
                </w:p>
              </w:tc>
              <w:tc>
                <w:tcPr/>
                <w:p>
                  <w:pPr>
                    <w:pStyle w:val="Compact"/>
                    <w:jc w:val="right"/>
                    <w:jc w:val="center"/>
                  </w:pPr>
                  <w:r>
                    <w:t xml:space="preserve">-0.891</w:t>
                  </w:r>
                </w:p>
              </w:tc>
              <w:tc>
                <w:tcPr/>
                <w:p>
                  <w:pPr>
                    <w:pStyle w:val="Compact"/>
                    <w:jc w:val="right"/>
                    <w:jc w:val="center"/>
                  </w:pPr>
                  <w:r>
                    <w:t xml:space="preserve">0.373</w:t>
                  </w:r>
                </w:p>
              </w:tc>
              <w:tc>
                <w:tcPr/>
                <w:p>
                  <w:pPr>
                    <w:pStyle w:val="Compact"/>
                    <w:jc w:val="right"/>
                    <w:jc w:val="center"/>
                  </w:pPr>
                  <w:r>
                    <w:t xml:space="preserve">NA</w:t>
                  </w:r>
                </w:p>
              </w:tc>
              <w:tc>
                <w:tcPr/>
                <w:p>
                  <w:pPr>
                    <w:pStyle w:val="Compact"/>
                    <w:jc w:val="right"/>
                    <w:jc w:val="center"/>
                  </w:pPr>
                  <w:r>
                    <w:t xml:space="preserve">-0.334</w:t>
                  </w:r>
                </w:p>
              </w:tc>
              <w:tc>
                <w:tcPr/>
                <w:p>
                  <w:pPr>
                    <w:pStyle w:val="Compact"/>
                    <w:jc w:val="right"/>
                    <w:jc w:val="center"/>
                  </w:pPr>
                  <w:r>
                    <w:t xml:space="preserve">0.125</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-0.040</w:t>
                  </w:r>
                </w:p>
              </w:tc>
              <w:tc>
                <w:tcPr/>
                <w:p>
                  <w:pPr>
                    <w:pStyle w:val="Compact"/>
                    <w:jc w:val="right"/>
                    <w:jc w:val="center"/>
                  </w:pPr>
                  <w:r>
                    <w:t xml:space="preserve">0.167</w:t>
                  </w:r>
                </w:p>
              </w:tc>
              <w:tc>
                <w:tcPr/>
                <w:p>
                  <w:pPr>
                    <w:pStyle w:val="Compact"/>
                    <w:jc w:val="right"/>
                    <w:jc w:val="center"/>
                  </w:pPr>
                  <w:r>
                    <w:t xml:space="preserve">-0.237</w:t>
                  </w:r>
                </w:p>
              </w:tc>
              <w:tc>
                <w:tcPr/>
                <w:p>
                  <w:pPr>
                    <w:pStyle w:val="Compact"/>
                    <w:jc w:val="right"/>
                    <w:jc w:val="center"/>
                  </w:pPr>
                  <w:r>
                    <w:t xml:space="preserve">0.812</w:t>
                  </w:r>
                </w:p>
              </w:tc>
              <w:tc>
                <w:tcPr/>
                <w:p>
                  <w:pPr>
                    <w:pStyle w:val="Compact"/>
                    <w:jc w:val="right"/>
                    <w:jc w:val="center"/>
                  </w:pPr>
                  <w:r>
                    <w:t xml:space="preserve">0.902</w:t>
                  </w:r>
                </w:p>
              </w:tc>
              <w:tc>
                <w:tcPr/>
                <w:p>
                  <w:pPr>
                    <w:pStyle w:val="Compact"/>
                    <w:jc w:val="right"/>
                    <w:jc w:val="center"/>
                  </w:pPr>
                  <w:r>
                    <w:t xml:space="preserve">-0.368</w:t>
                  </w:r>
                </w:p>
              </w:tc>
              <w:tc>
                <w:tcPr/>
                <w:p>
                  <w:pPr>
                    <w:pStyle w:val="Compact"/>
                    <w:jc w:val="right"/>
                    <w:jc w:val="center"/>
                  </w:pPr>
                  <w:r>
                    <w:t xml:space="preserve">0.288</w:t>
                  </w:r>
                </w:p>
              </w:tc>
            </w:tr>
          </w:tbl>
          <w:bookmarkEnd w:id="65"/>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6" w:name="tbl-residual-diagnostics-supp"/>
          <w:p>
            <w:pPr>
              <w:jc w:val="center"/>
            </w:pPr>
            <w:pPr>
              <w:jc w:val="left"/>
              <w:spacing w:before="200"/>
              <w:pStyle w:val="ImageCaption"/>
            </w:pPr>
            <w:r>
              <w:t xml:space="preserve">Table 2: DHARMa goodness-of-fit tests per model. p &lt; 0.05 indicates a significant departure from model assumptions (uniformity of residuals, over/under-dispersion, or excess outliers) and warrants closer inspection of the corresponding diagnostic plot above.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Model</w:t>
                  </w:r>
                </w:p>
              </w:tc>
              <w:tc>
                <w:tcPr/>
                <w:p>
                  <w:pPr>
                    <w:pStyle w:val="Compact"/>
                    <w:jc w:val="right"/>
                    <w:jc w:val="center"/>
                  </w:pPr>
                  <w:r>
                    <w:t xml:space="preserve">Uniformity_p</w:t>
                  </w:r>
                </w:p>
              </w:tc>
              <w:tc>
                <w:tcPr/>
                <w:p>
                  <w:pPr>
                    <w:pStyle w:val="Compact"/>
                    <w:jc w:val="right"/>
                    <w:jc w:val="center"/>
                  </w:pPr>
                  <w:r>
                    <w:t xml:space="preserve">Dispersion_p</w:t>
                  </w:r>
                </w:p>
              </w:tc>
              <w:tc>
                <w:tcPr/>
                <w:p>
                  <w:pPr>
                    <w:pStyle w:val="Compact"/>
                    <w:jc w:val="right"/>
                    <w:jc w:val="center"/>
                  </w:pPr>
                  <w:r>
                    <w:t xml:space="preserve">Outlier_p</w:t>
                  </w:r>
                </w:p>
              </w:tc>
            </w:tr>
            <w:tr>
              <w:tc>
                <w:tcPr/>
                <w:p>
                  <w:pPr>
                    <w:pStyle w:val="Compact"/>
                    <w:jc w:val="left"/>
                    <w:jc w:val="center"/>
                  </w:pPr>
                  <w:r>
                    <w:t xml:space="preserve">M2aac</w:t>
                  </w:r>
                </w:p>
              </w:tc>
              <w:tc>
                <w:tcPr/>
                <w:p>
                  <w:pPr>
                    <w:pStyle w:val="Compact"/>
                    <w:jc w:val="right"/>
                    <w:jc w:val="center"/>
                  </w:pPr>
                  <w:r>
                    <w:t xml:space="preserve">0.139</w:t>
                  </w:r>
                </w:p>
              </w:tc>
              <w:tc>
                <w:tcPr/>
                <w:p>
                  <w:pPr>
                    <w:pStyle w:val="Compact"/>
                    <w:jc w:val="right"/>
                    <w:jc w:val="center"/>
                  </w:pPr>
                  <w:r>
                    <w:t xml:space="preserve">0.952</w:t>
                  </w:r>
                </w:p>
              </w:tc>
              <w:tc>
                <w:tcPr/>
                <w:p>
                  <w:pPr>
                    <w:pStyle w:val="Compact"/>
                    <w:jc w:val="right"/>
                    <w:jc w:val="center"/>
                  </w:pPr>
                  <w:r>
                    <w:t xml:space="preserve">0.11</w:t>
                  </w:r>
                </w:p>
              </w:tc>
            </w:tr>
            <w:tr>
              <w:tc>
                <w:tcPr/>
                <w:p>
                  <w:pPr>
                    <w:pStyle w:val="Compact"/>
                    <w:jc w:val="left"/>
                    <w:jc w:val="center"/>
                  </w:pPr>
                  <w:r>
                    <w:t xml:space="preserve">M2abc</w:t>
                  </w:r>
                </w:p>
              </w:tc>
              <w:tc>
                <w:tcPr/>
                <w:p>
                  <w:pPr>
                    <w:pStyle w:val="Compact"/>
                    <w:jc w:val="right"/>
                    <w:jc w:val="center"/>
                  </w:pPr>
                  <w:r>
                    <w:t xml:space="preserve">0.004</w:t>
                  </w:r>
                </w:p>
              </w:tc>
              <w:tc>
                <w:tcPr/>
                <w:p>
                  <w:pPr>
                    <w:pStyle w:val="Compact"/>
                    <w:jc w:val="right"/>
                    <w:jc w:val="center"/>
                  </w:pPr>
                  <w:r>
                    <w:t xml:space="preserve">0.482</w:t>
                  </w:r>
                </w:p>
              </w:tc>
              <w:tc>
                <w:tcPr/>
                <w:p>
                  <w:pPr>
                    <w:pStyle w:val="Compact"/>
                    <w:jc w:val="right"/>
                    <w:jc w:val="center"/>
                  </w:pPr>
                  <w:r>
                    <w:t xml:space="preserve">1.00</w:t>
                  </w:r>
                </w:p>
              </w:tc>
            </w:tr>
            <w:tr>
              <w:tc>
                <w:tcPr/>
                <w:p>
                  <w:pPr>
                    <w:pStyle w:val="Compact"/>
                    <w:jc w:val="left"/>
                    <w:jc w:val="center"/>
                  </w:pPr>
                  <w:r>
                    <w:t xml:space="preserve">M2aoc</w:t>
                  </w:r>
                </w:p>
              </w:tc>
              <w:tc>
                <w:tcPr/>
                <w:p>
                  <w:pPr>
                    <w:pStyle w:val="Compact"/>
                    <w:jc w:val="right"/>
                    <w:jc w:val="center"/>
                  </w:pPr>
                  <w:r>
                    <w:t xml:space="preserve">0.289</w:t>
                  </w:r>
                </w:p>
              </w:tc>
              <w:tc>
                <w:tcPr/>
                <w:p>
                  <w:pPr>
                    <w:pStyle w:val="Compact"/>
                    <w:jc w:val="right"/>
                    <w:jc w:val="center"/>
                  </w:pPr>
                  <w:r>
                    <w:t xml:space="preserve">0.770</w:t>
                  </w:r>
                </w:p>
              </w:tc>
              <w:tc>
                <w:tcPr/>
                <w:p>
                  <w:pPr>
                    <w:pStyle w:val="Compact"/>
                    <w:jc w:val="right"/>
                    <w:jc w:val="center"/>
                  </w:pPr>
                  <w:r>
                    <w:t xml:space="preserve">1.00</w:t>
                  </w:r>
                </w:p>
              </w:tc>
            </w:tr>
            <w:tr>
              <w:tc>
                <w:tcPr/>
                <w:p>
                  <w:pPr>
                    <w:pStyle w:val="Compact"/>
                    <w:jc w:val="left"/>
                    <w:jc w:val="center"/>
                  </w:pPr>
                  <w:r>
                    <w:t xml:space="preserve">M2aak</w:t>
                  </w:r>
                </w:p>
              </w:tc>
              <w:tc>
                <w:tcPr/>
                <w:p>
                  <w:pPr>
                    <w:pStyle w:val="Compact"/>
                    <w:jc w:val="right"/>
                    <w:jc w:val="center"/>
                  </w:pPr>
                  <w:r>
                    <w:t xml:space="preserve">0.708</w:t>
                  </w:r>
                </w:p>
              </w:tc>
              <w:tc>
                <w:tcPr/>
                <w:p>
                  <w:pPr>
                    <w:pStyle w:val="Compact"/>
                    <w:jc w:val="right"/>
                    <w:jc w:val="center"/>
                  </w:pPr>
                  <w:r>
                    <w:t xml:space="preserve">0.906</w:t>
                  </w:r>
                </w:p>
              </w:tc>
              <w:tc>
                <w:tcPr/>
                <w:p>
                  <w:pPr>
                    <w:pStyle w:val="Compact"/>
                    <w:jc w:val="right"/>
                    <w:jc w:val="center"/>
                  </w:pPr>
                  <w:r>
                    <w:t xml:space="preserve">1.00</w:t>
                  </w:r>
                </w:p>
              </w:tc>
            </w:tr>
            <w:tr>
              <w:tc>
                <w:tcPr/>
                <w:p>
                  <w:pPr>
                    <w:pStyle w:val="Compact"/>
                    <w:jc w:val="left"/>
                    <w:jc w:val="center"/>
                  </w:pPr>
                  <w:r>
                    <w:t xml:space="preserve">M2abk</w:t>
                  </w:r>
                </w:p>
              </w:tc>
              <w:tc>
                <w:tcPr/>
                <w:p>
                  <w:pPr>
                    <w:pStyle w:val="Compact"/>
                    <w:jc w:val="right"/>
                    <w:jc w:val="center"/>
                  </w:pPr>
                  <w:r>
                    <w:t xml:space="preserve">0.886</w:t>
                  </w:r>
                </w:p>
              </w:tc>
              <w:tc>
                <w:tcPr/>
                <w:p>
                  <w:pPr>
                    <w:pStyle w:val="Compact"/>
                    <w:jc w:val="right"/>
                    <w:jc w:val="center"/>
                  </w:pPr>
                  <w:r>
                    <w:t xml:space="preserve">0.816</w:t>
                  </w:r>
                </w:p>
              </w:tc>
              <w:tc>
                <w:tcPr/>
                <w:p>
                  <w:pPr>
                    <w:pStyle w:val="Compact"/>
                    <w:jc w:val="right"/>
                    <w:jc w:val="center"/>
                  </w:pPr>
                  <w:r>
                    <w:t xml:space="preserve">1.00</w:t>
                  </w:r>
                </w:p>
              </w:tc>
            </w:tr>
            <w:tr>
              <w:tc>
                <w:tcPr/>
                <w:p>
                  <w:pPr>
                    <w:pStyle w:val="Compact"/>
                    <w:jc w:val="left"/>
                    <w:jc w:val="center"/>
                  </w:pPr>
                  <w:r>
                    <w:t xml:space="preserve">M2aok</w:t>
                  </w:r>
                </w:p>
              </w:tc>
              <w:tc>
                <w:tcPr/>
                <w:p>
                  <w:pPr>
                    <w:pStyle w:val="Compact"/>
                    <w:jc w:val="right"/>
                    <w:jc w:val="center"/>
                  </w:pPr>
                  <w:r>
                    <w:t xml:space="preserve">0.331</w:t>
                  </w:r>
                </w:p>
              </w:tc>
              <w:tc>
                <w:tcPr/>
                <w:p>
                  <w:pPr>
                    <w:pStyle w:val="Compact"/>
                    <w:jc w:val="right"/>
                    <w:jc w:val="center"/>
                  </w:pPr>
                  <w:r>
                    <w:t xml:space="preserve">0.952</w:t>
                  </w:r>
                </w:p>
              </w:tc>
              <w:tc>
                <w:tcPr/>
                <w:p>
                  <w:pPr>
                    <w:pStyle w:val="Compact"/>
                    <w:jc w:val="right"/>
                    <w:jc w:val="center"/>
                  </w:pPr>
                  <w:r>
                    <w:t xml:space="preserve">1.00</w:t>
                  </w:r>
                </w:p>
              </w:tc>
            </w:tr>
            <w:tr>
              <w:tc>
                <w:tcPr/>
                <w:p>
                  <w:pPr>
                    <w:pStyle w:val="Compact"/>
                    <w:jc w:val="left"/>
                    <w:jc w:val="center"/>
                  </w:pPr>
                  <w:r>
                    <w:t xml:space="preserve">M2bac</w:t>
                  </w:r>
                </w:p>
              </w:tc>
              <w:tc>
                <w:tcPr/>
                <w:p>
                  <w:pPr>
                    <w:pStyle w:val="Compact"/>
                    <w:jc w:val="right"/>
                    <w:jc w:val="center"/>
                  </w:pPr>
                  <w:r>
                    <w:t xml:space="preserve">0.024</w:t>
                  </w:r>
                </w:p>
              </w:tc>
              <w:tc>
                <w:tcPr/>
                <w:p>
                  <w:pPr>
                    <w:pStyle w:val="Compact"/>
                    <w:jc w:val="right"/>
                    <w:jc w:val="center"/>
                  </w:pPr>
                  <w:r>
                    <w:t xml:space="preserve">0.776</w:t>
                  </w:r>
                </w:p>
              </w:tc>
              <w:tc>
                <w:tcPr/>
                <w:p>
                  <w:pPr>
                    <w:pStyle w:val="Compact"/>
                    <w:jc w:val="right"/>
                    <w:jc w:val="center"/>
                  </w:pPr>
                  <w:r>
                    <w:t xml:space="preserve">1.00</w:t>
                  </w:r>
                </w:p>
              </w:tc>
            </w:tr>
            <w:tr>
              <w:tc>
                <w:tcPr/>
                <w:p>
                  <w:pPr>
                    <w:pStyle w:val="Compact"/>
                    <w:jc w:val="left"/>
                    <w:jc w:val="center"/>
                  </w:pPr>
                  <w:r>
                    <w:t xml:space="preserve">M2bbc</w:t>
                  </w:r>
                </w:p>
              </w:tc>
              <w:tc>
                <w:tcPr/>
                <w:p>
                  <w:pPr>
                    <w:pStyle w:val="Compact"/>
                    <w:jc w:val="right"/>
                    <w:jc w:val="center"/>
                  </w:pPr>
                  <w:r>
                    <w:t xml:space="preserve">0.109</w:t>
                  </w:r>
                </w:p>
              </w:tc>
              <w:tc>
                <w:tcPr/>
                <w:p>
                  <w:pPr>
                    <w:pStyle w:val="Compact"/>
                    <w:jc w:val="right"/>
                    <w:jc w:val="center"/>
                  </w:pPr>
                  <w:r>
                    <w:t xml:space="preserve">0.596</w:t>
                  </w:r>
                </w:p>
              </w:tc>
              <w:tc>
                <w:tcPr/>
                <w:p>
                  <w:pPr>
                    <w:pStyle w:val="Compact"/>
                    <w:jc w:val="right"/>
                    <w:jc w:val="center"/>
                  </w:pPr>
                  <w:r>
                    <w:t xml:space="preserve">1.00</w:t>
                  </w:r>
                </w:p>
              </w:tc>
            </w:tr>
            <w:tr>
              <w:tc>
                <w:tcPr/>
                <w:p>
                  <w:pPr>
                    <w:pStyle w:val="Compact"/>
                    <w:jc w:val="left"/>
                    <w:jc w:val="center"/>
                  </w:pPr>
                  <w:r>
                    <w:t xml:space="preserve">M2boc</w:t>
                  </w:r>
                </w:p>
              </w:tc>
              <w:tc>
                <w:tcPr/>
                <w:p>
                  <w:pPr>
                    <w:pStyle w:val="Compact"/>
                    <w:jc w:val="right"/>
                    <w:jc w:val="center"/>
                  </w:pPr>
                  <w:r>
                    <w:t xml:space="preserve">0.084</w:t>
                  </w:r>
                </w:p>
              </w:tc>
              <w:tc>
                <w:tcPr/>
                <w:p>
                  <w:pPr>
                    <w:pStyle w:val="Compact"/>
                    <w:jc w:val="right"/>
                    <w:jc w:val="center"/>
                  </w:pPr>
                  <w:r>
                    <w:t xml:space="preserve">0.638</w:t>
                  </w:r>
                </w:p>
              </w:tc>
              <w:tc>
                <w:tcPr/>
                <w:p>
                  <w:pPr>
                    <w:pStyle w:val="Compact"/>
                    <w:jc w:val="right"/>
                    <w:jc w:val="center"/>
                  </w:pPr>
                  <w:r>
                    <w:t xml:space="preserve">1.00</w:t>
                  </w:r>
                </w:p>
              </w:tc>
            </w:tr>
            <w:tr>
              <w:tc>
                <w:tcPr/>
                <w:p>
                  <w:pPr>
                    <w:pStyle w:val="Compact"/>
                    <w:jc w:val="left"/>
                    <w:jc w:val="center"/>
                  </w:pPr>
                  <w:r>
                    <w:t xml:space="preserve">M2bak</w:t>
                  </w:r>
                </w:p>
              </w:tc>
              <w:tc>
                <w:tcPr/>
                <w:p>
                  <w:pPr>
                    <w:pStyle w:val="Compact"/>
                    <w:jc w:val="right"/>
                    <w:jc w:val="center"/>
                  </w:pPr>
                  <w:r>
                    <w:t xml:space="preserve">0.796</w:t>
                  </w:r>
                </w:p>
              </w:tc>
              <w:tc>
                <w:tcPr/>
                <w:p>
                  <w:pPr>
                    <w:pStyle w:val="Compact"/>
                    <w:jc w:val="right"/>
                    <w:jc w:val="center"/>
                  </w:pPr>
                  <w:r>
                    <w:t xml:space="preserve">0.740</w:t>
                  </w:r>
                </w:p>
              </w:tc>
              <w:tc>
                <w:tcPr/>
                <w:p>
                  <w:pPr>
                    <w:pStyle w:val="Compact"/>
                    <w:jc w:val="right"/>
                    <w:jc w:val="center"/>
                  </w:pPr>
                  <w:r>
                    <w:t xml:space="preserve">1.00</w:t>
                  </w:r>
                </w:p>
              </w:tc>
            </w:tr>
            <w:tr>
              <w:tc>
                <w:tcPr/>
                <w:p>
                  <w:pPr>
                    <w:pStyle w:val="Compact"/>
                    <w:jc w:val="left"/>
                    <w:jc w:val="center"/>
                  </w:pPr>
                  <w:r>
                    <w:t xml:space="preserve">M2bbk</w:t>
                  </w:r>
                </w:p>
              </w:tc>
              <w:tc>
                <w:tcPr/>
                <w:p>
                  <w:pPr>
                    <w:pStyle w:val="Compact"/>
                    <w:jc w:val="right"/>
                    <w:jc w:val="center"/>
                  </w:pPr>
                  <w:r>
                    <w:t xml:space="preserve">0.505</w:t>
                  </w:r>
                </w:p>
              </w:tc>
              <w:tc>
                <w:tcPr/>
                <w:p>
                  <w:pPr>
                    <w:pStyle w:val="Compact"/>
                    <w:jc w:val="right"/>
                    <w:jc w:val="center"/>
                  </w:pPr>
                  <w:r>
                    <w:t xml:space="preserve">0.704</w:t>
                  </w:r>
                </w:p>
              </w:tc>
              <w:tc>
                <w:tcPr/>
                <w:p>
                  <w:pPr>
                    <w:pStyle w:val="Compact"/>
                    <w:jc w:val="right"/>
                    <w:jc w:val="center"/>
                  </w:pPr>
                  <w:r>
                    <w:t xml:space="preserve">1.00</w:t>
                  </w:r>
                </w:p>
              </w:tc>
            </w:tr>
            <w:tr>
              <w:tc>
                <w:tcPr/>
                <w:p>
                  <w:pPr>
                    <w:pStyle w:val="Compact"/>
                    <w:jc w:val="left"/>
                    <w:jc w:val="center"/>
                  </w:pPr>
                  <w:r>
                    <w:t xml:space="preserve">M2bok</w:t>
                  </w:r>
                </w:p>
              </w:tc>
              <w:tc>
                <w:tcPr/>
                <w:p>
                  <w:pPr>
                    <w:pStyle w:val="Compact"/>
                    <w:jc w:val="right"/>
                    <w:jc w:val="center"/>
                  </w:pPr>
                  <w:r>
                    <w:t xml:space="preserve">0.468</w:t>
                  </w:r>
                </w:p>
              </w:tc>
              <w:tc>
                <w:tcPr/>
                <w:p>
                  <w:pPr>
                    <w:pStyle w:val="Compact"/>
                    <w:jc w:val="right"/>
                    <w:jc w:val="center"/>
                  </w:pPr>
                  <w:r>
                    <w:t xml:space="preserve">0.896</w:t>
                  </w:r>
                </w:p>
              </w:tc>
              <w:tc>
                <w:tcPr/>
                <w:p>
                  <w:pPr>
                    <w:pStyle w:val="Compact"/>
                    <w:jc w:val="right"/>
                    <w:jc w:val="center"/>
                  </w:pPr>
                  <w:r>
                    <w:t xml:space="preserve">1.00</w:t>
                  </w:r>
                </w:p>
              </w:tc>
            </w:tr>
            <w:tr>
              <w:tc>
                <w:tcPr/>
                <w:p>
                  <w:pPr>
                    <w:pStyle w:val="Compact"/>
                    <w:jc w:val="left"/>
                    <w:jc w:val="center"/>
                  </w:pPr>
                  <w:r>
                    <w:t xml:space="preserve">M3aac</w:t>
                  </w:r>
                </w:p>
              </w:tc>
              <w:tc>
                <w:tcPr/>
                <w:p>
                  <w:pPr>
                    <w:pStyle w:val="Compact"/>
                    <w:jc w:val="right"/>
                    <w:jc w:val="center"/>
                  </w:pPr>
                  <w:r>
                    <w:t xml:space="preserve">0.860</w:t>
                  </w:r>
                </w:p>
              </w:tc>
              <w:tc>
                <w:tcPr/>
                <w:p>
                  <w:pPr>
                    <w:pStyle w:val="Compact"/>
                    <w:jc w:val="right"/>
                    <w:jc w:val="center"/>
                  </w:pPr>
                  <w:r>
                    <w:t xml:space="preserve">0.606</w:t>
                  </w:r>
                </w:p>
              </w:tc>
              <w:tc>
                <w:tcPr/>
                <w:p>
                  <w:pPr>
                    <w:pStyle w:val="Compact"/>
                    <w:jc w:val="right"/>
                    <w:jc w:val="center"/>
                  </w:pPr>
                  <w:r>
                    <w:t xml:space="preserve">1.00</w:t>
                  </w:r>
                </w:p>
              </w:tc>
            </w:tr>
            <w:tr>
              <w:tc>
                <w:tcPr/>
                <w:p>
                  <w:pPr>
                    <w:pStyle w:val="Compact"/>
                    <w:jc w:val="left"/>
                    <w:jc w:val="center"/>
                  </w:pPr>
                  <w:r>
                    <w:t xml:space="preserve">M3abc</w:t>
                  </w:r>
                </w:p>
              </w:tc>
              <w:tc>
                <w:tcPr/>
                <w:p>
                  <w:pPr>
                    <w:pStyle w:val="Compact"/>
                    <w:jc w:val="right"/>
                    <w:jc w:val="center"/>
                  </w:pPr>
                  <w:r>
                    <w:t xml:space="preserve">0.551</w:t>
                  </w:r>
                </w:p>
              </w:tc>
              <w:tc>
                <w:tcPr/>
                <w:p>
                  <w:pPr>
                    <w:pStyle w:val="Compact"/>
                    <w:jc w:val="right"/>
                    <w:jc w:val="center"/>
                  </w:pPr>
                  <w:r>
                    <w:t xml:space="preserve">0.346</w:t>
                  </w:r>
                </w:p>
              </w:tc>
              <w:tc>
                <w:tcPr/>
                <w:p>
                  <w:pPr>
                    <w:pStyle w:val="Compact"/>
                    <w:jc w:val="right"/>
                    <w:jc w:val="center"/>
                  </w:pPr>
                  <w:r>
                    <w:t xml:space="preserve">1.00</w:t>
                  </w:r>
                </w:p>
              </w:tc>
            </w:tr>
            <w:tr>
              <w:tc>
                <w:tcPr/>
                <w:p>
                  <w:pPr>
                    <w:pStyle w:val="Compact"/>
                    <w:jc w:val="left"/>
                    <w:jc w:val="center"/>
                  </w:pPr>
                  <w:r>
                    <w:t xml:space="preserve">M3aak</w:t>
                  </w:r>
                </w:p>
              </w:tc>
              <w:tc>
                <w:tcPr/>
                <w:p>
                  <w:pPr>
                    <w:pStyle w:val="Compact"/>
                    <w:jc w:val="right"/>
                    <w:jc w:val="center"/>
                  </w:pPr>
                  <w:r>
                    <w:t xml:space="preserve">0.618</w:t>
                  </w:r>
                </w:p>
              </w:tc>
              <w:tc>
                <w:tcPr/>
                <w:p>
                  <w:pPr>
                    <w:pStyle w:val="Compact"/>
                    <w:jc w:val="right"/>
                    <w:jc w:val="center"/>
                  </w:pPr>
                  <w:r>
                    <w:t xml:space="preserve">0.910</w:t>
                  </w:r>
                </w:p>
              </w:tc>
              <w:tc>
                <w:tcPr/>
                <w:p>
                  <w:pPr>
                    <w:pStyle w:val="Compact"/>
                    <w:jc w:val="right"/>
                    <w:jc w:val="center"/>
                  </w:pPr>
                  <w:r>
                    <w:t xml:space="preserve">1.00</w:t>
                  </w:r>
                </w:p>
              </w:tc>
            </w:tr>
            <w:tr>
              <w:tc>
                <w:tcPr/>
                <w:p>
                  <w:pPr>
                    <w:pStyle w:val="Compact"/>
                    <w:jc w:val="left"/>
                    <w:jc w:val="center"/>
                  </w:pPr>
                  <w:r>
                    <w:t xml:space="preserve">M3abk</w:t>
                  </w:r>
                </w:p>
              </w:tc>
              <w:tc>
                <w:tcPr/>
                <w:p>
                  <w:pPr>
                    <w:pStyle w:val="Compact"/>
                    <w:jc w:val="right"/>
                    <w:jc w:val="center"/>
                  </w:pPr>
                  <w:r>
                    <w:t xml:space="preserve">0.994</w:t>
                  </w:r>
                </w:p>
              </w:tc>
              <w:tc>
                <w:tcPr/>
                <w:p>
                  <w:pPr>
                    <w:pStyle w:val="Compact"/>
                    <w:jc w:val="right"/>
                    <w:jc w:val="center"/>
                  </w:pPr>
                  <w:r>
                    <w:t xml:space="preserve">0.724</w:t>
                  </w:r>
                </w:p>
              </w:tc>
              <w:tc>
                <w:tcPr/>
                <w:p>
                  <w:pPr>
                    <w:pStyle w:val="Compact"/>
                    <w:jc w:val="right"/>
                    <w:jc w:val="center"/>
                  </w:pPr>
                  <w:r>
                    <w:t xml:space="preserve">1.00</w:t>
                  </w:r>
                </w:p>
              </w:tc>
            </w:tr>
            <w:tr>
              <w:tc>
                <w:tcPr/>
                <w:p>
                  <w:pPr>
                    <w:pStyle w:val="Compact"/>
                    <w:jc w:val="left"/>
                    <w:jc w:val="center"/>
                  </w:pPr>
                  <w:r>
                    <w:t xml:space="preserve">M3bbc</w:t>
                  </w:r>
                </w:p>
              </w:tc>
              <w:tc>
                <w:tcPr/>
                <w:p>
                  <w:pPr>
                    <w:pStyle w:val="Compact"/>
                    <w:jc w:val="right"/>
                    <w:jc w:val="center"/>
                  </w:pPr>
                  <w:r>
                    <w:t xml:space="preserve">0.885</w:t>
                  </w:r>
                </w:p>
              </w:tc>
              <w:tc>
                <w:tcPr/>
                <w:p>
                  <w:pPr>
                    <w:pStyle w:val="Compact"/>
                    <w:jc w:val="right"/>
                    <w:jc w:val="center"/>
                  </w:pPr>
                  <w:r>
                    <w:t xml:space="preserve">0.748</w:t>
                  </w:r>
                </w:p>
              </w:tc>
              <w:tc>
                <w:tcPr/>
                <w:p>
                  <w:pPr>
                    <w:pStyle w:val="Compact"/>
                    <w:jc w:val="right"/>
                    <w:jc w:val="center"/>
                  </w:pPr>
                  <w:r>
                    <w:t xml:space="preserve">1.00</w:t>
                  </w:r>
                </w:p>
              </w:tc>
            </w:tr>
            <w:tr>
              <w:tc>
                <w:tcPr/>
                <w:p>
                  <w:pPr>
                    <w:pStyle w:val="Compact"/>
                    <w:jc w:val="left"/>
                    <w:jc w:val="center"/>
                  </w:pPr>
                  <w:r>
                    <w:t xml:space="preserve">M3bak</w:t>
                  </w:r>
                </w:p>
              </w:tc>
              <w:tc>
                <w:tcPr/>
                <w:p>
                  <w:pPr>
                    <w:pStyle w:val="Compact"/>
                    <w:jc w:val="right"/>
                    <w:jc w:val="center"/>
                  </w:pPr>
                  <w:r>
                    <w:t xml:space="preserve">0.959</w:t>
                  </w:r>
                </w:p>
              </w:tc>
              <w:tc>
                <w:tcPr/>
                <w:p>
                  <w:pPr>
                    <w:pStyle w:val="Compact"/>
                    <w:jc w:val="right"/>
                    <w:jc w:val="center"/>
                  </w:pPr>
                  <w:r>
                    <w:t xml:space="preserve">0.878</w:t>
                  </w:r>
                </w:p>
              </w:tc>
              <w:tc>
                <w:tcPr/>
                <w:p>
                  <w:pPr>
                    <w:pStyle w:val="Compact"/>
                    <w:jc w:val="right"/>
                    <w:jc w:val="center"/>
                  </w:pPr>
                  <w:r>
                    <w:t xml:space="preserve">1.00</w:t>
                  </w:r>
                </w:p>
              </w:tc>
            </w:tr>
            <w:tr>
              <w:tc>
                <w:tcPr/>
                <w:p>
                  <w:pPr>
                    <w:pStyle w:val="Compact"/>
                    <w:jc w:val="left"/>
                    <w:jc w:val="center"/>
                  </w:pPr>
                  <w:r>
                    <w:t xml:space="preserve">M3bbk</w:t>
                  </w:r>
                </w:p>
              </w:tc>
              <w:tc>
                <w:tcPr/>
                <w:p>
                  <w:pPr>
                    <w:pStyle w:val="Compact"/>
                    <w:jc w:val="right"/>
                    <w:jc w:val="center"/>
                  </w:pPr>
                  <w:r>
                    <w:t xml:space="preserve">0.872</w:t>
                  </w:r>
                </w:p>
              </w:tc>
              <w:tc>
                <w:tcPr/>
                <w:p>
                  <w:pPr>
                    <w:pStyle w:val="Compact"/>
                    <w:jc w:val="right"/>
                    <w:jc w:val="center"/>
                  </w:pPr>
                  <w:r>
                    <w:t xml:space="preserve">0.896</w:t>
                  </w:r>
                </w:p>
              </w:tc>
              <w:tc>
                <w:tcPr/>
                <w:p>
                  <w:pPr>
                    <w:pStyle w:val="Compact"/>
                    <w:jc w:val="right"/>
                    <w:jc w:val="center"/>
                  </w:pPr>
                  <w:r>
                    <w:t xml:space="preserve">1.00</w:t>
                  </w:r>
                </w:p>
              </w:tc>
            </w:tr>
          </w:tbl>
          <w:bookmarkEnd w:id="66"/>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Article Notebook</w:t>
        </w:r>
      </w:hyperlink>
    </w:p>
    <w:bookmarkStart w:id="152" w:name="refs"/>
    <w:bookmarkStart w:id="68"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w:t>
      </w:r>
      <w:r>
        <w:t xml:space="preserve"> </w:t>
      </w:r>
      <w:hyperlink r:id="rId67">
        <w:r>
          <w:rPr>
            <w:rStyle w:val="Hyperlink"/>
          </w:rPr>
          <w:t xml:space="preserve">https://doi.org/10.1674/0003-0031(2007)158[85:daieoc]2.0.co;2</w:t>
        </w:r>
      </w:hyperlink>
    </w:p>
    <w:bookmarkEnd w:id="68"/>
    <w:bookmarkStart w:id="70" w:name="ref-Burnham2002"/>
    <w:p>
      <w:pPr>
        <w:pStyle w:val="Bibliography"/>
      </w:pPr>
      <w:hyperlink r:id="rId69">
        <w:r>
          <w:rPr>
            <w:rStyle w:val="Hyperlink"/>
          </w:rPr>
          <w:t xml:space="preserve">Advanced issues and deeper insights</w:t>
        </w:r>
      </w:hyperlink>
      <w:r>
        <w:t xml:space="preserve"> </w:t>
      </w:r>
      <w:r>
        <w:t xml:space="preserve">(2002). In:</w:t>
      </w:r>
      <w:r>
        <w:t xml:space="preserve"> </w:t>
      </w:r>
      <w:r>
        <w:rPr>
          <w:i/>
          <w:iCs/>
        </w:rPr>
        <w:t xml:space="preserve">Model selection and multimodel inference: A practical information-theoretic approach</w:t>
      </w:r>
      <w:r>
        <w:t xml:space="preserve">. pp. 267–351. Springer, New York, NY.</w:t>
      </w:r>
    </w:p>
    <w:bookmarkEnd w:id="70"/>
    <w:bookmarkStart w:id="71" w:name="ref-Barnes1996"/>
    <w:p>
      <w:pPr>
        <w:pStyle w:val="Bibliography"/>
      </w:pPr>
      <w:r>
        <w:t xml:space="preserve">Barnes G.E. (1996).</w:t>
      </w:r>
      <w:r>
        <w:t xml:space="preserve"> </w:t>
      </w:r>
      <w:r>
        <w:rPr>
          <w:i/>
          <w:iCs/>
        </w:rPr>
        <w:t xml:space="preserve">The biology and general ecology of the brown bullhead catfish (</w:t>
      </w:r>
      <w:r>
        <w:rPr>
          <w:i/>
          <w:i/>
          <w:iCs/>
          <w:iCs/>
        </w:rPr>
        <w:t xml:space="preserve">ameiurus nebulosus</w:t>
      </w:r>
      <w:r>
        <w:rPr>
          <w:i/>
          <w:iCs/>
        </w:rPr>
        <w:t xml:space="preserve">) in</w:t>
      </w:r>
      <w:r>
        <w:rPr>
          <w:i/>
          <w:iCs/>
        </w:rPr>
        <w:t xml:space="preserve"> </w:t>
      </w:r>
      <w:r>
        <w:rPr>
          <w:i/>
          <w:iCs/>
        </w:rPr>
        <w:t xml:space="preserve">Lake Taupo</w:t>
      </w:r>
      <w:r>
        <w:t xml:space="preserve">. University of Waikato, Hamilton, New Zealand.</w:t>
      </w:r>
    </w:p>
    <w:bookmarkEnd w:id="71"/>
    <w:bookmarkStart w:id="72" w:name="ref-Barnes2003"/>
    <w:p>
      <w:pPr>
        <w:pStyle w:val="Bibliography"/>
      </w:pPr>
      <w:r>
        <w:t xml:space="preserve">Barnes G.E. &amp; Hicks B.J. (2003). Brown bullhead catfish (</w:t>
      </w:r>
      <w:r>
        <w:rPr>
          <w:i/>
          <w:iCs/>
        </w:rPr>
        <w:t xml:space="preserve">Ameiurus nebulosus</w:t>
      </w:r>
      <w:r>
        <w:t xml:space="preserve">) in</w:t>
      </w:r>
      <w:r>
        <w:t xml:space="preserve"> </w:t>
      </w:r>
      <w:r>
        <w:t xml:space="preserve">Lake Taupo</w:t>
      </w:r>
      <w:r>
        <w:t xml:space="preserve">. In:</w:t>
      </w:r>
      <w:r>
        <w:t xml:space="preserve"> </w:t>
      </w:r>
      <w:r>
        <w:rPr>
          <w:i/>
          <w:iCs/>
        </w:rPr>
        <w:t xml:space="preserve">Managing invasive freshwater fish in</w:t>
      </w:r>
      <w:r>
        <w:rPr>
          <w:i/>
          <w:iCs/>
        </w:rPr>
        <w:t xml:space="preserve"> </w:t>
      </w:r>
      <w:r>
        <w:rPr>
          <w:i/>
          <w:iCs/>
        </w:rPr>
        <w:t xml:space="preserve">New Zealand</w:t>
      </w:r>
      <w:r>
        <w:rPr>
          <w:i/>
          <w:iCs/>
        </w:rPr>
        <w:t xml:space="preserve">: Proceedings of a workshop hosted by</w:t>
      </w:r>
      <w:r>
        <w:rPr>
          <w:i/>
          <w:iCs/>
        </w:rPr>
        <w:t xml:space="preserve"> </w:t>
      </w:r>
      <w:r>
        <w:rPr>
          <w:i/>
          <w:iCs/>
        </w:rPr>
        <w:t xml:space="preserve">Department of Conservation</w:t>
      </w:r>
      <w:r>
        <w:rPr>
          <w:i/>
          <w:iCs/>
        </w:rPr>
        <w:t xml:space="preserve">, 10-12 may 2001,</w:t>
      </w:r>
      <w:r>
        <w:rPr>
          <w:i/>
          <w:iCs/>
        </w:rPr>
        <w:t xml:space="preserve"> </w:t>
      </w:r>
      <w:r>
        <w:rPr>
          <w:i/>
          <w:iCs/>
        </w:rPr>
        <w:t xml:space="preserve">Hamilton</w:t>
      </w:r>
      <w:r>
        <w:t xml:space="preserve">. Department of Conservation.</w:t>
      </w:r>
    </w:p>
    <w:bookmarkEnd w:id="72"/>
    <w:bookmarkStart w:id="74" w:name="ref-Brooks2017"/>
    <w:p>
      <w:pPr>
        <w:pStyle w:val="Bibliography"/>
      </w:pPr>
      <w:r>
        <w:t xml:space="preserve">Brooks M., Bolker B., Kristensen K., Maechler M., Magnusson A., Skaug H.,</w:t>
      </w:r>
      <w:r>
        <w:t xml:space="preserve"> </w:t>
      </w:r>
      <w:r>
        <w:rPr>
          <w:i/>
          <w:iCs/>
        </w:rPr>
        <w:t xml:space="preserve">et al.</w:t>
      </w:r>
      <w:r>
        <w:t xml:space="preserve"> </w:t>
      </w:r>
      <w:r>
        <w:t xml:space="preserve">(2017).</w:t>
      </w:r>
      <w:r>
        <w:t xml:space="preserve"> </w:t>
      </w:r>
      <w:hyperlink r:id="rId73">
        <w:r>
          <w:rPr>
            <w:rStyle w:val="Hyperlink"/>
          </w:rPr>
          <w:t xml:space="preserve">glmmTMB: Generalized linear mixed models using template model builder</w:t>
        </w:r>
      </w:hyperlink>
      <w:r>
        <w:t xml:space="preserve">.</w:t>
      </w:r>
      <w:r>
        <w:t xml:space="preserve"> </w:t>
      </w:r>
      <w:r>
        <w:rPr>
          <w:i/>
          <w:iCs/>
        </w:rPr>
        <w:t xml:space="preserve">CRAN: Contributed Packages</w:t>
      </w:r>
    </w:p>
    <w:bookmarkEnd w:id="74"/>
    <w:bookmarkStart w:id="75" w:name="ref-Collier1997"/>
    <w:p>
      <w:pPr>
        <w:pStyle w:val="Bibliography"/>
      </w:pPr>
      <w:r>
        <w:t xml:space="preserve">Collier K.J., Parkyn S.M. &amp; Rabeni C.F. (1997). Koura: A keystone species.</w:t>
      </w:r>
      <w:r>
        <w:t xml:space="preserve"> </w:t>
      </w:r>
      <w:r>
        <w:rPr>
          <w:i/>
          <w:iCs/>
        </w:rPr>
        <w:t xml:space="preserve">Water and Atmosphere</w:t>
      </w:r>
      <w:r>
        <w:t xml:space="preserve"> </w:t>
      </w:r>
      <w:r>
        <w:rPr>
          <w:b/>
          <w:bCs/>
        </w:rPr>
        <w:t xml:space="preserve">5</w:t>
      </w:r>
      <w:r>
        <w:t xml:space="preserve">, 18–20</w:t>
      </w:r>
    </w:p>
    <w:bookmarkEnd w:id="75"/>
    <w:bookmarkStart w:id="77"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w:t>
      </w:r>
      <w:r>
        <w:t xml:space="preserve"> </w:t>
      </w:r>
      <w:r>
        <w:rPr>
          <w:i/>
          <w:iCs/>
        </w:rPr>
        <w:t xml:space="preserve">Hydrobiologia</w:t>
      </w:r>
      <w:r>
        <w:t xml:space="preserve"> </w:t>
      </w:r>
      <w:r>
        <w:rPr>
          <w:b/>
          <w:bCs/>
        </w:rPr>
        <w:t xml:space="preserve">483</w:t>
      </w:r>
      <w:r>
        <w:t xml:space="preserve">, 129–135.</w:t>
      </w:r>
      <w:r>
        <w:t xml:space="preserve"> </w:t>
      </w:r>
      <w:hyperlink r:id="rId76">
        <w:r>
          <w:rPr>
            <w:rStyle w:val="Hyperlink"/>
          </w:rPr>
          <w:t xml:space="preserve">https://doi.org/10.1007/978-94-017-0771-8_15</w:t>
        </w:r>
      </w:hyperlink>
    </w:p>
    <w:bookmarkEnd w:id="77"/>
    <w:bookmarkStart w:id="78" w:name="ref-Devcich1979"/>
    <w:p>
      <w:pPr>
        <w:pStyle w:val="Bibliography"/>
      </w:pPr>
      <w:r>
        <w:t xml:space="preserve">Devcich A.A. (1979).</w:t>
      </w:r>
      <w:r>
        <w:t xml:space="preserve"> </w:t>
      </w:r>
      <w:r>
        <w:rPr>
          <w:i/>
          <w:iCs/>
        </w:rPr>
        <w:t xml:space="preserve">An ecological study of</w:t>
      </w:r>
      <w:r>
        <w:rPr>
          <w:i/>
          <w:iCs/>
        </w:rPr>
        <w:t xml:space="preserve"> </w:t>
      </w:r>
      <w:r>
        <w:rPr>
          <w:i/>
          <w:i/>
          <w:iCs/>
          <w:iCs/>
        </w:rPr>
        <w:t xml:space="preserve">Paranephrops planifrons</w:t>
      </w:r>
      <w:r>
        <w:rPr>
          <w:i/>
          <w:iCs/>
        </w:rPr>
        <w:t xml:space="preserve"> </w:t>
      </w:r>
      <w:r>
        <w:rPr>
          <w:i/>
          <w:iCs/>
        </w:rPr>
        <w:t xml:space="preserve">White</w:t>
      </w:r>
      <w:r>
        <w:rPr>
          <w:i/>
          <w:iCs/>
        </w:rPr>
        <w:t xml:space="preserve"> </w:t>
      </w:r>
      <w:r>
        <w:rPr>
          <w:i/>
          <w:iCs/>
        </w:rPr>
        <w:t xml:space="preserve">(</w:t>
      </w:r>
      <w:r>
        <w:rPr>
          <w:i/>
          <w:iCs/>
        </w:rPr>
        <w:t xml:space="preserve">Decapoda</w:t>
      </w:r>
      <w:r>
        <w:rPr>
          <w:i/>
          <w:iCs/>
        </w:rPr>
        <w:t xml:space="preserve"> </w:t>
      </w:r>
      <w:r>
        <w:rPr>
          <w:i/>
          <w:iCs/>
        </w:rPr>
        <w:t xml:space="preserve">:</w:t>
      </w:r>
      <w:r>
        <w:rPr>
          <w:i/>
          <w:iCs/>
        </w:rPr>
        <w:t xml:space="preserve"> </w:t>
      </w:r>
      <w:r>
        <w:rPr>
          <w:i/>
          <w:iCs/>
        </w:rPr>
        <w:t xml:space="preserve">Parastacidae</w:t>
      </w:r>
      <w:r>
        <w:rPr>
          <w:i/>
          <w:iCs/>
        </w:rPr>
        <w:t xml:space="preserve">) in</w:t>
      </w:r>
      <w:r>
        <w:rPr>
          <w:i/>
          <w:iCs/>
        </w:rPr>
        <w:t xml:space="preserve"> </w:t>
      </w:r>
      <w:r>
        <w:rPr>
          <w:i/>
          <w:iCs/>
        </w:rPr>
        <w:t xml:space="preserve">Lake Rotoiti</w:t>
      </w:r>
      <w:r>
        <w:rPr>
          <w:i/>
          <w:iCs/>
        </w:rPr>
        <w:t xml:space="preserve">,</w:t>
      </w:r>
      <w:r>
        <w:rPr>
          <w:i/>
          <w:iCs/>
        </w:rPr>
        <w:t xml:space="preserve"> </w:t>
      </w:r>
      <w:r>
        <w:rPr>
          <w:i/>
          <w:iCs/>
        </w:rPr>
        <w:t xml:space="preserve">North Island</w:t>
      </w:r>
      <w:r>
        <w:t xml:space="preserve">. University of Waikato, Hamilton, New Zealand.</w:t>
      </w:r>
    </w:p>
    <w:bookmarkEnd w:id="78"/>
    <w:bookmarkStart w:id="80" w:name="ref-Francis2019"/>
    <w:p>
      <w:pPr>
        <w:pStyle w:val="Bibliography"/>
      </w:pPr>
      <w:r>
        <w:t xml:space="preserve">Francis L.B. (2019).</w:t>
      </w:r>
      <w:r>
        <w:t xml:space="preserve"> </w:t>
      </w:r>
      <w:hyperlink r:id="rId79">
        <w:r>
          <w:rPr>
            <w:rStyle w:val="Hyperlink"/>
            <w:i/>
            <w:iCs/>
          </w:rPr>
          <w:t xml:space="preserve">Evaluating the effects of invasive brown bullhead catfish (</w:t>
        </w:r>
        <w:r>
          <w:rPr>
            <w:rStyle w:val="Hyperlink"/>
            <w:i/>
            <w:i/>
            <w:iCs/>
            <w:iCs/>
          </w:rPr>
          <w:t xml:space="preserve">Ameiurus nebulosus</w:t>
        </w:r>
        <w:r>
          <w:rPr>
            <w:rStyle w:val="Hyperlink"/>
            <w:i/>
            <w:iCs/>
          </w:rPr>
          <w:t xml:space="preserve">) on k</w:t>
        </w:r>
        <w:r>
          <w:rPr>
            <w:rStyle w:val="Hyperlink"/>
            <w:i/>
            <w:iCs/>
          </w:rPr>
          <w:t xml:space="preserve">ō</w:t>
        </w:r>
        <w:r>
          <w:rPr>
            <w:rStyle w:val="Hyperlink"/>
            <w:i/>
            <w:iCs/>
          </w:rPr>
          <w:t xml:space="preserve">ura (freshwater crayfish,</w:t>
        </w:r>
        <w:r>
          <w:rPr>
            <w:rStyle w:val="Hyperlink"/>
            <w:i/>
            <w:iCs/>
          </w:rPr>
          <w:t xml:space="preserve"> </w:t>
        </w:r>
        <w:r>
          <w:rPr>
            <w:rStyle w:val="Hyperlink"/>
            <w:i/>
            <w:i/>
            <w:iCs/>
            <w:iCs/>
          </w:rPr>
          <w:t xml:space="preserve">Paranephrops planifrons</w:t>
        </w:r>
        <w:r>
          <w:rPr>
            <w:rStyle w:val="Hyperlink"/>
            <w:i/>
            <w:iCs/>
          </w:rPr>
          <w:t xml:space="preserve">) in</w:t>
        </w:r>
        <w:r>
          <w:rPr>
            <w:rStyle w:val="Hyperlink"/>
            <w:i/>
            <w:iCs/>
          </w:rPr>
          <w:t xml:space="preserve"> </w:t>
        </w:r>
        <w:r>
          <w:rPr>
            <w:rStyle w:val="Hyperlink"/>
            <w:i/>
            <w:iCs/>
          </w:rPr>
          <w:t xml:space="preserve">Lake Rotoiti</w:t>
        </w:r>
      </w:hyperlink>
      <w:r>
        <w:t xml:space="preserve">. University of Waikato.</w:t>
      </w:r>
    </w:p>
    <w:bookmarkEnd w:id="80"/>
    <w:bookmarkStart w:id="82" w:name="ref-Grayling2020"/>
    <w:p>
      <w:pPr>
        <w:pStyle w:val="Bibliography"/>
      </w:pPr>
      <w:r>
        <w:t xml:space="preserve">Grayling S. (2020).</w:t>
      </w:r>
      <w:r>
        <w:t xml:space="preserve"> </w:t>
      </w:r>
      <w:hyperlink r:id="rId81">
        <w:r>
          <w:rPr>
            <w:rStyle w:val="Hyperlink"/>
            <w:i/>
            <w:iCs/>
          </w:rPr>
          <w:t xml:space="preserve">Bay of Plenty</w:t>
        </w:r>
        <w:r>
          <w:rPr>
            <w:rStyle w:val="Hyperlink"/>
            <w:i/>
            <w:iCs/>
          </w:rPr>
          <w:t xml:space="preserve"> </w:t>
        </w:r>
        <w:r>
          <w:rPr>
            <w:rStyle w:val="Hyperlink"/>
            <w:i/>
            <w:iCs/>
          </w:rPr>
          <w:t xml:space="preserve">regional pest management plan 2011-2016 annual report for 2019/2020</w:t>
        </w:r>
      </w:hyperlink>
      <w:r>
        <w:t xml:space="preserve">. Bay of Plenty Regional Council.</w:t>
      </w:r>
    </w:p>
    <w:bookmarkEnd w:id="82"/>
    <w:bookmarkStart w:id="83" w:name="ref-Hamilton2005"/>
    <w:p>
      <w:pPr>
        <w:pStyle w:val="Bibliography"/>
      </w:pPr>
      <w:r>
        <w:t xml:space="preserve">Hamilton D., McBride C. &amp; Uraoka T. (2005).</w:t>
      </w:r>
      <w:r>
        <w:t xml:space="preserve"> </w:t>
      </w:r>
      <w:r>
        <w:rPr>
          <w:i/>
          <w:iCs/>
        </w:rPr>
        <w:t xml:space="preserve">Lake Rotoiti</w:t>
      </w:r>
      <w:r>
        <w:rPr>
          <w:i/>
          <w:iCs/>
        </w:rPr>
        <w:t xml:space="preserve"> </w:t>
      </w:r>
      <w:r>
        <w:rPr>
          <w:i/>
          <w:iCs/>
        </w:rPr>
        <w:t xml:space="preserve">fieldwork and modelling to support considerations of</w:t>
      </w:r>
      <w:r>
        <w:rPr>
          <w:i/>
          <w:iCs/>
        </w:rPr>
        <w:t xml:space="preserve"> </w:t>
      </w:r>
      <w:r>
        <w:rPr>
          <w:i/>
          <w:iCs/>
        </w:rPr>
        <w:t xml:space="preserve">Ohau</w:t>
      </w:r>
      <w:r>
        <w:rPr>
          <w:i/>
          <w:iCs/>
        </w:rPr>
        <w:t xml:space="preserve"> </w:t>
      </w:r>
      <w:r>
        <w:rPr>
          <w:i/>
          <w:iCs/>
        </w:rPr>
        <w:t xml:space="preserve">channel diversion from</w:t>
      </w:r>
      <w:r>
        <w:rPr>
          <w:i/>
          <w:iCs/>
        </w:rPr>
        <w:t xml:space="preserve"> </w:t>
      </w:r>
      <w:r>
        <w:rPr>
          <w:i/>
          <w:iCs/>
        </w:rPr>
        <w:t xml:space="preserve">Lake Rotoiti</w:t>
      </w:r>
      <w:r>
        <w:t xml:space="preserve">. NIWA &amp; University of Waikato.</w:t>
      </w:r>
    </w:p>
    <w:bookmarkEnd w:id="83"/>
    <w:bookmarkStart w:id="85" w:name="ref-Hartig2016"/>
    <w:p>
      <w:pPr>
        <w:pStyle w:val="Bibliography"/>
      </w:pPr>
      <w:r>
        <w:t xml:space="preserve">Hartig F. (2016).</w:t>
      </w:r>
      <w:r>
        <w:t xml:space="preserve"> </w:t>
      </w:r>
      <w:hyperlink r:id="rId84">
        <w:r>
          <w:rPr>
            <w:rStyle w:val="Hyperlink"/>
          </w:rPr>
          <w:t xml:space="preserve">DHARMa</w:t>
        </w:r>
        <w:r>
          <w:rPr>
            <w:rStyle w:val="Hyperlink"/>
          </w:rPr>
          <w:t xml:space="preserve">: Residual diagnostics for hierarchical (multi-level / mixed) regression models</w:t>
        </w:r>
      </w:hyperlink>
      <w:r>
        <w:t xml:space="preserve">.</w:t>
      </w:r>
      <w:r>
        <w:t xml:space="preserve"> </w:t>
      </w:r>
      <w:r>
        <w:rPr>
          <w:i/>
          <w:iCs/>
        </w:rPr>
        <w:t xml:space="preserve">CRAN: Contributed Packages</w:t>
      </w:r>
    </w:p>
    <w:bookmarkEnd w:id="85"/>
    <w:bookmarkStart w:id="87" w:name="ref-Huolila1997"/>
    <w:p>
      <w:pPr>
        <w:pStyle w:val="Bibliography"/>
      </w:pPr>
      <w:r>
        <w:t xml:space="preserve">Huolila M., Marjomäki T.J. &amp;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w:t>
      </w:r>
      <w:r>
        <w:t xml:space="preserve"> </w:t>
      </w:r>
      <w:hyperlink r:id="rId86">
        <w:r>
          <w:rPr>
            <w:rStyle w:val="Hyperlink"/>
          </w:rPr>
          <w:t xml:space="preserve">https://doi.org/10.1016/s0165-7836(97)00046-5</w:t>
        </w:r>
      </w:hyperlink>
    </w:p>
    <w:bookmarkEnd w:id="87"/>
    <w:bookmarkStart w:id="88" w:name="ref-Johnsen2008"/>
    <w:p>
      <w:pPr>
        <w:pStyle w:val="Bibliography"/>
      </w:pPr>
      <w:r>
        <w:t xml:space="preserve">Johnsen S.I. &amp;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88"/>
    <w:bookmarkStart w:id="90" w:name="ref-Jowett2008"/>
    <w:p>
      <w:pPr>
        <w:pStyle w:val="Bibliography"/>
      </w:pPr>
      <w:r>
        <w:t xml:space="preserve">Jowett I.G., Parkyn S.M. &amp;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w:t>
      </w:r>
      <w:r>
        <w:t xml:space="preserve"> </w:t>
      </w:r>
      <w:hyperlink r:id="rId89">
        <w:r>
          <w:rPr>
            <w:rStyle w:val="Hyperlink"/>
          </w:rPr>
          <w:t xml:space="preserve">https://doi.org/10.1007/s10750-007-9108-z</w:t>
        </w:r>
      </w:hyperlink>
    </w:p>
    <w:bookmarkEnd w:id="90"/>
    <w:bookmarkStart w:id="92" w:name="ref-Jowett1990"/>
    <w:p>
      <w:pPr>
        <w:pStyle w:val="Bibliography"/>
      </w:pPr>
      <w:r>
        <w:t xml:space="preserve">Jowett I.G. &amp; Richardson J.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w:t>
      </w:r>
      <w:r>
        <w:t xml:space="preserve"> </w:t>
      </w:r>
      <w:r>
        <w:rPr>
          <w:i/>
          <w:iCs/>
        </w:rPr>
        <w:t xml:space="preserve">New Zealand Journal of Marine and Freshwater Research</w:t>
      </w:r>
      <w:r>
        <w:t xml:space="preserve"> </w:t>
      </w:r>
      <w:r>
        <w:rPr>
          <w:b/>
          <w:bCs/>
        </w:rPr>
        <w:t xml:space="preserve">24</w:t>
      </w:r>
      <w:r>
        <w:t xml:space="preserve">, 19–30.</w:t>
      </w:r>
      <w:r>
        <w:t xml:space="preserve"> </w:t>
      </w:r>
      <w:hyperlink r:id="rId91">
        <w:r>
          <w:rPr>
            <w:rStyle w:val="Hyperlink"/>
          </w:rPr>
          <w:t xml:space="preserve">https://doi.org/10.1080/00288330.1990.9516399</w:t>
        </w:r>
      </w:hyperlink>
    </w:p>
    <w:bookmarkEnd w:id="92"/>
    <w:bookmarkStart w:id="94" w:name="ref-Kusabs2015a"/>
    <w:p>
      <w:pPr>
        <w:pStyle w:val="Bibliography"/>
      </w:pPr>
      <w:r>
        <w:t xml:space="preserve">Kusabs I.A., Hicks B.J., Quinn J.M. &amp; Hamilton D.P. (2015a). Sustainable management of freshwater crayfish (kōura,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Fisheries Research</w:t>
      </w:r>
      <w:r>
        <w:t xml:space="preserve"> </w:t>
      </w:r>
      <w:r>
        <w:rPr>
          <w:b/>
          <w:bCs/>
        </w:rPr>
        <w:t xml:space="preserve">168</w:t>
      </w:r>
      <w:r>
        <w:t xml:space="preserve">, 35–46.</w:t>
      </w:r>
      <w:r>
        <w:t xml:space="preserve"> </w:t>
      </w:r>
      <w:hyperlink r:id="rId93">
        <w:r>
          <w:rPr>
            <w:rStyle w:val="Hyperlink"/>
          </w:rPr>
          <w:t xml:space="preserve">https://doi.org/10.1016/j.fishres.2015.03.015</w:t>
        </w:r>
      </w:hyperlink>
    </w:p>
    <w:bookmarkEnd w:id="94"/>
    <w:bookmarkStart w:id="96" w:name="ref-Kusabs2026"/>
    <w:p>
      <w:pPr>
        <w:pStyle w:val="Bibliography"/>
      </w:pPr>
      <w:r>
        <w:t xml:space="preserve">Kusabs I.A.K., Duggan I.C., Bruere A.C., Scholes P., Te Kurapa T.W., Grant T.M.,</w:t>
      </w:r>
      <w:r>
        <w:t xml:space="preserve"> </w:t>
      </w:r>
      <w:r>
        <w:rPr>
          <w:i/>
          <w:iCs/>
        </w:rPr>
        <w:t xml:space="preserve">et al.</w:t>
      </w:r>
      <w:r>
        <w:t xml:space="preserve"> </w:t>
      </w:r>
      <w:r>
        <w:t xml:space="preserve">(2026).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w:t>
      </w:r>
      <w:r>
        <w:t xml:space="preserve"> </w:t>
      </w:r>
      <w:hyperlink r:id="rId95">
        <w:r>
          <w:rPr>
            <w:rStyle w:val="Hyperlink"/>
          </w:rPr>
          <w:t xml:space="preserve">https://doi.org/10.1007/s10530-026-03852-0</w:t>
        </w:r>
      </w:hyperlink>
    </w:p>
    <w:bookmarkEnd w:id="96"/>
    <w:bookmarkStart w:id="98" w:name="ref-Kusabs2009"/>
    <w:p>
      <w:pPr>
        <w:pStyle w:val="Bibliography"/>
      </w:pPr>
      <w:r>
        <w:t xml:space="preserve">Kusabs I.A. &amp; Quinn J.M.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w:t>
      </w:r>
      <w:r>
        <w:t xml:space="preserve"> </w:t>
      </w:r>
      <w:hyperlink r:id="rId97">
        <w:r>
          <w:rPr>
            <w:rStyle w:val="Hyperlink"/>
          </w:rPr>
          <w:t xml:space="preserve">https://doi.org/10.1080/00288330909510036</w:t>
        </w:r>
      </w:hyperlink>
    </w:p>
    <w:bookmarkEnd w:id="98"/>
    <w:bookmarkStart w:id="100" w:name="ref-Kusabs2015b"/>
    <w:p>
      <w:pPr>
        <w:pStyle w:val="Bibliography"/>
      </w:pPr>
      <w:r>
        <w:t xml:space="preserve">Kusabs I.A., Quinn J.M. &amp; Hamilton D.P. (2015b). Effects of benthic substrate, nutrient enrichment and predatory fish on freshwater crayfish (koura,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Marine and Freshwater Research</w:t>
      </w:r>
      <w:r>
        <w:t xml:space="preserve"> </w:t>
      </w:r>
      <w:r>
        <w:rPr>
          <w:b/>
          <w:bCs/>
        </w:rPr>
        <w:t xml:space="preserve">66</w:t>
      </w:r>
      <w:r>
        <w:t xml:space="preserve">, 631–643.</w:t>
      </w:r>
      <w:r>
        <w:t xml:space="preserve"> </w:t>
      </w:r>
      <w:hyperlink r:id="rId99">
        <w:r>
          <w:rPr>
            <w:rStyle w:val="Hyperlink"/>
          </w:rPr>
          <w:t xml:space="preserve">https://doi.org/10.1071/mf14148</w:t>
        </w:r>
      </w:hyperlink>
    </w:p>
    <w:bookmarkEnd w:id="100"/>
    <w:bookmarkStart w:id="102" w:name="ref-Lee2025"/>
    <w:p>
      <w:pPr>
        <w:pStyle w:val="Bibliography"/>
      </w:pPr>
      <w:r>
        <w:t xml:space="preserve">Lee F., Kusabs I.A.K., Perry G.L.W. &amp;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w:t>
      </w:r>
      <w:r>
        <w:t xml:space="preserve"> </w:t>
      </w:r>
      <w:hyperlink r:id="rId101">
        <w:r>
          <w:rPr>
            <w:rStyle w:val="Hyperlink"/>
          </w:rPr>
          <w:t xml:space="preserve">https://doi.org/10.5194/we-25-221-2025</w:t>
        </w:r>
      </w:hyperlink>
    </w:p>
    <w:bookmarkEnd w:id="102"/>
    <w:bookmarkStart w:id="104" w:name="ref-Lenth2017"/>
    <w:p>
      <w:pPr>
        <w:pStyle w:val="Bibliography"/>
      </w:pPr>
      <w:r>
        <w:t xml:space="preserve">Lenth R.V. &amp; Piaskowski J. (2017).</w:t>
      </w:r>
      <w:r>
        <w:t xml:space="preserve"> </w:t>
      </w:r>
      <w:hyperlink r:id="rId103">
        <w:r>
          <w:rPr>
            <w:rStyle w:val="Hyperlink"/>
          </w:rPr>
          <w:t xml:space="preserve">Emmeans: Estimated marginal means, aka least-squares means</w:t>
        </w:r>
      </w:hyperlink>
      <w:r>
        <w:t xml:space="preserve">.</w:t>
      </w:r>
      <w:r>
        <w:t xml:space="preserve"> </w:t>
      </w:r>
      <w:r>
        <w:rPr>
          <w:i/>
          <w:iCs/>
        </w:rPr>
        <w:t xml:space="preserve">CRAN: Contributed Packages</w:t>
      </w:r>
    </w:p>
    <w:bookmarkEnd w:id="104"/>
    <w:bookmarkStart w:id="106" w:name="ref-MacNeil2025"/>
    <w:p>
      <w:pPr>
        <w:pStyle w:val="Bibliography"/>
      </w:pPr>
      <w:r>
        <w:t xml:space="preserve">MacNeil C., Lee F., Kusabs I. &amp;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w:t>
      </w:r>
      <w:r>
        <w:t xml:space="preserve"> </w:t>
      </w:r>
      <w:hyperlink r:id="rId105">
        <w:r>
          <w:rPr>
            <w:rStyle w:val="Hyperlink"/>
          </w:rPr>
          <w:t xml:space="preserve">https://doi.org/10.1051/kmae/2025022</w:t>
        </w:r>
      </w:hyperlink>
    </w:p>
    <w:bookmarkEnd w:id="106"/>
    <w:bookmarkStart w:id="107" w:name="ref-McDowall1994"/>
    <w:p>
      <w:pPr>
        <w:pStyle w:val="Bibliography"/>
      </w:pPr>
      <w:r>
        <w:t xml:space="preserve">McDowall R.M. (1994).</w:t>
      </w:r>
      <w:r>
        <w:t xml:space="preserve"> </w:t>
      </w:r>
      <w:r>
        <w:rPr>
          <w:i/>
          <w:iCs/>
        </w:rPr>
        <w:t xml:space="preserve">Gamekeepers for the nation: The story of</w:t>
      </w:r>
      <w:r>
        <w:rPr>
          <w:i/>
          <w:iCs/>
        </w:rPr>
        <w:t xml:space="preserve"> </w:t>
      </w:r>
      <w:r>
        <w:rPr>
          <w:i/>
          <w:iCs/>
        </w:rPr>
        <w:t xml:space="preserve">New Zealand</w:t>
      </w:r>
      <w:r>
        <w:rPr>
          <w:i/>
          <w:iCs/>
        </w:rPr>
        <w:t xml:space="preserve">’s</w:t>
      </w:r>
      <w:r>
        <w:rPr>
          <w:i/>
          <w:iCs/>
        </w:rPr>
        <w:t xml:space="preserve"> </w:t>
      </w:r>
      <w:r>
        <w:rPr>
          <w:i/>
          <w:iCs/>
        </w:rPr>
        <w:t xml:space="preserve">Acclimatisation Society</w:t>
      </w:r>
      <w:r>
        <w:rPr>
          <w:i/>
          <w:iCs/>
        </w:rPr>
        <w:t xml:space="preserve"> </w:t>
      </w:r>
      <w:r>
        <w:rPr>
          <w:i/>
          <w:iCs/>
        </w:rPr>
        <w:t xml:space="preserve">1861–1990</w:t>
      </w:r>
      <w:r>
        <w:t xml:space="preserve">. Canterbury University Press, Christchurch, New Zealand.</w:t>
      </w:r>
    </w:p>
    <w:bookmarkEnd w:id="107"/>
    <w:bookmarkStart w:id="109"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w:t>
      </w:r>
      <w:r>
        <w:t xml:space="preserve"> </w:t>
      </w:r>
      <w:hyperlink r:id="rId108">
        <w:r>
          <w:rPr>
            <w:rStyle w:val="Hyperlink"/>
          </w:rPr>
          <w:t xml:space="preserve">https://doi.org/10.1080/10641269509388566</w:t>
        </w:r>
      </w:hyperlink>
    </w:p>
    <w:bookmarkEnd w:id="109"/>
    <w:bookmarkStart w:id="111" w:name="ref-Nystrom2006"/>
    <w:p>
      <w:pPr>
        <w:pStyle w:val="Bibliography"/>
      </w:pPr>
      <w:r>
        <w:t xml:space="preserve">Nyström P., Stenroth P., Holmqvist N., Berglund O., Larsson P. &amp; Granéli W. (2006). Crayfish in lakes and streams: Individual and population responses to predation, productivity and substratum availability.</w:t>
      </w:r>
      <w:r>
        <w:t xml:space="preserve"> </w:t>
      </w:r>
      <w:r>
        <w:rPr>
          <w:i/>
          <w:iCs/>
        </w:rPr>
        <w:t xml:space="preserve">Freshwater Biology</w:t>
      </w:r>
      <w:r>
        <w:t xml:space="preserve"> </w:t>
      </w:r>
      <w:r>
        <w:rPr>
          <w:b/>
          <w:bCs/>
        </w:rPr>
        <w:t xml:space="preserve">51</w:t>
      </w:r>
      <w:r>
        <w:t xml:space="preserve">, 2096–2113.</w:t>
      </w:r>
      <w:r>
        <w:t xml:space="preserve"> </w:t>
      </w:r>
      <w:hyperlink r:id="rId110">
        <w:r>
          <w:rPr>
            <w:rStyle w:val="Hyperlink"/>
          </w:rPr>
          <w:t xml:space="preserve">https://doi.org/10.1111/j.1365-2427.2006.01641.x</w:t>
        </w:r>
      </w:hyperlink>
    </w:p>
    <w:bookmarkEnd w:id="111"/>
    <w:bookmarkStart w:id="113" w:name="ref-Parkyn2004"/>
    <w:p>
      <w:pPr>
        <w:pStyle w:val="Bibliography"/>
      </w:pPr>
      <w:r>
        <w:t xml:space="preserve">Parkyn S.M. &amp; Collier K.J. (2004). Interaction of</w:t>
      </w:r>
      <w:r>
        <w:t xml:space="preserve"> </w:t>
      </w:r>
      <w:r>
        <w:t xml:space="preserve">Press</w:t>
      </w:r>
      <w:r>
        <w:t xml:space="preserve"> </w:t>
      </w:r>
      <w:r>
        <w:t xml:space="preserve">and</w:t>
      </w:r>
      <w:r>
        <w:t xml:space="preserve"> </w:t>
      </w:r>
      <w:r>
        <w:t xml:space="preserve">Pulse</w:t>
      </w:r>
      <w:r>
        <w:t xml:space="preserve"> </w:t>
      </w:r>
      <w:r>
        <w:t xml:space="preserve">disturbance on crayfish populations: Flood impacts in pasture and forest streams.</w:t>
      </w:r>
      <w:r>
        <w:t xml:space="preserve"> </w:t>
      </w:r>
      <w:r>
        <w:rPr>
          <w:i/>
          <w:iCs/>
        </w:rPr>
        <w:t xml:space="preserve">Hydrobiologia</w:t>
      </w:r>
      <w:r>
        <w:t xml:space="preserve"> </w:t>
      </w:r>
      <w:r>
        <w:rPr>
          <w:b/>
          <w:bCs/>
        </w:rPr>
        <w:t xml:space="preserve">527</w:t>
      </w:r>
      <w:r>
        <w:t xml:space="preserve">, 113–124.</w:t>
      </w:r>
      <w:r>
        <w:t xml:space="preserve"> </w:t>
      </w:r>
      <w:hyperlink r:id="rId112">
        <w:r>
          <w:rPr>
            <w:rStyle w:val="Hyperlink"/>
          </w:rPr>
          <w:t xml:space="preserve">https://doi.org/10.1023/b:hydr.0000043189.91134.94</w:t>
        </w:r>
      </w:hyperlink>
    </w:p>
    <w:bookmarkEnd w:id="113"/>
    <w:bookmarkStart w:id="115" w:name="ref-Parkyn2001"/>
    <w:p>
      <w:pPr>
        <w:pStyle w:val="Bibliography"/>
      </w:pPr>
      <w:r>
        <w:t xml:space="preserve">Parkyn S.M., Collier K.J. &amp;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w:t>
      </w:r>
      <w:r>
        <w:t xml:space="preserve"> </w:t>
      </w:r>
      <w:hyperlink r:id="rId114">
        <w:r>
          <w:rPr>
            <w:rStyle w:val="Hyperlink"/>
          </w:rPr>
          <w:t xml:space="preserve">https://doi.org/10.1046/j.1365-2427.2001.00702.x</w:t>
        </w:r>
      </w:hyperlink>
    </w:p>
    <w:bookmarkEnd w:id="115"/>
    <w:bookmarkStart w:id="117" w:name="ref-Parkyn2009"/>
    <w:p>
      <w:pPr>
        <w:pStyle w:val="Bibliography"/>
      </w:pPr>
      <w:r>
        <w:t xml:space="preserve">Parkyn S.M., Meleason M.A. &amp;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w:t>
      </w:r>
      <w:r>
        <w:t xml:space="preserve"> </w:t>
      </w:r>
      <w:hyperlink r:id="rId116">
        <w:r>
          <w:rPr>
            <w:rStyle w:val="Hyperlink"/>
          </w:rPr>
          <w:t xml:space="preserve">https://doi.org/10.1080/00288330909510034</w:t>
        </w:r>
      </w:hyperlink>
    </w:p>
    <w:bookmarkEnd w:id="117"/>
    <w:bookmarkStart w:id="119" w:name="ref-Preisser2005"/>
    <w:p>
      <w:pPr>
        <w:pStyle w:val="Bibliography"/>
      </w:pPr>
      <w:r>
        <w:t xml:space="preserve">Preisser E.L., Bolnick D.I. &amp; Benard M.F. (2005). Scared to death? The effects of intimidation and consumption in predator-prey interactions.</w:t>
      </w:r>
      <w:r>
        <w:t xml:space="preserve"> </w:t>
      </w:r>
      <w:r>
        <w:rPr>
          <w:i/>
          <w:iCs/>
        </w:rPr>
        <w:t xml:space="preserve">Ecology</w:t>
      </w:r>
      <w:r>
        <w:t xml:space="preserve"> </w:t>
      </w:r>
      <w:r>
        <w:rPr>
          <w:b/>
          <w:bCs/>
        </w:rPr>
        <w:t xml:space="preserve">86</w:t>
      </w:r>
      <w:r>
        <w:t xml:space="preserve">, 501–509.</w:t>
      </w:r>
      <w:r>
        <w:t xml:space="preserve"> </w:t>
      </w:r>
      <w:hyperlink r:id="rId118">
        <w:r>
          <w:rPr>
            <w:rStyle w:val="Hyperlink"/>
          </w:rPr>
          <w:t xml:space="preserve">https://doi.org/10.1890/04-0719</w:t>
        </w:r>
      </w:hyperlink>
    </w:p>
    <w:bookmarkEnd w:id="119"/>
    <w:bookmarkStart w:id="121" w:name="ref-Prentice2024"/>
    <w:p>
      <w:pPr>
        <w:pStyle w:val="Bibliography"/>
      </w:pPr>
      <w:r>
        <w:t xml:space="preserve">Prentice M. &amp; Özkundakci D. (2024).</w:t>
      </w:r>
      <w:r>
        <w:t xml:space="preserve"> </w:t>
      </w:r>
      <w:hyperlink r:id="rId120">
        <w:r>
          <w:rPr>
            <w:rStyle w:val="Hyperlink"/>
            <w:i/>
            <w:iCs/>
          </w:rPr>
          <w:t xml:space="preserve">Ōhau Channel</w:t>
        </w:r>
        <w:r>
          <w:rPr>
            <w:rStyle w:val="Hyperlink"/>
            <w:i/>
            <w:iCs/>
          </w:rPr>
          <w:t xml:space="preserve"> </w:t>
        </w:r>
        <w:r>
          <w:rPr>
            <w:rStyle w:val="Hyperlink"/>
            <w:i/>
            <w:iCs/>
          </w:rPr>
          <w:t xml:space="preserve">diversion wall: 7-year review: Water quality review and modelling</w:t>
        </w:r>
      </w:hyperlink>
      <w:r>
        <w:t xml:space="preserve">. The University of Waikato.</w:t>
      </w:r>
    </w:p>
    <w:bookmarkEnd w:id="121"/>
    <w:bookmarkStart w:id="122" w:name="ref-Quinn2002"/>
    <w:p>
      <w:pPr>
        <w:pStyle w:val="Bibliography"/>
      </w:pPr>
      <w:r>
        <w:t xml:space="preserve">Quinn G.P. &amp; Keough M.J. (2002).</w:t>
      </w:r>
      <w:r>
        <w:t xml:space="preserve"> </w:t>
      </w:r>
      <w:r>
        <w:rPr>
          <w:i/>
          <w:iCs/>
        </w:rPr>
        <w:t xml:space="preserve">Experimental design and data analysis for biologists</w:t>
      </w:r>
      <w:r>
        <w:t xml:space="preserve">. Cambridge University Press.</w:t>
      </w:r>
    </w:p>
    <w:bookmarkEnd w:id="122"/>
    <w:bookmarkStart w:id="124" w:name="ref-RCoreTeam2025"/>
    <w:p>
      <w:pPr>
        <w:pStyle w:val="Bibliography"/>
      </w:pPr>
      <w:r>
        <w:t xml:space="preserve">R Core Team (2025).</w:t>
      </w:r>
      <w:r>
        <w:t xml:space="preserve"> </w:t>
      </w:r>
      <w:hyperlink r:id="rId123">
        <w:r>
          <w:rPr>
            <w:rStyle w:val="Hyperlink"/>
            <w:i/>
            <w:iCs/>
          </w:rPr>
          <w:t xml:space="preserve">R</w:t>
        </w:r>
        <w:r>
          <w:rPr>
            <w:rStyle w:val="Hyperlink"/>
            <w:i/>
            <w:iCs/>
          </w:rPr>
          <w:t xml:space="preserve">: A language and environment for statistical computing</w:t>
        </w:r>
      </w:hyperlink>
      <w:r>
        <w:t xml:space="preserve">. R Foundation for Statistical Computing, Vienna, Austria.</w:t>
      </w:r>
    </w:p>
    <w:bookmarkEnd w:id="124"/>
    <w:bookmarkStart w:id="126" w:name="ref-Raven2026b"/>
    <w:p>
      <w:pPr>
        <w:pStyle w:val="Bibliography"/>
      </w:pPr>
      <w:r>
        <w:t xml:space="preserve">Raven O.V., Burdon F.J., Kusabs I.A.K., Holmes R. &amp; Özkundakci D. (2026b). Littoral habitat structure influences freshwater crayfish populations in five volcanic lakes of aotearoa new zealand.</w:t>
      </w:r>
      <w:r>
        <w:t xml:space="preserve"> </w:t>
      </w:r>
      <w:r>
        <w:rPr>
          <w:i/>
          <w:iCs/>
        </w:rPr>
        <w:t xml:space="preserve">Hydrobiologia</w:t>
      </w:r>
      <w:r>
        <w:t xml:space="preserve">.</w:t>
      </w:r>
      <w:r>
        <w:t xml:space="preserve"> </w:t>
      </w:r>
      <w:hyperlink r:id="rId125">
        <w:r>
          <w:rPr>
            <w:rStyle w:val="Hyperlink"/>
          </w:rPr>
          <w:t xml:space="preserve">https://doi.org/10.1007/s10750-026-06302-z</w:t>
        </w:r>
      </w:hyperlink>
    </w:p>
    <w:bookmarkEnd w:id="126"/>
    <w:bookmarkStart w:id="128" w:name="ref-Raveninreview"/>
    <w:p>
      <w:pPr>
        <w:pStyle w:val="Bibliography"/>
      </w:pPr>
      <w:r>
        <w:t xml:space="preserve">Raven O.V., Holmes R., Kusabs I.A.K., Burdon F.J. &amp; Özkundakci D. (in review).</w:t>
      </w:r>
      <w:r>
        <w:t xml:space="preserve"> </w:t>
      </w:r>
      <w:hyperlink r:id="rId127">
        <w:r>
          <w:rPr>
            <w:rStyle w:val="Hyperlink"/>
          </w:rPr>
          <w:t xml:space="preserve">The importance of structure: Mesocosm evidence for shelter design in freshwater crayfish restoration</w:t>
        </w:r>
      </w:hyperlink>
    </w:p>
    <w:bookmarkEnd w:id="128"/>
    <w:bookmarkStart w:id="130" w:name="ref-Raven2026a"/>
    <w:p>
      <w:pPr>
        <w:pStyle w:val="Bibliography"/>
      </w:pPr>
      <w:r>
        <w:t xml:space="preserve">Raven O.V., MacNeil C., Lee F., Holmes R., Kusabs I.A.K., Burdon F.J.,</w:t>
      </w:r>
      <w:r>
        <w:t xml:space="preserve"> </w:t>
      </w:r>
      <w:r>
        <w:rPr>
          <w:i/>
          <w:iCs/>
        </w:rPr>
        <w:t xml:space="preserve">et al.</w:t>
      </w:r>
      <w:r>
        <w:t xml:space="preserve"> </w:t>
      </w:r>
      <w:r>
        <w:t xml:space="preserve">(2026a). Fear of the new: A predatory invader provokes stronger non-consumptive effects on a keystone native prey than a native predator.</w:t>
      </w:r>
      <w:r>
        <w:t xml:space="preserve"> </w:t>
      </w:r>
      <w:hyperlink r:id="rId129">
        <w:r>
          <w:rPr>
            <w:rStyle w:val="Hyperlink"/>
          </w:rPr>
          <w:t xml:space="preserve">https://doi.org/10.21203/rs.3.rs-9891519/v1</w:t>
        </w:r>
      </w:hyperlink>
    </w:p>
    <w:bookmarkEnd w:id="130"/>
    <w:bookmarkStart w:id="132" w:name="ref-Richman2015"/>
    <w:p>
      <w:pPr>
        <w:pStyle w:val="Bibliography"/>
      </w:pPr>
      <w:r>
        <w:t xml:space="preserve">Richman N.I., Böhm M., Adams S.B., Alvarez F., Bergey E.A., Bunn J.J.S.,</w:t>
      </w:r>
      <w:r>
        <w:t xml:space="preserve"> </w:t>
      </w:r>
      <w:r>
        <w:rPr>
          <w:i/>
          <w:iCs/>
        </w:rPr>
        <w:t xml:space="preserve">et al.</w:t>
      </w:r>
      <w:r>
        <w:t xml:space="preserve"> </w:t>
      </w:r>
      <w:r>
        <w:t xml:space="preserve">(2015). Multiple drivers of decline in the global status of freshwater crayfish (</w:t>
      </w:r>
      <w:r>
        <w:t xml:space="preserve">Decapoda</w:t>
      </w:r>
      <w:r>
        <w:t xml:space="preserve">:</w:t>
      </w:r>
      <w:r>
        <w:t xml:space="preserve"> </w:t>
      </w:r>
      <w:r>
        <w:t xml:space="preserve">Astacidea</w:t>
      </w:r>
      <w:r>
        <w:t xml:space="preserve">).</w:t>
      </w:r>
      <w:r>
        <w:t xml:space="preserve"> </w:t>
      </w:r>
      <w:r>
        <w:rPr>
          <w:i/>
          <w:iCs/>
        </w:rPr>
        <w:t xml:space="preserve">Philosophical Transactions of the Royal Society B: Biological Sciences</w:t>
      </w:r>
      <w:r>
        <w:t xml:space="preserve"> </w:t>
      </w:r>
      <w:r>
        <w:rPr>
          <w:b/>
          <w:bCs/>
        </w:rPr>
        <w:t xml:space="preserve">370</w:t>
      </w:r>
      <w:r>
        <w:t xml:space="preserve">, 20140060.</w:t>
      </w:r>
      <w:r>
        <w:t xml:space="preserve"> </w:t>
      </w:r>
      <w:hyperlink r:id="rId131">
        <w:r>
          <w:rPr>
            <w:rStyle w:val="Hyperlink"/>
          </w:rPr>
          <w:t xml:space="preserve">https://doi.org/10.1098/rstb.2014.0060</w:t>
        </w:r>
      </w:hyperlink>
    </w:p>
    <w:bookmarkEnd w:id="132"/>
    <w:bookmarkStart w:id="134" w:name="ref-Sayer2025"/>
    <w:p>
      <w:pPr>
        <w:pStyle w:val="Bibliography"/>
      </w:pPr>
      <w:r>
        <w:t xml:space="preserve">Sayer C.A., Fernando E., Jimenez R.R., Macfarlane N.B.W., Rapacciuolo G., Böhm M.,</w:t>
      </w:r>
      <w:r>
        <w:t xml:space="preserve"> </w:t>
      </w:r>
      <w:r>
        <w:rPr>
          <w:i/>
          <w:iCs/>
        </w:rPr>
        <w:t xml:space="preserve">et al.</w:t>
      </w:r>
      <w:r>
        <w:t xml:space="preserve"> </w:t>
      </w:r>
      <w:r>
        <w:t xml:space="preserve">(2025). One-quarter of freshwater fauna threatened with extinction.</w:t>
      </w:r>
      <w:r>
        <w:t xml:space="preserve"> </w:t>
      </w:r>
      <w:r>
        <w:rPr>
          <w:i/>
          <w:iCs/>
        </w:rPr>
        <w:t xml:space="preserve">Nature</w:t>
      </w:r>
      <w:r>
        <w:t xml:space="preserve"> </w:t>
      </w:r>
      <w:r>
        <w:rPr>
          <w:b/>
          <w:bCs/>
        </w:rPr>
        <w:t xml:space="preserve">638</w:t>
      </w:r>
      <w:r>
        <w:t xml:space="preserve">, 138–145.</w:t>
      </w:r>
      <w:r>
        <w:t xml:space="preserve"> </w:t>
      </w:r>
      <w:hyperlink r:id="rId133">
        <w:r>
          <w:rPr>
            <w:rStyle w:val="Hyperlink"/>
          </w:rPr>
          <w:t xml:space="preserve">https://doi.org/10.1038/s41586-024-08375-z</w:t>
        </w:r>
      </w:hyperlink>
    </w:p>
    <w:bookmarkEnd w:id="134"/>
    <w:bookmarkStart w:id="135" w:name="ref-Scott1973"/>
    <w:p>
      <w:pPr>
        <w:pStyle w:val="Bibliography"/>
      </w:pPr>
      <w:r>
        <w:t xml:space="preserve">Scott W.B. &amp; Crossman E.J. (1973).</w:t>
      </w:r>
      <w:r>
        <w:t xml:space="preserve"> </w:t>
      </w:r>
      <w:r>
        <w:rPr>
          <w:i/>
          <w:iCs/>
        </w:rPr>
        <w:t xml:space="preserve">Freshwater fishes of</w:t>
      </w:r>
      <w:r>
        <w:rPr>
          <w:i/>
          <w:iCs/>
        </w:rPr>
        <w:t xml:space="preserve"> </w:t>
      </w:r>
      <w:r>
        <w:rPr>
          <w:i/>
          <w:iCs/>
        </w:rPr>
        <w:t xml:space="preserve">Canada</w:t>
      </w:r>
      <w:r>
        <w:t xml:space="preserve">. Fisheries Research Board of Canada, Ottawa, Canada.</w:t>
      </w:r>
    </w:p>
    <w:bookmarkEnd w:id="135"/>
    <w:bookmarkStart w:id="137" w:name="ref-Sheriff2020"/>
    <w:p>
      <w:pPr>
        <w:pStyle w:val="Bibliography"/>
      </w:pPr>
      <w:r>
        <w:t xml:space="preserve">Sheriff M.J., Peacor S.D., Hawlena D. &amp; Thaker M. (2020). Non‐consumptive predator effects on prey population size: A dearth of evidence.</w:t>
      </w:r>
      <w:r>
        <w:t xml:space="preserve"> </w:t>
      </w:r>
      <w:r>
        <w:rPr>
          <w:i/>
          <w:iCs/>
        </w:rPr>
        <w:t xml:space="preserve">Journal of Animal Ecology</w:t>
      </w:r>
      <w:r>
        <w:t xml:space="preserve"> </w:t>
      </w:r>
      <w:r>
        <w:rPr>
          <w:b/>
          <w:bCs/>
        </w:rPr>
        <w:t xml:space="preserve">89</w:t>
      </w:r>
      <w:r>
        <w:t xml:space="preserve">, 1302–1316.</w:t>
      </w:r>
      <w:r>
        <w:t xml:space="preserve"> </w:t>
      </w:r>
      <w:hyperlink r:id="rId136">
        <w:r>
          <w:rPr>
            <w:rStyle w:val="Hyperlink"/>
          </w:rPr>
          <w:t xml:space="preserve">https://doi.org/10.1111/1365-2656.13213</w:t>
        </w:r>
      </w:hyperlink>
    </w:p>
    <w:bookmarkEnd w:id="137"/>
    <w:bookmarkStart w:id="139" w:name="ref-Streissl2002"/>
    <w:p>
      <w:pPr>
        <w:pStyle w:val="Bibliography"/>
      </w:pPr>
      <w:r>
        <w:t xml:space="preserve">Streissl F. &amp;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w:t>
      </w:r>
      <w:r>
        <w:t xml:space="preserve"> </w:t>
      </w:r>
      <w:hyperlink r:id="rId138">
        <w:r>
          <w:rPr>
            <w:rStyle w:val="Hyperlink"/>
          </w:rPr>
          <w:t xml:space="preserve">https://doi.org/10.1023/A:1021094309738</w:t>
        </w:r>
      </w:hyperlink>
    </w:p>
    <w:bookmarkEnd w:id="139"/>
    <w:bookmarkStart w:id="141" w:name="ref-Underwood1994"/>
    <w:p>
      <w:pPr>
        <w:pStyle w:val="Bibliography"/>
      </w:pPr>
      <w:r>
        <w:t xml:space="preserve">Underwood A.J. (1994). On beyond</w:t>
      </w:r>
      <w:r>
        <w:t xml:space="preserve"> </w:t>
      </w:r>
      <w:r>
        <w:t xml:space="preserve">BACI</w:t>
      </w:r>
      <w:r>
        <w:t xml:space="preserve">: Sampling designs that might reliably detect environmental disturbances.</w:t>
      </w:r>
      <w:r>
        <w:t xml:space="preserve"> </w:t>
      </w:r>
      <w:r>
        <w:rPr>
          <w:i/>
          <w:iCs/>
        </w:rPr>
        <w:t xml:space="preserve">Ecological Applications</w:t>
      </w:r>
      <w:r>
        <w:t xml:space="preserve"> </w:t>
      </w:r>
      <w:r>
        <w:rPr>
          <w:b/>
          <w:bCs/>
        </w:rPr>
        <w:t xml:space="preserve">4</w:t>
      </w:r>
      <w:r>
        <w:t xml:space="preserve">, 3–15.</w:t>
      </w:r>
      <w:r>
        <w:t xml:space="preserve"> </w:t>
      </w:r>
      <w:hyperlink r:id="rId140">
        <w:r>
          <w:rPr>
            <w:rStyle w:val="Hyperlink"/>
          </w:rPr>
          <w:t xml:space="preserve">https://doi.org/10.2307/1942110</w:t>
        </w:r>
      </w:hyperlink>
    </w:p>
    <w:bookmarkEnd w:id="141"/>
    <w:bookmarkStart w:id="143" w:name="ref-Usio2000"/>
    <w:p>
      <w:pPr>
        <w:pStyle w:val="Bibliography"/>
      </w:pPr>
      <w:r>
        <w:t xml:space="preserve">Usio N. &amp; Townsend C.R.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w:t>
      </w:r>
      <w:r>
        <w:t xml:space="preserve"> </w:t>
      </w:r>
      <w:hyperlink r:id="rId142">
        <w:r>
          <w:rPr>
            <w:rStyle w:val="Hyperlink"/>
          </w:rPr>
          <w:t xml:space="preserve">https://doi.org/10.1080/00288330.2000.9516957</w:t>
        </w:r>
      </w:hyperlink>
    </w:p>
    <w:bookmarkEnd w:id="143"/>
    <w:bookmarkStart w:id="145" w:name="ref-Verburg2019"/>
    <w:p>
      <w:pPr>
        <w:pStyle w:val="Bibliography"/>
      </w:pPr>
      <w:r>
        <w:t xml:space="preserve">Verburg P. &amp; Albert A. (2019).</w:t>
      </w:r>
      <w:r>
        <w:t xml:space="preserve"> </w:t>
      </w:r>
      <w:hyperlink r:id="rId144">
        <w:r>
          <w:rPr>
            <w:rStyle w:val="Hyperlink"/>
            <w:i/>
            <w:iCs/>
          </w:rPr>
          <w:t xml:space="preserve">Lake Taupo</w:t>
        </w:r>
        <w:r>
          <w:rPr>
            <w:rStyle w:val="Hyperlink"/>
            <w:i/>
            <w:iCs/>
          </w:rPr>
          <w:t xml:space="preserve"> </w:t>
        </w:r>
        <w:r>
          <w:rPr>
            <w:rStyle w:val="Hyperlink"/>
            <w:i/>
            <w:iCs/>
          </w:rPr>
          <w:t xml:space="preserve">long-term monitoring programme 2017-2018</w:t>
        </w:r>
      </w:hyperlink>
      <w:r>
        <w:t xml:space="preserve">. National Institute of Water &amp; Atmospheric Research Ltd, Hamilton.</w:t>
      </w:r>
    </w:p>
    <w:bookmarkEnd w:id="145"/>
    <w:bookmarkStart w:id="147" w:name="ref-Vincent1984"/>
    <w:p>
      <w:pPr>
        <w:pStyle w:val="Bibliography"/>
      </w:pPr>
      <w:r>
        <w:t xml:space="preserve">Vincent W.F., Gibbs M.M. &amp; Dryden S.J.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w:t>
      </w:r>
      <w:r>
        <w:t xml:space="preserve"> </w:t>
      </w:r>
      <w:r>
        <w:rPr>
          <w:i/>
          <w:iCs/>
        </w:rPr>
        <w:t xml:space="preserve">New Zealand Journal of Marine and Freshwater Research</w:t>
      </w:r>
      <w:r>
        <w:t xml:space="preserve"> </w:t>
      </w:r>
      <w:r>
        <w:rPr>
          <w:b/>
          <w:bCs/>
        </w:rPr>
        <w:t xml:space="preserve">18</w:t>
      </w:r>
      <w:r>
        <w:t xml:space="preserve">, 431–440.</w:t>
      </w:r>
      <w:r>
        <w:t xml:space="preserve"> </w:t>
      </w:r>
      <w:hyperlink r:id="rId146">
        <w:r>
          <w:rPr>
            <w:rStyle w:val="Hyperlink"/>
          </w:rPr>
          <w:t xml:space="preserve">https://doi.org/10.1080/00288330.1984.9516064</w:t>
        </w:r>
      </w:hyperlink>
    </w:p>
    <w:bookmarkEnd w:id="147"/>
    <w:bookmarkStart w:id="149" w:name="ref-Woolway2021"/>
    <w:p>
      <w:pPr>
        <w:pStyle w:val="Bibliography"/>
      </w:pPr>
      <w:r>
        <w:t xml:space="preserve">Woolway R.I., Sharma S., Weyhenmeyer G.A., Debolskiy A., Golub M., Mercado-Bettín D.,</w:t>
      </w:r>
      <w:r>
        <w:t xml:space="preserve"> </w:t>
      </w:r>
      <w:r>
        <w:rPr>
          <w:i/>
          <w:iCs/>
        </w:rPr>
        <w:t xml:space="preserve">et al.</w:t>
      </w:r>
      <w:r>
        <w:t xml:space="preserve"> </w:t>
      </w:r>
      <w:r>
        <w:t xml:space="preserve">(2021). Phenological shifts in lake stratification under climate change.</w:t>
      </w:r>
      <w:r>
        <w:t xml:space="preserve"> </w:t>
      </w:r>
      <w:r>
        <w:rPr>
          <w:i/>
          <w:iCs/>
        </w:rPr>
        <w:t xml:space="preserve">Nature Communications</w:t>
      </w:r>
      <w:r>
        <w:t xml:space="preserve"> </w:t>
      </w:r>
      <w:r>
        <w:rPr>
          <w:b/>
          <w:bCs/>
        </w:rPr>
        <w:t xml:space="preserve">12</w:t>
      </w:r>
      <w:r>
        <w:t xml:space="preserve">.</w:t>
      </w:r>
      <w:r>
        <w:t xml:space="preserve"> </w:t>
      </w:r>
      <w:hyperlink r:id="rId148">
        <w:r>
          <w:rPr>
            <w:rStyle w:val="Hyperlink"/>
          </w:rPr>
          <w:t xml:space="preserve">https://doi.org/10.1038/s41467-021-22657-4</w:t>
        </w:r>
      </w:hyperlink>
    </w:p>
    <w:bookmarkEnd w:id="149"/>
    <w:bookmarkStart w:id="151" w:name="ref-Zhao2024"/>
    <w:p>
      <w:pPr>
        <w:pStyle w:val="Bibliography"/>
      </w:pPr>
      <w:r>
        <w:t xml:space="preserve">Zhao M., Feng G., Wang H., Shen C., Fu Y., Zhang Y.,</w:t>
      </w:r>
      <w:r>
        <w:t xml:space="preserve"> </w:t>
      </w:r>
      <w:r>
        <w:rPr>
          <w:i/>
          <w:iCs/>
        </w:rPr>
        <w:t xml:space="preserve">et al.</w:t>
      </w:r>
      <w:r>
        <w:t xml:space="preserve"> </w:t>
      </w:r>
      <w:r>
        <w:t xml:space="preserve">(2024).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w:t>
      </w:r>
      <w:r>
        <w:t xml:space="preserve"> </w:t>
      </w:r>
      <w:hyperlink r:id="rId150">
        <w:r>
          <w:rPr>
            <w:rStyle w:val="Hyperlink"/>
          </w:rPr>
          <w:t xml:space="preserve">https://doi.org/10.3390/ani14081147</w:t>
        </w:r>
      </w:hyperlink>
    </w:p>
    <w:bookmarkEnd w:id="151"/>
    <w:bookmarkEnd w:id="152"/>
    <w:bookmarkEnd w:id="153"/>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16" Target="media/rId16.jpg" /><Relationship Type="http://schemas.openxmlformats.org/officeDocument/2006/relationships/image" Id="rId48" Target="media/rId48.png" /><Relationship Type="http://schemas.openxmlformats.org/officeDocument/2006/relationships/image" Id="rId61" Target="media/rId61.png" /><Relationship Type="http://schemas.openxmlformats.org/officeDocument/2006/relationships/image" Id="rId52" Target="media/rId52.png" /><Relationship Type="http://schemas.openxmlformats.org/officeDocument/2006/relationships/image" Id="rId44" Target="media/rId44.png" /><Relationship Type="http://schemas.openxmlformats.org/officeDocument/2006/relationships/image" Id="rId57" Target="media/rId57.png" /><Relationship Type="http://schemas.openxmlformats.org/officeDocument/2006/relationships/hyperlink" Id="rId38" Target="https://OlivierRaven.github.io/Reefs_Rotoiti/index.qmd.html" TargetMode="External" /><Relationship Type="http://schemas.openxmlformats.org/officeDocument/2006/relationships/hyperlink" Id="rId81" Target="https://atlas.boprc.govt.nz/api/v1/edms/document/A3651696/content" TargetMode="External" /><Relationship Type="http://schemas.openxmlformats.org/officeDocument/2006/relationships/hyperlink" Id="rId69" Target="https://doi.org/10.1007/978-0-387-22456-5_6" TargetMode="External" /><Relationship Type="http://schemas.openxmlformats.org/officeDocument/2006/relationships/hyperlink" Id="rId76" Target="https://doi.org/10.1007/978-94-017-0771-8_15" TargetMode="External" /><Relationship Type="http://schemas.openxmlformats.org/officeDocument/2006/relationships/hyperlink" Id="rId95" Target="https://doi.org/10.1007/s10530-026-03852-0" TargetMode="External" /><Relationship Type="http://schemas.openxmlformats.org/officeDocument/2006/relationships/hyperlink" Id="rId89" Target="https://doi.org/10.1007/s10750-007-9108-z" TargetMode="External" /><Relationship Type="http://schemas.openxmlformats.org/officeDocument/2006/relationships/hyperlink" Id="rId125" Target="https://doi.org/10.1007/s10750-026-06302-z" TargetMode="External" /><Relationship Type="http://schemas.openxmlformats.org/officeDocument/2006/relationships/hyperlink" Id="rId93" Target="https://doi.org/10.1016/j.fishres.2015.03.015" TargetMode="External" /><Relationship Type="http://schemas.openxmlformats.org/officeDocument/2006/relationships/hyperlink" Id="rId86" Target="https://doi.org/10.1016/s0165-7836(97)00046-5" TargetMode="External" /><Relationship Type="http://schemas.openxmlformats.org/officeDocument/2006/relationships/hyperlink" Id="rId138" Target="https://doi.org/10.1023/A:1021094309738" TargetMode="External" /><Relationship Type="http://schemas.openxmlformats.org/officeDocument/2006/relationships/hyperlink" Id="rId112" Target="https://doi.org/10.1023/b:hydr.0000043189.91134.94" TargetMode="External" /><Relationship Type="http://schemas.openxmlformats.org/officeDocument/2006/relationships/hyperlink" Id="rId148" Target="https://doi.org/10.1038/s41467-021-22657-4" TargetMode="External" /><Relationship Type="http://schemas.openxmlformats.org/officeDocument/2006/relationships/hyperlink" Id="rId133" Target="https://doi.org/10.1038/s41586-024-08375-z" TargetMode="External" /><Relationship Type="http://schemas.openxmlformats.org/officeDocument/2006/relationships/hyperlink" Id="rId114" Target="https://doi.org/10.1046/j.1365-2427.2001.00702.x" TargetMode="External" /><Relationship Type="http://schemas.openxmlformats.org/officeDocument/2006/relationships/hyperlink" Id="rId105" Target="https://doi.org/10.1051/kmae/2025022" TargetMode="External" /><Relationship Type="http://schemas.openxmlformats.org/officeDocument/2006/relationships/hyperlink" Id="rId99" Target="https://doi.org/10.1071/mf14148" TargetMode="External" /><Relationship Type="http://schemas.openxmlformats.org/officeDocument/2006/relationships/hyperlink" Id="rId146" Target="https://doi.org/10.1080/00288330.1984.9516064" TargetMode="External" /><Relationship Type="http://schemas.openxmlformats.org/officeDocument/2006/relationships/hyperlink" Id="rId91" Target="https://doi.org/10.1080/00288330.1990.9516399" TargetMode="External" /><Relationship Type="http://schemas.openxmlformats.org/officeDocument/2006/relationships/hyperlink" Id="rId142" Target="https://doi.org/10.1080/00288330.2000.9516957" TargetMode="External" /><Relationship Type="http://schemas.openxmlformats.org/officeDocument/2006/relationships/hyperlink" Id="rId116" Target="https://doi.org/10.1080/00288330909510034" TargetMode="External" /><Relationship Type="http://schemas.openxmlformats.org/officeDocument/2006/relationships/hyperlink" Id="rId97" Target="https://doi.org/10.1080/00288330909510036" TargetMode="External" /><Relationship Type="http://schemas.openxmlformats.org/officeDocument/2006/relationships/hyperlink" Id="rId108" Target="https://doi.org/10.1080/10641269509388566" TargetMode="External" /><Relationship Type="http://schemas.openxmlformats.org/officeDocument/2006/relationships/hyperlink" Id="rId131" Target="https://doi.org/10.1098/rstb.2014.0060" TargetMode="External" /><Relationship Type="http://schemas.openxmlformats.org/officeDocument/2006/relationships/hyperlink" Id="rId136" Target="https://doi.org/10.1111/1365-2656.13213" TargetMode="External" /><Relationship Type="http://schemas.openxmlformats.org/officeDocument/2006/relationships/hyperlink" Id="rId110" Target="https://doi.org/10.1111/j.1365-2427.2006.01641.x" TargetMode="External" /><Relationship Type="http://schemas.openxmlformats.org/officeDocument/2006/relationships/hyperlink" Id="rId120" Target="https://doi.org/10.15663/eri.report.169" TargetMode="External" /><Relationship Type="http://schemas.openxmlformats.org/officeDocument/2006/relationships/hyperlink" Id="rId67" Target="https://doi.org/10.1674/0003-0031(2007)158[85:daieoc]2.0.co;2" TargetMode="External" /><Relationship Type="http://schemas.openxmlformats.org/officeDocument/2006/relationships/hyperlink" Id="rId118" Target="https://doi.org/10.1890/04-0719" TargetMode="External" /><Relationship Type="http://schemas.openxmlformats.org/officeDocument/2006/relationships/hyperlink" Id="rId129" Target="https://doi.org/10.21203/rs.3.rs-9891519/v1" TargetMode="External" /><Relationship Type="http://schemas.openxmlformats.org/officeDocument/2006/relationships/hyperlink" Id="rId140" Target="https://doi.org/10.2307/1942110" TargetMode="External" /><Relationship Type="http://schemas.openxmlformats.org/officeDocument/2006/relationships/hyperlink" Id="rId84" Target="https://doi.org/10.32614/cran.package.dharma" TargetMode="External" /><Relationship Type="http://schemas.openxmlformats.org/officeDocument/2006/relationships/hyperlink" Id="rId103" Target="https://doi.org/10.32614/cran.package.emmeans" TargetMode="External" /><Relationship Type="http://schemas.openxmlformats.org/officeDocument/2006/relationships/hyperlink" Id="rId73" Target="https://doi.org/10.32614/cran.package.glmmtmb" TargetMode="External" /><Relationship Type="http://schemas.openxmlformats.org/officeDocument/2006/relationships/hyperlink" Id="rId150" Target="https://doi.org/10.3390/ani14081147" TargetMode="External" /><Relationship Type="http://schemas.openxmlformats.org/officeDocument/2006/relationships/hyperlink" Id="rId101" Target="https://doi.org/10.5194/we-25-221-2025" TargetMode="External" /><Relationship Type="http://schemas.openxmlformats.org/officeDocument/2006/relationships/hyperlink" Id="rId127" Target="https://olivierraven.github.io/Koura_Mesocosm/" TargetMode="External" /><Relationship Type="http://schemas.openxmlformats.org/officeDocument/2006/relationships/hyperlink" Id="rId79" Target="https://researchcommons.waikato.ac.nz/handle/10289/12746" TargetMode="External" /><Relationship Type="http://schemas.openxmlformats.org/officeDocument/2006/relationships/hyperlink" Id="rId123" Target="https://www.R-project.org/" TargetMode="External" /><Relationship Type="http://schemas.openxmlformats.org/officeDocument/2006/relationships/hyperlink" Id="rId144" Target="https://www.waikatoregion.govt.nz/assets/WRC/TR201918.pdf" TargetMode="External" /></Relationships>
</file>

<file path=word/_rels/footnotes.xml.rels><?xml version="1.0" encoding="UTF-8"?><Relationships xmlns="http://schemas.openxmlformats.org/package/2006/relationships"><Relationship Type="http://schemas.openxmlformats.org/officeDocument/2006/relationships/hyperlink" Id="rId38" Target="https://OlivierRaven.github.io/Reefs_Rotoiti/index.qmd.html" TargetMode="External" /><Relationship Type="http://schemas.openxmlformats.org/officeDocument/2006/relationships/hyperlink" Id="rId81" Target="https://atlas.boprc.govt.nz/api/v1/edms/document/A3651696/content" TargetMode="External" /><Relationship Type="http://schemas.openxmlformats.org/officeDocument/2006/relationships/hyperlink" Id="rId69" Target="https://doi.org/10.1007/978-0-387-22456-5_6" TargetMode="External" /><Relationship Type="http://schemas.openxmlformats.org/officeDocument/2006/relationships/hyperlink" Id="rId76" Target="https://doi.org/10.1007/978-94-017-0771-8_15" TargetMode="External" /><Relationship Type="http://schemas.openxmlformats.org/officeDocument/2006/relationships/hyperlink" Id="rId95" Target="https://doi.org/10.1007/s10530-026-03852-0" TargetMode="External" /><Relationship Type="http://schemas.openxmlformats.org/officeDocument/2006/relationships/hyperlink" Id="rId89" Target="https://doi.org/10.1007/s10750-007-9108-z" TargetMode="External" /><Relationship Type="http://schemas.openxmlformats.org/officeDocument/2006/relationships/hyperlink" Id="rId125" Target="https://doi.org/10.1007/s10750-026-06302-z" TargetMode="External" /><Relationship Type="http://schemas.openxmlformats.org/officeDocument/2006/relationships/hyperlink" Id="rId93" Target="https://doi.org/10.1016/j.fishres.2015.03.015" TargetMode="External" /><Relationship Type="http://schemas.openxmlformats.org/officeDocument/2006/relationships/hyperlink" Id="rId86" Target="https://doi.org/10.1016/s0165-7836(97)00046-5" TargetMode="External" /><Relationship Type="http://schemas.openxmlformats.org/officeDocument/2006/relationships/hyperlink" Id="rId138" Target="https://doi.org/10.1023/A:1021094309738" TargetMode="External" /><Relationship Type="http://schemas.openxmlformats.org/officeDocument/2006/relationships/hyperlink" Id="rId112" Target="https://doi.org/10.1023/b:hydr.0000043189.91134.94" TargetMode="External" /><Relationship Type="http://schemas.openxmlformats.org/officeDocument/2006/relationships/hyperlink" Id="rId148" Target="https://doi.org/10.1038/s41467-021-22657-4" TargetMode="External" /><Relationship Type="http://schemas.openxmlformats.org/officeDocument/2006/relationships/hyperlink" Id="rId133" Target="https://doi.org/10.1038/s41586-024-08375-z" TargetMode="External" /><Relationship Type="http://schemas.openxmlformats.org/officeDocument/2006/relationships/hyperlink" Id="rId114" Target="https://doi.org/10.1046/j.1365-2427.2001.00702.x" TargetMode="External" /><Relationship Type="http://schemas.openxmlformats.org/officeDocument/2006/relationships/hyperlink" Id="rId105" Target="https://doi.org/10.1051/kmae/2025022" TargetMode="External" /><Relationship Type="http://schemas.openxmlformats.org/officeDocument/2006/relationships/hyperlink" Id="rId99" Target="https://doi.org/10.1071/mf14148" TargetMode="External" /><Relationship Type="http://schemas.openxmlformats.org/officeDocument/2006/relationships/hyperlink" Id="rId146" Target="https://doi.org/10.1080/00288330.1984.9516064" TargetMode="External" /><Relationship Type="http://schemas.openxmlformats.org/officeDocument/2006/relationships/hyperlink" Id="rId91" Target="https://doi.org/10.1080/00288330.1990.9516399" TargetMode="External" /><Relationship Type="http://schemas.openxmlformats.org/officeDocument/2006/relationships/hyperlink" Id="rId142" Target="https://doi.org/10.1080/00288330.2000.9516957" TargetMode="External" /><Relationship Type="http://schemas.openxmlformats.org/officeDocument/2006/relationships/hyperlink" Id="rId116" Target="https://doi.org/10.1080/00288330909510034" TargetMode="External" /><Relationship Type="http://schemas.openxmlformats.org/officeDocument/2006/relationships/hyperlink" Id="rId97" Target="https://doi.org/10.1080/00288330909510036" TargetMode="External" /><Relationship Type="http://schemas.openxmlformats.org/officeDocument/2006/relationships/hyperlink" Id="rId108" Target="https://doi.org/10.1080/10641269509388566" TargetMode="External" /><Relationship Type="http://schemas.openxmlformats.org/officeDocument/2006/relationships/hyperlink" Id="rId131" Target="https://doi.org/10.1098/rstb.2014.0060" TargetMode="External" /><Relationship Type="http://schemas.openxmlformats.org/officeDocument/2006/relationships/hyperlink" Id="rId136" Target="https://doi.org/10.1111/1365-2656.13213" TargetMode="External" /><Relationship Type="http://schemas.openxmlformats.org/officeDocument/2006/relationships/hyperlink" Id="rId110" Target="https://doi.org/10.1111/j.1365-2427.2006.01641.x" TargetMode="External" /><Relationship Type="http://schemas.openxmlformats.org/officeDocument/2006/relationships/hyperlink" Id="rId120" Target="https://doi.org/10.15663/eri.report.169" TargetMode="External" /><Relationship Type="http://schemas.openxmlformats.org/officeDocument/2006/relationships/hyperlink" Id="rId67" Target="https://doi.org/10.1674/0003-0031(2007)158[85:daieoc]2.0.co;2" TargetMode="External" /><Relationship Type="http://schemas.openxmlformats.org/officeDocument/2006/relationships/hyperlink" Id="rId118" Target="https://doi.org/10.1890/04-0719" TargetMode="External" /><Relationship Type="http://schemas.openxmlformats.org/officeDocument/2006/relationships/hyperlink" Id="rId129" Target="https://doi.org/10.21203/rs.3.rs-9891519/v1" TargetMode="External" /><Relationship Type="http://schemas.openxmlformats.org/officeDocument/2006/relationships/hyperlink" Id="rId140" Target="https://doi.org/10.2307/1942110" TargetMode="External" /><Relationship Type="http://schemas.openxmlformats.org/officeDocument/2006/relationships/hyperlink" Id="rId84" Target="https://doi.org/10.32614/cran.package.dharma" TargetMode="External" /><Relationship Type="http://schemas.openxmlformats.org/officeDocument/2006/relationships/hyperlink" Id="rId103" Target="https://doi.org/10.32614/cran.package.emmeans" TargetMode="External" /><Relationship Type="http://schemas.openxmlformats.org/officeDocument/2006/relationships/hyperlink" Id="rId73" Target="https://doi.org/10.32614/cran.package.glmmtmb" TargetMode="External" /><Relationship Type="http://schemas.openxmlformats.org/officeDocument/2006/relationships/hyperlink" Id="rId150" Target="https://doi.org/10.3390/ani14081147" TargetMode="External" /><Relationship Type="http://schemas.openxmlformats.org/officeDocument/2006/relationships/hyperlink" Id="rId101" Target="https://doi.org/10.5194/we-25-221-2025" TargetMode="External" /><Relationship Type="http://schemas.openxmlformats.org/officeDocument/2006/relationships/hyperlink" Id="rId127" Target="https://olivierraven.github.io/Koura_Mesocosm/" TargetMode="External" /><Relationship Type="http://schemas.openxmlformats.org/officeDocument/2006/relationships/hyperlink" Id="rId79" Target="https://researchcommons.waikato.ac.nz/handle/10289/12746" TargetMode="External" /><Relationship Type="http://schemas.openxmlformats.org/officeDocument/2006/relationships/hyperlink" Id="rId123" Target="https://www.R-project.org/" TargetMode="External" /><Relationship Type="http://schemas.openxmlformats.org/officeDocument/2006/relationships/hyperlink" Id="rId144" Target="https://www.waikatoregion.govt.nz/assets/WRC/TR20191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Piles as Kōura Habitat</dc:title>
  <dc:creator/>
  <cp:keywords>Paranephrops planifrons, Artificial reef, Habitat restoration, Stone piles, Aotearoa New Zealand</cp:keywords>
  <dcterms:created xsi:type="dcterms:W3CDTF">2026-07-09T23:40:47Z</dcterms:created>
  <dcterms:modified xsi:type="dcterms:W3CDTF">2026-07-09T23:40:47Z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references/freshwater-biology.csl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Reinforcing kōura resilience using rock piles to enhance freshwater crayfish habitat in an Aotearoa New Zealand lake</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