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16.jpg" ContentType="image/jpeg"/>
  <Override PartName="/word/media/rId83.png" ContentType="image/png"/>
  <Override PartName="/word/media/rId55.png" ContentType="image/png"/>
  <Override PartName="/word/media/rId47.png" ContentType="image/png"/>
  <Override PartName="/word/media/rId51.png" ContentType="image/png"/>
  <Override PartName="/word/media/rId68.png" ContentType="image/png"/>
  <Override PartName="/word/media/rId72.png" ContentType="image/png"/>
  <Override PartName="/word/media/rId59.png" ContentType="image/png"/>
  <Override PartName="/word/media/rId7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 Piles as Kōura Habitat</w:t>
      </w:r>
    </w:p>
    <w:p>
      <w:pPr>
        <w:pStyle w:val="Subtitle"/>
      </w:pPr>
      <w:r>
        <w:t xml:space="preserve">Habitat enhancement for a native freshwater crayfish threatened by an invasive predator: a field trial of stone pile structures in an Aotearoa New Zealand lake</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Aotearoa New Zealand</w:t>
      </w:r>
      <w:r>
        <w:t xml:space="preserve">; </w:t>
      </w:r>
      <w:r>
        <w:t xml:space="preserve">Artificial reef</w:t>
      </w:r>
      <w:r>
        <w:t xml:space="preserve">; </w:t>
      </w:r>
      <w:r>
        <w:t xml:space="preserve">Habitat enhancement</w:t>
      </w:r>
      <w:r>
        <w:t xml:space="preserve">; </w:t>
      </w:r>
      <w:r>
        <w:t xml:space="preserve">Invasive species</w:t>
      </w:r>
      <w:r>
        <w:t xml:space="preserve">; </w:t>
      </w:r>
      <w:r>
        <w:t xml:space="preserve">Lake Rotoiti, Rotorua Te Arawa Lakes</w:t>
      </w:r>
      <w:r>
        <w:t xml:space="preserve">; </w:t>
      </w:r>
      <w:r>
        <w:t xml:space="preserve">Paranephrops planifrons</w:t>
      </w:r>
    </w:p>
    <w:p>
      <w:pPr>
        <w:pStyle w:val="BodyText"/>
      </w:pPr>
      <w:r>
        <w:t xml:space="preserve">Chapter 5 Rock Piles as Kōura Habitat</w:t>
      </w:r>
      <w:r>
        <w:t xml:space="preserve"> </w:t>
      </w:r>
      <w:r>
        <w:t xml:space="preserve">Habitat enhancement for a native freshwater crayfish threatened by an invasive predator: a field trial of stone pile structures in an Aotearoa New Zealand lake</w:t>
      </w:r>
    </w:p>
    <w:p>
      <w:pPr>
        <w:pStyle w:val="BodyText"/>
      </w:pPr>
      <w:r>
        <w:drawing>
          <wp:inline>
            <wp:extent cx="5399999" cy="4049999"/>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Ian A. K. Kusabs, Robin Holmes, Francis J. Burdon &amp; Deniz Özkundakci</w:t>
      </w:r>
    </w:p>
    <w:p>
      <w:pPr>
        <w:pStyle w:val="BodyText"/>
      </w:pPr>
      <w:r>
        <w:rPr>
          <w:i/>
          <w:iCs/>
        </w:rPr>
        <w:t xml:space="preserve">Journal of Applied Ecology</w:t>
      </w:r>
      <w:r>
        <w:t xml:space="preserve"> </w:t>
      </w:r>
      <w:r>
        <w:t xml:space="preserve">— In preparation</w:t>
      </w:r>
    </w:p>
    <w:p>
      <w:r>
        <w:br w:type="page"/>
      </w:r>
    </w:p>
    <w:bookmarkStart w:id="19" w:name="abstract"/>
    <w:p>
      <w:pPr>
        <w:pStyle w:val="Heading2"/>
      </w:pPr>
      <w:r>
        <w:t xml:space="preserve">Abstract</w:t>
      </w:r>
    </w:p>
    <w:p>
      <w:pPr>
        <w:pStyle w:val="Compact"/>
        <w:numPr>
          <w:ilvl w:val="0"/>
          <w:numId w:val="1001"/>
        </w:numPr>
      </w:pPr>
      <w:r>
        <w:t xml:space="preserve">Kōura (</w:t>
      </w:r>
      <w:r>
        <w:rPr>
          <w:i/>
          <w:iCs/>
        </w:rPr>
        <w:t xml:space="preserve">Paranephrops planifrons</w:t>
      </w:r>
      <w:r>
        <w:t xml:space="preserve">), Aotearoa New Zealand’s endemic freshwater crayfish, have declined by up to 96 % in Lake Rotoiti (Te Arawa Lakes, Rotorua), driven by predation from the invasive brown bullhead catfish and by thermal stratification and invasive macrophytes that compress suitable habitat into the shallow littoral zone. Because these stressors cannot be removed at the lake scale, adding structural refuge may be one of few practical management options.</w:t>
      </w:r>
    </w:p>
    <w:p>
      <w:pPr>
        <w:pStyle w:val="Compact"/>
        <w:numPr>
          <w:ilvl w:val="0"/>
          <w:numId w:val="1001"/>
        </w:numPr>
      </w:pPr>
      <w:r>
        <w:t xml:space="preserve">We tested whether stone pile structures deployed in the littoral zone of Lake Rotoiti could provide structural refuge for kōura from predation. Kōura and catfish were monitored at five stone piles, five control, and five paired natural rocky reference sites for 18 months using a quasi before-after control-impact (quasi-BACI) design, with kōura occupancy modelled using a Bayesian framework that incorporated detection probabilities from baited traps and fyke nets.</w:t>
      </w:r>
    </w:p>
    <w:p>
      <w:pPr>
        <w:pStyle w:val="Compact"/>
        <w:numPr>
          <w:ilvl w:val="0"/>
          <w:numId w:val="1001"/>
        </w:numPr>
      </w:pPr>
      <w:r>
        <w:t xml:space="preserve">Stone pile construction produced no statistically significant change in kōura abundance, biomass, or occupancy relative to controls, but effects consistently trended positive across models; a simulation-based power analysis showed the study was underpowered to detect the observed effect size, given high pre-construction occupancy (81–89%) at all site types and only five site pairs.</w:t>
      </w:r>
    </w:p>
    <w:p>
      <w:pPr>
        <w:pStyle w:val="Compact"/>
        <w:numPr>
          <w:ilvl w:val="0"/>
          <w:numId w:val="1001"/>
        </w:numPr>
      </w:pPr>
      <w:r>
        <w:t xml:space="preserve">Kōura use of stone piles was strongly seasonal: catch rates at stone pile and control sites fell in winter as kōura withdrew to deeper water, while reference sites remained stable. Catfish showed no comparable attraction to stone piles in any season or model.</w:t>
      </w:r>
    </w:p>
    <w:p>
      <w:pPr>
        <w:pStyle w:val="Compact"/>
        <w:numPr>
          <w:ilvl w:val="0"/>
          <w:numId w:val="1001"/>
        </w:numPr>
      </w:pPr>
      <w:r>
        <w:t xml:space="preserve">Synthesis and applications. Stone piles show early, consistent evidence of benefiting a threatened native crayfish without benefiting its invasive predator, and are most valuable when habitat compression and predation pressure peak together in summer and autumn — conditions expected to intensify under climate warming. This study establishes a tested, scalable construction and consenting methodology that lake managers can deploy as an interim refuge-based tool while catfish eradication remains unachievable at the lake scale; we recommend continued monitoring beyond three years and trialling connected, corridor-style structures rather than isolated piles.</w:t>
      </w:r>
    </w:p>
    <w:bookmarkEnd w:id="19"/>
    <w:bookmarkStart w:id="20"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 et al., 2025)</w:t>
      </w:r>
      <w:r>
        <w:t xml:space="preserve">. Among the most endangered are freshwater crayfish, with 32% of species assessed as threatened globally due to habitat loss, invasive species, and declining water quality</w:t>
      </w:r>
      <w:r>
        <w:t xml:space="preserve"> </w:t>
      </w:r>
      <w:r>
        <w:t xml:space="preserve">(Richman et al., 2015)</w:t>
      </w:r>
      <w:r>
        <w:t xml:space="preserve">. As keystone species and ecosystem engineers, crayfish play crucial roles in nutrient cycling, bioturbation, and food web dynamics, and their loss can have cascading consequences for freshwater ecosystems</w:t>
      </w:r>
      <w:r>
        <w:t xml:space="preserve"> </w:t>
      </w:r>
      <w:r>
        <w:t xml:space="preserve">(Collier et al., 1997; Momot, 1995; Parkyn et al., 2001)</w:t>
      </w:r>
      <w:r>
        <w:t xml:space="preserve">. In Aotearoa New Zealand, these pressures converge on kōura (</w:t>
      </w:r>
      <w:r>
        <w:rPr>
          <w:i/>
          <w:iCs/>
        </w:rPr>
        <w:t xml:space="preserve">Paranephrops planifrons</w:t>
      </w:r>
      <w:r>
        <w:t xml:space="preserve"> </w:t>
      </w:r>
      <w:r>
        <w:t xml:space="preserve">White, 1842), an endemic freshwater crayfish now facing rapid population decline in lakes that have long supported some of the largest customary kōura fisheries in the country</w:t>
      </w:r>
      <w:r>
        <w:t xml:space="preserve"> </w:t>
      </w:r>
      <w:r>
        <w:t xml:space="preserve">(Hiroa, 1921; Kusabs &amp; Quinn, 2009)</w:t>
      </w:r>
      <w:r>
        <w:t xml:space="preserve">.</w:t>
      </w:r>
    </w:p>
    <w:p>
      <w:pPr>
        <w:pStyle w:val="BodyText"/>
      </w:pPr>
      <w:r>
        <w:t xml:space="preserve">Kōura populations in Lake Rotoiti, located in the Rotorua Te Arawa Lakes region of the North Island of Aotearoa New Zealand (hereafter Aotearoa), have declined by up to 96 % over the past two decades</w:t>
      </w:r>
      <w:r>
        <w:t xml:space="preserve"> </w:t>
      </w:r>
      <w:r>
        <w:t xml:space="preserve">(I. A. K. Kusabs et al., 2026)</w:t>
      </w:r>
      <w:r>
        <w:t xml:space="preserve">. This collapse has virtually ended customary harvest practices for Te Arawa iwi (Māori tribal group) who are hunga tiaki (traditional custodians) of the lake</w:t>
      </w:r>
      <w:r>
        <w:t xml:space="preserve"> </w:t>
      </w:r>
      <w:r>
        <w:t xml:space="preserve">(Kusabs, Hicks, et al., 2015)</w:t>
      </w:r>
      <w:r>
        <w:t xml:space="preserve">. The decline in kōura numbers is driven by multiple interacting stressors that compound over time in different parts of the lake</w:t>
      </w:r>
      <w:r>
        <w:t xml:space="preserve"> </w:t>
      </w:r>
      <w:r>
        <w:t xml:space="preserve">(I. A. K. Kusabs et al., 2026; Lee et al., 2025)</w:t>
      </w:r>
      <w:r>
        <w:t xml:space="preserve">. The invasive brown bullhead catfish (</w:t>
      </w:r>
      <w:r>
        <w:rPr>
          <w:i/>
          <w:iCs/>
        </w:rPr>
        <w:t xml:space="preserve">Ameiurus nebulosus</w:t>
      </w:r>
      <w:r>
        <w:t xml:space="preserve"> </w:t>
      </w:r>
      <w:r>
        <w:t xml:space="preserve">Lesueur, 1819, hereafter catfish), confirmed in Lake Rotoiti in 2016</w:t>
      </w:r>
      <w:r>
        <w:t xml:space="preserve"> </w:t>
      </w:r>
      <w:r>
        <w:t xml:space="preserve">(Francis, 2019; Grayling, 2020)</w:t>
      </w:r>
      <w:r>
        <w:t xml:space="preserve">, preys directly on kōura and suppresses their foraging through non-consumptive ‘fear’ effects</w:t>
      </w:r>
      <w:r>
        <w:t xml:space="preserve"> </w:t>
      </w:r>
      <w:r>
        <w:t xml:space="preserve">(Raven et al., 2026a)</w:t>
      </w:r>
      <w:r>
        <w:t xml:space="preserve">. Predation pressure from catfish is compounded by additional stressors that constrain where in the lake kōura can seek refuge from this invasive predator</w:t>
      </w:r>
      <w:r>
        <w:t xml:space="preserve"> </w:t>
      </w:r>
      <w:r>
        <w:t xml:space="preserve">(I. A. K. Kusabs et al., 2026)</w:t>
      </w:r>
      <w:r>
        <w:t xml:space="preserve">.</w:t>
      </w:r>
    </w:p>
    <w:p>
      <w:pPr>
        <w:pStyle w:val="BodyText"/>
      </w:pPr>
      <w:r>
        <w:t xml:space="preserve">During the day, kōura shelter in complex rocky habitat and in deeper water to avoid predation</w:t>
      </w:r>
      <w:r>
        <w:t xml:space="preserve"> </w:t>
      </w:r>
      <w:r>
        <w:t xml:space="preserve">(Jowett et al., 2008; Kusabs, Quinn, et al., 2015)</w:t>
      </w:r>
      <w:r>
        <w:t xml:space="preserve">, moving out of both at night to forage in the productive littoral zone</w:t>
      </w:r>
      <w:r>
        <w:t xml:space="preserve"> </w:t>
      </w:r>
      <w:r>
        <w:t xml:space="preserve">(Devcich, 1979)</w:t>
      </w:r>
      <w:r>
        <w:t xml:space="preserve">. The importance of deep-water refuge is shown in Lake Taupō, where kōura persist at a depth even in the presence of catfish because the lake remains oxygenated below the thermocline</w:t>
      </w:r>
      <w:r>
        <w:t xml:space="preserve"> </w:t>
      </w:r>
      <w:r>
        <w:t xml:space="preserve">(I. Kusabs &amp; Taiaroa, 2015; Verburg &amp; Albert, 2019)</w:t>
      </w:r>
      <w:r>
        <w:t xml:space="preserve">. In Lake Rotoiti, this deep refuge becomes anoxic during summer stratification and unavailable for kōura, compressing the zone of liveable habitat into the shallow littoral margins</w:t>
      </w:r>
      <w:r>
        <w:t xml:space="preserve"> </w:t>
      </w:r>
      <w:r>
        <w:t xml:space="preserve">(I. A. K. Kusabs et al., 2026)</w:t>
      </w:r>
      <w:r>
        <w:t xml:space="preserve">, precisely where catfish are most active</w:t>
      </w:r>
      <w:r>
        <w:t xml:space="preserve"> </w:t>
      </w:r>
      <w:r>
        <w:t xml:space="preserve">(Blanchfield et al., 2026; Dedual, 2002)</w:t>
      </w:r>
      <w:r>
        <w:t xml:space="preserve">. Dense beds of invasive macrophytes further restrict kōura movement through this compressed zone and intensify oxygen depletion during die-off events</w:t>
      </w:r>
      <w:r>
        <w:t xml:space="preserve"> </w:t>
      </w:r>
      <w:r>
        <w:t xml:space="preserve">(Hamilton et al., 2005; Kusabs &amp; Quinn, 2009; Vincent et al., 1984)</w:t>
      </w:r>
      <w:r>
        <w:t xml:space="preserve">. Catfish pressure and thermal stratification are expected to only strengthen with predicted climate scenarios</w:t>
      </w:r>
      <w:r>
        <w:t xml:space="preserve"> </w:t>
      </w:r>
      <w:r>
        <w:t xml:space="preserve">(Lee et al., 2025; Woolway et al., 2021)</w:t>
      </w:r>
      <w:r>
        <w:t xml:space="preserve">, making kōura habitat compression and predation pressure progressively more severe.</w:t>
      </w:r>
    </w:p>
    <w:p>
      <w:pPr>
        <w:pStyle w:val="BodyText"/>
      </w:pPr>
      <w:r>
        <w:t xml:space="preserve">The compression of suitable habitat and subsequent concentration of kōura into the littoral zone makes the quality of nearshore lacustrine habitats increasingly important for remaining populations. In stream environments, kōura are positively associated with structurally complex habitats including bank undercuts, woody debris, leaf litter, and coarse substrates</w:t>
      </w:r>
      <w:r>
        <w:t xml:space="preserve"> </w:t>
      </w:r>
      <w:r>
        <w:t xml:space="preserve">(Jowett et al., 2008; Parkyn et al., 2009; Parkyn &amp; Collier, 2004; Usio &amp; Townsend, 2000)</w:t>
      </w:r>
      <w:r>
        <w:t xml:space="preserve">. In lake environments, benthic substrate characteristics are a stronger predictor of kōura distribution than nutrient enrichment or predator abundance</w:t>
      </w:r>
      <w:r>
        <w:t xml:space="preserve"> </w:t>
      </w:r>
      <w:r>
        <w:t xml:space="preserve">(Kusabs, Quinn, et al., 2015)</w:t>
      </w:r>
      <w:r>
        <w:t xml:space="preserve">, and kōura are positively associated with coarse substrates and riparian vegetation</w:t>
      </w:r>
      <w:r>
        <w:t xml:space="preserve"> </w:t>
      </w:r>
      <w:r>
        <w:t xml:space="preserve">(Raven et al., 2026b)</w:t>
      </w:r>
      <w:r>
        <w:t xml:space="preserve">. Coarse rocky substrate provides refugia from predators and shelter during moulting</w:t>
      </w:r>
      <w:r>
        <w:t xml:space="preserve"> </w:t>
      </w:r>
      <w:r>
        <w:t xml:space="preserve">(Streissl &amp; Hödl, 2002)</w:t>
      </w:r>
      <w:r>
        <w:t xml:space="preserve">. Experimental studies confirm that shelter availability directly reduces catfish predation on crayfish</w:t>
      </w:r>
      <w:r>
        <w:t xml:space="preserve"> </w:t>
      </w:r>
      <w:r>
        <w:t xml:space="preserve">(Adams, 2007; Zhao et al., 2024)</w:t>
      </w:r>
      <w:r>
        <w:t xml:space="preserve">, and kōura increase refuge use in the presence of catfish compared to native predators</w:t>
      </w:r>
      <w:r>
        <w:t xml:space="preserve"> </w:t>
      </w:r>
      <w:r>
        <w:t xml:space="preserve">(Raven et al., 2026a)</w:t>
      </w:r>
      <w:r>
        <w:t xml:space="preserve">, emphasising the importance of shelter availability for kōura populations. Shelter availability is likely a limiting factor for kōura in Lake Rotoiti, where the majority of the shoreline is sandy with dense beds of introduced macrophytes and little rocky structure. Adding rocky substrate to soft-bottomed lake areas has been shown to significantly increase crayfish abundance</w:t>
      </w:r>
      <w:r>
        <w:t xml:space="preserve"> </w:t>
      </w:r>
      <w:r>
        <w:t xml:space="preserve">(Johnsen &amp; Taugbøl, 2008)</w:t>
      </w:r>
      <w:r>
        <w:t xml:space="preserve">, and increasing structural complexity in streams improves crayfish restocking success</w:t>
      </w:r>
      <w:r>
        <w:t xml:space="preserve"> </w:t>
      </w:r>
      <w:r>
        <w:t xml:space="preserve">(Huolila et al., 1997)</w:t>
      </w:r>
      <w:r>
        <w:t xml:space="preserve">. Deploying habitat enhancement structures that add structural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more rapidly at the stone pile sites than at control sites, as intense catfish predation pressure in the littoral zone was expected to compel kōura actively toward available refuge structures. We further predicted that kōura abundance would continue to increase progressively after construction, at least within the first 18 months, and that catfish would instead show seasonal patterns of shoreline use rather than a construction-driven trend</w:t>
      </w:r>
      <w:r>
        <w:t xml:space="preserve"> </w:t>
      </w:r>
      <w:r>
        <w:t xml:space="preserve">(Barnes, 1996; Blanchfield et al., 2026; Dedual, 2002)</w:t>
      </w:r>
      <w:r>
        <w:t xml:space="preserve">. Finally, we predicted that stone pile sites would progressively converge toward kōura densities observed at natural rocky reference sites, and that catfish would not exhibit a similar pattern.</w:t>
      </w:r>
    </w:p>
    <w:bookmarkEnd w:id="20"/>
    <w:bookmarkStart w:id="24" w:name="materials-and-methods"/>
    <w:p>
      <w:pPr>
        <w:pStyle w:val="Heading2"/>
      </w:pPr>
      <w:r>
        <w:t xml:space="preserve">Materials and Methods</w:t>
      </w:r>
    </w:p>
    <w:bookmarkStart w:id="21"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w:t>
      </w:r>
      <w:r>
        <w:t xml:space="preserve">Fig. S1</w:t>
      </w:r>
      <w:r>
        <w:t xml:space="preserve">), with pronounced thermal stratification compressing oxygenated habitat into the shallow littoral zone during summer and autumn. Since 2008, nutrient-rich inflows from Lake Rotorua have been diverted toward the Kaituna River via the Ōhau Channel diversion wall to improve water quality in Lake Rotoiti</w:t>
      </w:r>
      <w:r>
        <w:t xml:space="preserve"> </w:t>
      </w:r>
      <w:r>
        <w:t xml:space="preserve">(Hamilton et al., 2005; Prentice et al., 2026)</w:t>
      </w:r>
      <w:r>
        <w:t xml:space="preserve">. Lake level is regulated by a weir at the outlet of the Kaituna River, providing a stable and controlled water level throughout the year. Catfish are present throughout the lake but occur in particularly high concentrations in Te Weta Bay on the Northwest side of the lake</w:t>
      </w:r>
      <w:r>
        <w:t xml:space="preserve"> </w:t>
      </w:r>
      <w:r>
        <w:t xml:space="preserve">(Francis, 2019)</w:t>
      </w:r>
      <w:r>
        <w:t xml:space="preserve">. Five stone pile sites were selected alongside the lake shoreline based on accessibility and landowner approval (</w:t>
      </w:r>
      <w:hyperlink w:anchor="fig-sites">
        <w:r>
          <w:rPr>
            <w:rStyle w:val="Hyperlink"/>
          </w:rPr>
          <w:t xml:space="preserve">Figure 1</w:t>
        </w:r>
      </w:hyperlink>
      <w:r>
        <w:t xml:space="preserve">). At each stone pile site, a paired control site was established 50 m along the shoreline, matched for habitat characteristics e.g., water depth, substrate type and vegetation cover. Five naturally occurring rocky shoreline locations, with each two monitoring sites 50 m apart were selected as reference. In total, 20 sites of each 150 m² (15 × 10 m) were monitored seasonally over 18 months. Physical characteristics of all sites are summarised in</w:t>
      </w:r>
      <w:r>
        <w:t xml:space="preserve"> </w:t>
      </w:r>
      <w:hyperlink w:anchor="tbl-site-overview">
        <w:r>
          <w:rPr>
            <w:rStyle w:val="Hyperlink"/>
          </w:rPr>
          <w:t xml:space="preserve">Table 1</w:t>
        </w:r>
      </w:hyperlink>
      <w:r>
        <w:t xml:space="preserve">. Baseline monitoring was conducted in February 2025 prior to stone pile deployment, which occurred the following week. Stone piles were constructed from locally sourced quarry rock (Manawahe Stone and Quarry, ~25 km from the lake) with a diameter ranging from 85 - 315 mm (mean = 173 mm). At each of the five stone pile sites, three stone piles were arranged horizontally along the shoreline by hand from the shore. Stone pile design was informed by mesocosm experiments demonstrating kōura preference for enclosed stone structures (unpublished data). Stone piles were positioned approximately 4.3 m from shore at a mean depth of 0.49 m and with a mean area of 4.1 m².</w:t>
      </w:r>
    </w:p>
    <w:bookmarkEnd w:id="21"/>
    <w:bookmarkStart w:id="22" w:name="monitoring"/>
    <w:p>
      <w:pPr>
        <w:pStyle w:val="Heading3"/>
      </w:pPr>
      <w:r>
        <w:t xml:space="preserve">Monitoring</w:t>
      </w:r>
    </w:p>
    <w:p>
      <w:pPr>
        <w:pStyle w:val="FirstParagraph"/>
      </w:pPr>
      <w:r>
        <w:t xml:space="preserve">Physical, chemical, and biological parameters were recorded at each site during each monitoring round. Static site characteristics including substrate composition, slope to depth contour, riparian vegetation, overhanging tree cover, and wood cover were visually estimated during baseline monitoring only, as these were not expected to change substantially over the monitoring period. Substrate composition was visually estimated by a single observer walking around each site and using an underwater viewing chamber, categorising bedrock, boulders (&gt;256 mm), cobble (64–256 mm), gravel (2–64 mm), sand (0.063–2 mm), mud (&lt;0.063 mm), and organic matter</w:t>
      </w:r>
      <w:r>
        <w:t xml:space="preserve"> </w:t>
      </w:r>
      <w:r>
        <w:t xml:space="preserve">(Wentworth, 1922)</w:t>
      </w:r>
      <w:r>
        <w:t xml:space="preserve">. A substrate index, that indicates suitability for koura, was calculated from these estimates</w:t>
      </w:r>
      <w:r>
        <w:t xml:space="preserve"> </w:t>
      </w:r>
      <w:r>
        <w:t xml:space="preserve">(Jowett et al., 2008; Jowett &amp; Richardson, 1990)</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nor/>
                  <m:sty m:val="p"/>
                </m:rPr>
                <m:t>bedrock</m:t>
              </m:r>
              <m:r>
                <m:rPr>
                  <m:sty m:val="p"/>
                </m:rPr>
                <m:t>+</m:t>
              </m:r>
              <m:r>
                <m:t>0.07</m:t>
              </m:r>
              <m:r>
                <m:rPr>
                  <m:sty m:val="p"/>
                </m:rPr>
                <m:t>×</m:t>
              </m:r>
              <m:r>
                <m:rPr>
                  <m:nor/>
                  <m:sty m:val="p"/>
                </m:rPr>
                <m:t>boulders</m:t>
              </m:r>
            </m:e>
            <m:e>
              <m:r>
                <m:t>&amp;</m:t>
              </m:r>
              <m:r>
                <m:t> </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e>
            <m:e>
              <m:r>
                <m:t>&amp;</m:t>
              </m:r>
              <m:r>
                <m:t> </m:t>
              </m:r>
              <m:r>
                <m:rPr>
                  <m:sty m:val="p"/>
                </m:rPr>
                <m:t>+</m:t>
              </m:r>
              <m:r>
                <m:t>0.02</m:t>
              </m:r>
              <m:r>
                <m:rPr>
                  <m:sty m:val="p"/>
                </m:rPr>
                <m:t>×</m:t>
              </m:r>
              <m:r>
                <m:rPr>
                  <m:nor/>
                  <m:sty m:val="p"/>
                </m:rPr>
                <m:t>organic matter</m:t>
              </m:r>
              <m:r>
                <m:rPr>
                  <m:sty m:val="p"/>
                </m:rPr>
                <m:t>+</m:t>
              </m:r>
              <m:r>
                <m:t>0.01</m:t>
              </m:r>
              <m:r>
                <m:rPr>
                  <m:sty m:val="p"/>
                </m:rPr>
                <m:t>×</m:t>
              </m:r>
              <m:r>
                <m:rPr>
                  <m:nor/>
                  <m:sty m:val="p"/>
                </m:rPr>
                <m:t>mud</m:t>
              </m:r>
            </m:e>
          </m:eqArr>
        </m:oMath>
      </m:oMathPara>
    </w:p>
    <w:p>
      <w:pPr>
        <w:pStyle w:val="FirstParagraph"/>
      </w:pPr>
      <w:r>
        <w:t xml:space="preserve">Coarser substrates were assigned higher weights as they provide greater interstitial pore space and stable structures used by kōura</w:t>
      </w:r>
      <w:r>
        <w:t xml:space="preserve"> </w:t>
      </w:r>
      <w:r>
        <w:t xml:space="preserve">(Nyström et al., 2006; Usio &amp; Townsend, 2000)</w:t>
      </w:r>
      <w:r>
        <w:t xml:space="preserve">.</w:t>
      </w:r>
    </w:p>
    <w:p>
      <w:pPr>
        <w:pStyle w:val="BodyText"/>
      </w:pPr>
      <w:r>
        <w:t xml:space="preserve">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 cobble and 20 %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were measured using a YSI ProSolo meter (Pro2030, YSI Inc., Yellow Springs, OH, USA). pH was measured using a handheld pH meter (EC-PCTestr35, Eutech Instruments).</w:t>
      </w:r>
    </w:p>
    <w:p>
      <w:pPr>
        <w:pStyle w:val="BodyText"/>
      </w:pPr>
      <w:r>
        <w:t xml:space="preserve">Kōura and fish were sampled every monitoring round using two single-winged, double-throated fyke nets (600 mm high D-shaped entrance hoop) and two collapsible bait traps (480 × 250 mm; two 50 mm entrance openings) baited with catfish flesh</w:t>
      </w:r>
      <w:r>
        <w:t xml:space="preserve"> </w:t>
      </w:r>
      <w:r>
        <w:t xml:space="preserve">(Joy et al., 2013; MacNeil et al.,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were recorded for abundance, measured for total length, and weighed for wet mass. Catch per unit effort (CPUE) and biomass per unit effort (BPUE) were calculated for all kōura and fish based on the number of nets and traps deployed at each site per monitoring round, standardised by soak time</w:t>
      </w:r>
      <w:r>
        <w:t xml:space="preserve"> </w:t>
      </w:r>
      <w:r>
        <w:t xml:space="preserve">(Kusabs, Quinn, et al., 2015)</w:t>
      </w:r>
      <w:r>
        <w:t xml:space="preserve">. Kōura weights were unavailable for 36 individuals because of scale failure and were therefore estimated from a log₁₀–log₁₀ length–weight regression fitted to individuals with both measurements (n = 840), following standard approaches for weight length relationships in aquatic organisms</w:t>
      </w:r>
      <w:r>
        <w:t xml:space="preserve"> </w:t>
      </w:r>
      <w:r>
        <w:t xml:space="preserve">Fig. S2</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2.684</m:t>
          </m:r>
          <m:r>
            <m:rPr>
              <m:sty m:val="p"/>
            </m:rPr>
            <m:t>×</m:t>
          </m:r>
          <m:sSub>
            <m:e>
              <m:r>
                <m:rPr>
                  <m:sty m:val="p"/>
                </m:rPr>
                <m:t>log</m:t>
              </m:r>
            </m:e>
            <m:sub>
              <m:r>
                <m:t>10</m:t>
              </m:r>
            </m:sub>
          </m:sSub>
          <m:r>
            <m:rPr>
              <m:sty m:val="p"/>
            </m:rPr>
            <m:t>(</m:t>
          </m:r>
          <m:r>
            <m:rPr>
              <m:nor/>
              <m:sty m:val="p"/>
            </m:rPr>
            <m:t>OCL length [mm]</m:t>
          </m:r>
          <m:r>
            <m:rPr>
              <m:sty m:val="p"/>
            </m:rPr>
            <m:t>)</m:t>
          </m:r>
        </m:oMath>
      </m:oMathPara>
    </w:p>
    <w:bookmarkEnd w:id="22"/>
    <w:bookmarkStart w:id="23" w:name="data-analysis"/>
    <w:p>
      <w:pPr>
        <w:pStyle w:val="Heading3"/>
      </w:pPr>
      <w:r>
        <w:t xml:space="preserve">Data analysis</w:t>
      </w:r>
    </w:p>
    <w:p>
      <w:pPr>
        <w:pStyle w:val="FirstParagraph"/>
      </w:pPr>
      <w:r>
        <w:t xml:space="preserve">Data analysis was a three-part process, the first assessed baseline equivalence between stone pile, control, and reference sites before construction, the second assessed the impact of stone pile construction and after-construction trajectory on kōura and catfish occupancy, abundance, and biomass, and the third assessed whether stone pile sites converged toward reference sites and if reference sites remained stable over time. All analyses were conducted in R (version 4.6.1;</w:t>
      </w:r>
      <w:r>
        <w:t xml:space="preserve"> </w:t>
      </w:r>
      <w:r>
        <w:t xml:space="preserve">R Core Team (2026)</w:t>
      </w:r>
      <w:r>
        <w:t xml:space="preserve">) using the glmmTMB and emmeans packages</w:t>
      </w:r>
      <w:r>
        <w:t xml:space="preserve"> </w:t>
      </w:r>
      <w:r>
        <w:t xml:space="preserve">(Brooks et al., 2017; Lenth &amp; Piaskowski, 2017)</w:t>
      </w:r>
      <w:r>
        <w:t xml:space="preserve">.</w:t>
      </w:r>
    </w:p>
    <w:p>
      <w:pPr>
        <w:pStyle w:val="BodyText"/>
      </w:pPr>
      <w:r>
        <w:t xml:space="preserve">Covariate selection for all models followed a consistent procedure. Corrected Akaike Information Criterion (AICc) values for each base model were compared against models with additional covariates (temperature, season, substrate index, maximum effective fetch, or wave energy proxy) added at a time, and a covariate was retained only when it reduced AICc by more than two units relative to base model</w:t>
      </w:r>
      <w:r>
        <w:t xml:space="preserve"> </w:t>
      </w:r>
      <w:r>
        <w:t xml:space="preserve">(Burnham &amp; Anderson, 2002)</w:t>
      </w:r>
      <w:r>
        <w:t xml:space="preserve">. Robustness and sensitivity for all models were assessed by evaluating uniform distribution, dispersion and outlier rate using the DHARMa package</w:t>
      </w:r>
      <w:r>
        <w:t xml:space="preserve"> </w:t>
      </w:r>
      <w:r>
        <w:t xml:space="preserve">(Hartig, 2016)</w:t>
      </w:r>
      <w:r>
        <w:t xml:space="preserve">. Across the full set of models, the Benjamini–Hochberg correction method was applied to control the false discovery rate within each of the three analysis components.</w:t>
      </w:r>
    </w:p>
    <w:p>
      <w:pPr>
        <w:pStyle w:val="BodyText"/>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response variables (water quality, substrate, and kōura and catfish CPUE and BPUE) to confirm that the stone pile and control sites were equivalent before construction, and to characterise the difference between stone pile and reference sites. To further assess baseline equivalence, generalised linear models (GLMs) were fitted to test whether kōura and catfish CPUE and BPUE differed between site type (stone pile / control) and between the two reference sites (reference 1 / reference 2) using a Tweedie family with a log link. Following the covariate selection procedure, temperature was included in the catfish models comparing reference sites, as the base model failed to converge and temperature was required for numerical stability.</w:t>
      </w:r>
    </w:p>
    <w:p>
      <w:pPr>
        <w:pStyle w:val="BodyText"/>
      </w:pPr>
      <w:r>
        <w:t xml:space="preserve">The second component of the analysis tested construction impact relative to control sites using a quasi-before-after, control-impact (quasi-BACI) design</w:t>
      </w:r>
      <w:r>
        <w:t xml:space="preserve"> </w:t>
      </w:r>
      <w:r>
        <w:t xml:space="preserve">(Underwood, 1994)</w:t>
      </w:r>
      <w:r>
        <w:t xml:space="preserve">, and separately tested after-construction trajectory of kōura and catfish populations. The quasi-BACI design compared one pre-construction monitoring round with six post-construction monitoring rounds using generalised linear mixed effects models (GLMMs) to test the effect of stone pile construction on kōura and catfish occupancy, abundance, and biomass. Time period (before / after) and site type (stone pile / control) were included as an interaction term, monitoring round as a covariate and site nested within control-impact pair as a random effect. Occupancy was modelled using a binomial GLMM, and abundance and biomass using a Tweedie GLMM with a log link; fetch was retained as a covariate in the catfish model. The post-construction trajectory models used the same response variables, families, covariate, and random effect structure, but with site type and monitoring round included as an interaction term in place of the before / after comparison.</w:t>
      </w:r>
    </w:p>
    <w:p>
      <w:pPr>
        <w:pStyle w:val="BodyText"/>
      </w:pPr>
      <w:r>
        <w:t xml:space="preserve">The third component of the analysis assessed whether stone pile sites converged toward reference sites over time, and whether reference sites themselves remained stable. Kōura and catfish abundance and biomass were tested using GLMMs with site type (stone pile / reference) and monitoring round included as an interaction term, and site number as a random effect, using a Tweedie family with log link; temperature was retained as a covariate in the catfish model. Reference site stability was tested in GLMMs with site type (reference 1 / reference 2) and monitoring round as an interaction term, and site nested within pair as a random effect, again using Tweedie family with log link; season was retained as a covariate in the kōura model and temperature was retained as a covariate in the catfish model.</w:t>
      </w:r>
    </w:p>
    <w:p>
      <w:pPr>
        <w:pStyle w:val="BodyText"/>
      </w:pPr>
      <w:r>
        <w:t xml:space="preserve">To complement the GLMM abundance analysis, kōura site-level occupancy was estimated using a two-method occupancy model fitted within a Bayesian framework. Because bait traps and fyke nets provide independent and simultaneous detection opportunities at each site, true site occupancy could be separated from imperfect and method-specific detection probabilities. A custom Stan observation model was implemented using the brms package</w:t>
      </w:r>
      <w:r>
        <w:t xml:space="preserve"> </w:t>
      </w:r>
      <w:r>
        <w:t xml:space="preserve">(Bürkner, 2017, 2018)</w:t>
      </w:r>
      <w:r>
        <w:t xml:space="preserve"> </w:t>
      </w:r>
      <w:r>
        <w:t xml:space="preserve">using cmdstanr</w:t>
      </w:r>
      <w:r>
        <w:t xml:space="preserve"> </w:t>
      </w:r>
      <w:r>
        <w:t xml:space="preserve">(Gabry et al., 2025)</w:t>
      </w:r>
      <w:r>
        <w:t xml:space="preserve"> </w:t>
      </w:r>
      <w:r>
        <w:t xml:space="preserve">to estimate true occupancy and detection probabilities for baited traps and fyke nets via logit links. Standardised water temperature was included as the covariate for detection probability. Three occupancy sub-models were fitted. A full model across all monitoring rounds served as baseline comparison. A summer-only model and a warm-season model (summer and autumn combined) were fitted to focus on the period of highest thermal stratification, when kōura are known to disproportionately occupy nearshore littoral habitats</w:t>
      </w:r>
      <w:r>
        <w:t xml:space="preserve"> </w:t>
      </w:r>
      <w:r>
        <w:t xml:space="preserve">(I. A. K. Kusabs et al., 2026)</w:t>
      </w:r>
      <w:r>
        <w:t xml:space="preserve"> </w:t>
      </w:r>
      <w:r>
        <w:t xml:space="preserve">and when catfish predation pressure is highest in the areas where the stone piles are located</w:t>
      </w:r>
      <w:r>
        <w:t xml:space="preserve"> </w:t>
      </w:r>
      <w:r>
        <w:t xml:space="preserve">(Blanchfield et al., 2026)</w:t>
      </w:r>
      <w:r>
        <w:t xml:space="preserve">. The warm-season model maximises ecological relevance, while retaining a tractable formula with season as an additive covariate. All models were run with four chains of 4000 iterations (1500 warmup) and convergence was assessed using R̂ values (threshold &lt; 1.01) and bulk effective sample sizes (threshold &gt; 400)</w:t>
      </w:r>
      <w:r>
        <w:t xml:space="preserve"> </w:t>
      </w:r>
      <w:r>
        <w:t xml:space="preserve">(Vehtari et al., 2021)</w:t>
      </w:r>
      <w:r>
        <w:t xml:space="preserve">.</w:t>
      </w:r>
    </w:p>
    <w:p>
      <w:pPr>
        <w:pStyle w:val="BodyText"/>
      </w:pPr>
      <w:r>
        <w:t xml:space="preserve">A simulation-based power analysis was conducted to quantify the sample size required for statistical detection of the BACI effect under the observed effect size and variance structure, and to put the non-significant results in perspective relative to study design rather than true absence of effect. For each analysis the occupancy and abundance, datasets were simulated across a grid of scenarios varying in number of site pairs (3-30) and after-period monitoring rounds (2-12). For the occupancy BACI, simulated binary detection data were generated using values from the warm-season occupancy model posterior means, and each simulated dataset was analysed using a logistic GLMM (lme4;</w:t>
      </w:r>
      <w:r>
        <w:t xml:space="preserve"> </w:t>
      </w:r>
      <w:r>
        <w:t xml:space="preserve">Bates et al. (2015)</w:t>
      </w:r>
      <w:r>
        <w:t xml:space="preserve">). For the CPUE BACI, simulated abundance data were generated using fixed effects and variance components from the kōura abundance BACI model, using a log-normal approximation to the Tweedie distribution, and each dataset was analysed using a linear mixed model fitted to a log-transformed CPUE. Statistical power was estimated as the proportion of simulations (300 per scenario) in which the model’s 95 % confidence interval for the BACI coefficient excluded zero in the positive direction.</w:t>
      </w:r>
    </w:p>
    <w:bookmarkEnd w:id="23"/>
    <w:bookmarkEnd w:id="24"/>
    <w:bookmarkStart w:id="28" w:name="results"/>
    <w:p>
      <w:pPr>
        <w:pStyle w:val="Heading2"/>
      </w:pPr>
      <w:r>
        <w:t xml:space="preserve">Results</w:t>
      </w:r>
    </w:p>
    <w:p>
      <w:pPr>
        <w:pStyle w:val="FirstParagraph"/>
      </w:pPr>
      <w:r>
        <w:t xml:space="preserve">Kōura presence was detected at stone pile sites within three months of construction, with occupancy and abundance trending consistently higher at stone pile sites than paired control sites throughout the 18-month post-construction period, though this difference did not reach statistical significance. Results across all models and response variables are summarised in</w:t>
      </w:r>
      <w:r>
        <w:t xml:space="preserve"> </w:t>
      </w:r>
      <w:hyperlink w:anchor="fig-forest-plot">
        <w:r>
          <w:rPr>
            <w:rStyle w:val="Hyperlink"/>
          </w:rPr>
          <w:t xml:space="preserve">Figure 2</w:t>
        </w:r>
      </w:hyperlink>
      <w:r>
        <w:t xml:space="preserve"> </w:t>
      </w:r>
      <w:r>
        <w:t xml:space="preserve">and</w:t>
      </w:r>
      <w:r>
        <w:t xml:space="preserve"> </w:t>
      </w:r>
      <w:r>
        <w:t xml:space="preserve">Table S1</w:t>
      </w:r>
      <w:r>
        <w:t xml:space="preserve">.</w:t>
      </w:r>
    </w:p>
    <w:bookmarkStart w:id="25" w:name="baseline-equivalence"/>
    <w:p>
      <w:pPr>
        <w:pStyle w:val="Heading3"/>
      </w:pPr>
      <w:r>
        <w:t xml:space="preserve">Baseline equivalence</w:t>
      </w:r>
    </w:p>
    <w:p>
      <w:pPr>
        <w:pStyle w:val="FirstParagraph"/>
      </w:pPr>
      <w:r>
        <w:t xml:space="preserve">Pre-construction, kōura abundance and biomass did not differ significantly between stone pile and paired control sites (</w:t>
      </w:r>
      <w:r>
        <w:t xml:space="preserve">Table S2</w:t>
      </w:r>
      <w:r>
        <w:t xml:space="preserve">), confirming baseline equivalences (</w:t>
      </w:r>
      <w:r>
        <w:rPr>
          <w:i/>
          <w:iCs/>
        </w:rPr>
        <w:t xml:space="preserve">p</w:t>
      </w:r>
      <w:r>
        <w:t xml:space="preserve"> </w:t>
      </w:r>
      <w:r>
        <w:t xml:space="preserve">= 0.783 and</w:t>
      </w:r>
      <w:r>
        <w:t xml:space="preserve"> </w:t>
      </w:r>
      <w:r>
        <w:rPr>
          <w:i/>
          <w:iCs/>
        </w:rPr>
        <w:t xml:space="preserve">p</w:t>
      </w:r>
      <w:r>
        <w:t xml:space="preserve"> </w:t>
      </w:r>
      <w:r>
        <w:t xml:space="preserve">= 0.571). Kōura abundance (</w:t>
      </w:r>
      <w:r>
        <w:rPr>
          <w:i/>
          <w:iCs/>
        </w:rPr>
        <w:t xml:space="preserve">p</w:t>
      </w:r>
      <w:r>
        <w:t xml:space="preserve"> </w:t>
      </w:r>
      <w:r>
        <w:t xml:space="preserve">= 0.968) and biomass (</w:t>
      </w:r>
      <w:r>
        <w:rPr>
          <w:i/>
          <w:iCs/>
        </w:rPr>
        <w:t xml:space="preserve">p</w:t>
      </w:r>
      <w:r>
        <w:t xml:space="preserve"> </w:t>
      </w:r>
      <w:r>
        <w:t xml:space="preserve">= 0.968) did not differ between reference sites. Catfish abundance (</w:t>
      </w:r>
      <w:r>
        <w:rPr>
          <w:i/>
          <w:iCs/>
        </w:rPr>
        <w:t xml:space="preserve">p</w:t>
      </w:r>
      <w:r>
        <w:t xml:space="preserve"> </w:t>
      </w:r>
      <w:r>
        <w:t xml:space="preserve">= 0.004) and biomass (</w:t>
      </w:r>
      <w:r>
        <w:rPr>
          <w:i/>
          <w:iCs/>
        </w:rPr>
        <w:t xml:space="preserve">p</w:t>
      </w:r>
      <w:r>
        <w:t xml:space="preserve"> </w:t>
      </w:r>
      <w:r>
        <w:t xml:space="preserve">= 0.002) likewise did not differ between stone pile and control sites pre-construction. However, catfish abundance and biomass were significantly higher at Reference 1 than Reference 2 (</w:t>
      </w:r>
      <w:r>
        <w:rPr>
          <w:i/>
          <w:iCs/>
        </w:rPr>
        <w:t xml:space="preserve">p</w:t>
      </w:r>
      <w:r>
        <w:t xml:space="preserve"> </w:t>
      </w:r>
      <w:r>
        <w:t xml:space="preserve">= 0.004 and</w:t>
      </w:r>
      <w:r>
        <w:t xml:space="preserve"> </w:t>
      </w:r>
      <w:r>
        <w:rPr>
          <w:i/>
          <w:iCs/>
        </w:rPr>
        <w:t xml:space="preserve">p</w:t>
      </w:r>
      <w:r>
        <w:t xml:space="preserve"> </w:t>
      </w:r>
      <w:r>
        <w:t xml:space="preserve">= 0.002, respectively), despite both sites having comparable rocky substrate. This suggests catfish distribution varies considerably between nearby sites with similar habitat characteristics.</w:t>
      </w:r>
    </w:p>
    <w:bookmarkEnd w:id="25"/>
    <w:bookmarkStart w:id="26" w:name="Xe4f65c9314cfe87458b027bada67839d3e75bc8"/>
    <w:p>
      <w:pPr>
        <w:pStyle w:val="Heading3"/>
      </w:pPr>
      <w:r>
        <w:t xml:space="preserve">Construction impact (BACI) and post-construction trajectory</w:t>
      </w:r>
    </w:p>
    <w:p>
      <w:pPr>
        <w:pStyle w:val="FirstParagraph"/>
      </w:pPr>
      <w:r>
        <w:t xml:space="preserve">Stone pile construction produced no detectable step-change in kōura abundance, biomass, or occupancy relative to paired control sites over the 18-month monitoring period following deployment (all</w:t>
      </w:r>
      <w:r>
        <w:t xml:space="preserve"> </w:t>
      </w:r>
      <w:r>
        <w:rPr>
          <w:i/>
          <w:iCs/>
        </w:rPr>
        <w:t xml:space="preserve">p</w:t>
      </w:r>
      <w:r>
        <w:rPr>
          <w:vertAlign w:val="subscript"/>
        </w:rPr>
        <w:t xml:space="preserve">adj</w:t>
      </w:r>
      <w:r>
        <w:t xml:space="preserve"> </w:t>
      </w:r>
      <w:r>
        <w:t xml:space="preserve">= 0.858) (</w:t>
      </w:r>
      <w:hyperlink w:anchor="fig-koura-effect">
        <w:r>
          <w:rPr>
            <w:rStyle w:val="Hyperlink"/>
          </w:rPr>
          <w:t xml:space="preserve">Figure 3</w:t>
        </w:r>
      </w:hyperlink>
      <w:r>
        <w:t xml:space="preserve">). A matched-season comparison, comparing Summer 2025 (before construction) with Summer 2026 (one year after construction), produced the same conclusion (kōura abundance:</w:t>
      </w:r>
      <w:r>
        <w:t xml:space="preserve"> </w:t>
      </w:r>
      <w:r>
        <w:rPr>
          <w:i/>
          <w:iCs/>
        </w:rPr>
        <w:t xml:space="preserve">p</w:t>
      </w:r>
      <w:r>
        <w:t xml:space="preserve"> </w:t>
      </w:r>
      <w:r>
        <w:t xml:space="preserve">= 0.582). Post-construction trajectories did not diverge significantly between stone pile and control sites (all</w:t>
      </w:r>
      <w:r>
        <w:t xml:space="preserve"> </w:t>
      </w:r>
      <w:r>
        <w:rPr>
          <w:i/>
          <w:iCs/>
        </w:rPr>
        <w:t xml:space="preserve">p</w:t>
      </w:r>
      <w:r>
        <w:rPr>
          <w:vertAlign w:val="subscript"/>
        </w:rPr>
        <w:t xml:space="preserve">adj</w:t>
      </w:r>
      <w:r>
        <w:t xml:space="preserve"> </w:t>
      </w:r>
      <w:r>
        <w:t xml:space="preserve">= 0.215). Kōura abundance declined significantly across post-construction rounds at control and stone pile sites (</w:t>
      </w:r>
      <m:oMath>
        <m:r>
          <m:t>β</m:t>
        </m:r>
      </m:oMath>
      <w:r>
        <w:t xml:space="preserve"> </w:t>
      </w:r>
      <w:r>
        <w:t xml:space="preserve">= -0.41,</w:t>
      </w:r>
      <w:r>
        <w:t xml:space="preserve"> </w:t>
      </w:r>
      <w:r>
        <w:rPr>
          <w:i/>
          <w:iCs/>
        </w:rPr>
        <w:t xml:space="preserve">p</w:t>
      </w:r>
      <w:r>
        <w:t xml:space="preserve"> </w:t>
      </w:r>
      <w:r>
        <w:t xml:space="preserve">= 0.004), with the sharpest decline observed in Winter 2026 (</w:t>
      </w:r>
      <w:hyperlink w:anchor="fig-cpue-trends">
        <w:r>
          <w:rPr>
            <w:rStyle w:val="Hyperlink"/>
          </w:rPr>
          <w:t xml:space="preserve">Figure 4</w:t>
        </w:r>
      </w:hyperlink>
      <w:r>
        <w:t xml:space="preserve">). Stone pile construction produced no detectable step-change or trajectory divergence in catfish abundance, biomass, or occupancy relative to control sites across any model or time period (</w:t>
      </w:r>
      <w:hyperlink w:anchor="fig-forest-plot">
        <w:r>
          <w:rPr>
            <w:rStyle w:val="Hyperlink"/>
          </w:rPr>
          <w:t xml:space="preserve">Figure 2</w:t>
        </w:r>
      </w:hyperlink>
      <w:r>
        <w:t xml:space="preserve">).</w:t>
      </w:r>
    </w:p>
    <w:p>
      <w:pPr>
        <w:pStyle w:val="BodyText"/>
      </w:pPr>
      <w:r>
        <w:t xml:space="preserve">Kōura occupancy was high across all site types before construction, 81–89 % in summer (</w:t>
      </w:r>
      <w:r>
        <w:t xml:space="preserve">Table S3</w:t>
      </w:r>
      <w:r>
        <w:t xml:space="preserve">). After construction, occupancy increased marginally at all sites, 89–94 % in summer, thereby limiting our ability to detect a treatment effect. The BACI contrast to compare how much stone pile sites changed relative to control sites was slightly positive, but the credible intervals spanned zero with wide uncertainty (</w:t>
      </w:r>
      <w:hyperlink w:anchor="fig-occ-warm-contrasts">
        <w:r>
          <w:rPr>
            <w:rStyle w:val="Hyperlink"/>
          </w:rPr>
          <w:t xml:space="preserve">Figure 5</w:t>
        </w:r>
      </w:hyperlink>
      <w:r>
        <w:t xml:space="preserve">), indicating no detectable additional increase at stone pile sites. However, this result likely reflects a measured ceiling rather than biological response. After-treatment contrast showed no significant difference between site types, but the direction of the effect was consistent with early habitat use: stone pile sites showed a positive contrast relative to control sites, while control sites showed a negative contrast relative to reference sites, and stone pile sites were near zero relative to reference sites (</w:t>
      </w:r>
      <w:hyperlink w:anchor="fig-occ-warm-contrasts">
        <w:r>
          <w:rPr>
            <w:rStyle w:val="Hyperlink"/>
          </w:rPr>
          <w:t xml:space="preserve">Figure 5</w:t>
        </w:r>
      </w:hyperlink>
      <w:r>
        <w:t xml:space="preserve">).</w:t>
      </w:r>
    </w:p>
    <w:p>
      <w:pPr>
        <w:pStyle w:val="BodyText"/>
      </w:pPr>
      <w:r>
        <w:t xml:space="preserve">The non-significant BACI results should be interpreted in the context of statistical power. For occupancy, power was near zero across all simulated scenarios (maximum 8%), reflecting the ceiling effect leaving no statistical room for a BACI signal (</w:t>
      </w:r>
      <w:r>
        <w:t xml:space="preserve">Fig. S3</w:t>
      </w:r>
      <w:r>
        <w:t xml:space="preserve">). Post-construction power analysis showed that achieving 80 % power with the current five site pairs would require an effect size of approximately 1.8 log-units, almost 6 times the current observed effect (</w:t>
      </w:r>
      <w:hyperlink w:anchor="fig-trajectory-projection">
        <w:r>
          <w:rPr>
            <w:rStyle w:val="Hyperlink"/>
          </w:rPr>
          <w:t xml:space="preserve">Figure 6</w:t>
        </w:r>
      </w:hyperlink>
      <w:r>
        <w:t xml:space="preserve">). If the estimated positive trajectory of +0.24 log-units per seasonal round continues, the effect size may reach this detection threshold within approximately 6 additional monitoring rounds (~1.5 years).</w:t>
      </w:r>
    </w:p>
    <w:bookmarkEnd w:id="26"/>
    <w:bookmarkStart w:id="27" w:name="X8419930a00a275f4187d08f0ee674517ea28e4d"/>
    <w:p>
      <w:pPr>
        <w:pStyle w:val="Heading3"/>
      </w:pPr>
      <w:r>
        <w:t xml:space="preserve">Convergence toward reference sites and reference stability</w:t>
      </w:r>
    </w:p>
    <w:p>
      <w:pPr>
        <w:pStyle w:val="FirstParagraph"/>
      </w:pPr>
      <w:r>
        <w:t xml:space="preserve">Stone pile sites maintained a consistently lower kōura abundance than reference sites throughout the post-construction period, with no significant change in this gap over time (</w:t>
      </w:r>
      <m:oMath>
        <m:r>
          <m:t>β</m:t>
        </m:r>
      </m:oMath>
      <w:r>
        <w:t xml:space="preserve"> </w:t>
      </w:r>
      <w:r>
        <w:t xml:space="preserve">= -0.09,</w:t>
      </w:r>
      <w:r>
        <w:t xml:space="preserve"> </w:t>
      </w:r>
      <w:r>
        <w:rPr>
          <w:i/>
          <w:iCs/>
        </w:rPr>
        <w:t xml:space="preserve">p</w:t>
      </w:r>
      <w:r>
        <w:t xml:space="preserve"> </w:t>
      </w:r>
      <w:r>
        <w:t xml:space="preserve">= 0.429;</w:t>
      </w:r>
      <w:r>
        <w:t xml:space="preserve"> </w:t>
      </w:r>
      <w:r>
        <w:t xml:space="preserve">Fig. S4</w:t>
      </w:r>
      <w:r>
        <w:t xml:space="preserve">). Kōura abundance declined across monitoring rounds at both stone pile and reference sites (</w:t>
      </w:r>
      <m:oMath>
        <m:r>
          <m:t>β</m:t>
        </m:r>
      </m:oMath>
      <w:r>
        <w:t xml:space="preserve"> </w:t>
      </w:r>
      <w:r>
        <w:t xml:space="preserve">= -0.09,</w:t>
      </w:r>
      <w:r>
        <w:t xml:space="preserve"> </w:t>
      </w:r>
      <w:r>
        <w:rPr>
          <w:i/>
          <w:iCs/>
        </w:rPr>
        <w:t xml:space="preserve">p</w:t>
      </w:r>
      <w:r>
        <w:t xml:space="preserve"> </w:t>
      </w:r>
      <w:r>
        <w:t xml:space="preserve">= 0.107). The Winter 2026 monitoring round showed a pronounced decline at stone pile sites (CPUE ≈ 0.7) while reference sites maintained substantially higher abundance (CPUE ≈ 1.7;</w:t>
      </w:r>
      <w:r>
        <w:t xml:space="preserve"> </w:t>
      </w:r>
      <w:hyperlink w:anchor="fig-cpue-trends">
        <w:r>
          <w:rPr>
            <w:rStyle w:val="Hyperlink"/>
          </w:rPr>
          <w:t xml:space="preserve">Figure 4</w:t>
        </w:r>
      </w:hyperlink>
      <w:r>
        <w:t xml:space="preserve">), a within-round contrast not captured by the linear trajectory model. Water temperature at Winter 2026 was approximately 1.5°C lower than Winter 2025 but consistent across site types, ruling out temperature as a site-specific driver. Visual inspection of stone pile surfaces during Winter 2026 monitoring revealed substantially greater filamentous algal accumulation compared to earlier rounds (</w:t>
      </w:r>
      <w:r>
        <w:t xml:space="preserve">Fig. S5</w:t>
      </w:r>
      <w:r>
        <w:t xml:space="preserve">). Catfish abundance and biomass showed no significant convergence or divergence between stone pile and reference sites over time (</w:t>
      </w:r>
      <w:hyperlink w:anchor="fig-forest-plot">
        <w:r>
          <w:rPr>
            <w:rStyle w:val="Hyperlink"/>
          </w:rPr>
          <w:t xml:space="preserve">Figure 2</w:t>
        </w:r>
      </w:hyperlink>
      <w:r>
        <w:t xml:space="preserve">).</w:t>
      </w:r>
    </w:p>
    <w:bookmarkEnd w:id="27"/>
    <w:bookmarkEnd w:id="28"/>
    <w:bookmarkStart w:id="33" w:name="discussion"/>
    <w:p>
      <w:pPr>
        <w:pStyle w:val="Heading2"/>
      </w:pPr>
      <w:r>
        <w:t xml:space="preserve">Discussion</w:t>
      </w:r>
    </w:p>
    <w:p>
      <w:pPr>
        <w:pStyle w:val="FirstParagraph"/>
      </w:pPr>
      <w:r>
        <w:t xml:space="preserve">Stone pile structures were deployed in the littoral zone of Lake Rotoiti to test whether physical refuge could reduce predation pressure on kōura by invasive catfish. Thermal stratification and invasive macrophytes already compress suitable kōura habitat into the shallow littoral zone, and with catfish eradication probably unachievable at the lake scale, habitat-based interventions represent one of the few management options currently available to support this declining endemic crayfish.</w:t>
      </w:r>
    </w:p>
    <w:bookmarkStart w:id="29" w:name="short-term-construction-effect"/>
    <w:p>
      <w:pPr>
        <w:pStyle w:val="Heading3"/>
      </w:pPr>
      <w:r>
        <w:t xml:space="preserve">Short-term construction effect</w:t>
      </w:r>
    </w:p>
    <w:p>
      <w:pPr>
        <w:pStyle w:val="FirstParagraph"/>
      </w:pPr>
      <w:r>
        <w:t xml:space="preserve">Kōura catch rates were highly variable across all site types throughout the monitoring period, with wide confidence intervals, likely reflecting genuine biological variability in kōura distribution. This variability may reflect seasonal activity patterns, detection probability changes across monitoring rounds, and natural heterogeneity in littoral zone use, rather than stable site associations. Despite this variability, the Bayesian occupancy model revealed a consistent positive directional trend, with stone pile sites showing higher occupancy than control sites after construction, and occupancy at stone pile sites was comparable to that at natural rocky reference sites across both summer and autumn post-deployment comparisons. The BACI posterior contrast was positive, indicating that occupancy increased more at stone pile sites than control sites following construction, consistent with the intended purpose of the stone piles as refuge, though whether this reflects active refuge-seeking driven by catfish predation pressure or gradual colonisation and population expansion into newly available habitats cannot be determined from the current data. However, no statistically significant effect was detected indicating that while the predicted directional response occurred, it did not reach detectable magnitude within the 18-month monitoring period.</w:t>
      </w:r>
    </w:p>
    <w:p>
      <w:pPr>
        <w:pStyle w:val="BodyText"/>
      </w:pPr>
      <w:r>
        <w:t xml:space="preserve">The absence of a significant effect is most likely explained by a combination of monitoring duration, statistical power, and system dynamics rather than ineffectiveness of the structures. Habitat establishment for freshwater crayfish can be inherently slow.</w:t>
      </w:r>
      <w:r>
        <w:t xml:space="preserve"> </w:t>
      </w:r>
      <w:r>
        <w:t xml:space="preserve">Johnsen &amp; Taugbøl (2008)</w:t>
      </w:r>
      <w:r>
        <w:t xml:space="preserve"> </w:t>
      </w:r>
      <w:r>
        <w:t xml:space="preserve">reported that crayfish abundance at a stone addition site took 13 years to reach reference levels, and monitoring periods shorter than two years are often insufficient to detect significant responses to habitat modification</w:t>
      </w:r>
      <w:r>
        <w:t xml:space="preserve"> </w:t>
      </w:r>
      <w:r>
        <w:t xml:space="preserve">(Pilotto et al., 2018; Ruhí et al., 2012; Testa et al., 2011)</w:t>
      </w:r>
      <w:r>
        <w:t xml:space="preserve">. Following reconstruction of the Lake Rotorua lakefront, which is located in close proximity to our study site, kōura showed no meaningful recolonisation after 28 months</w:t>
      </w:r>
      <w:r>
        <w:t xml:space="preserve"> </w:t>
      </w:r>
      <w:r>
        <w:t xml:space="preserve">(Kusabs, 2023)</w:t>
      </w:r>
      <w:r>
        <w:t xml:space="preserve">. They attributed slow recolonisation to persistent catfish predation pressure and distance from source population, consistent with time scales observed here. The power analysis indicates that five site pairs are insufficient to reliably detect effects of the magnitude observed here within 18 months, establishing a minimum design threshold: future stone pile monitoring programmes should plan for at least three years of monitoring and expect potential of high pre-construction occupancy, leaving little statistical room for a measurable treatment effect. The simultaneous elevation of kōura CPUE across all site types in Autumn 2025 further complicated detection of an early treatment effect in the BACI contrast.</w:t>
      </w:r>
    </w:p>
    <w:p>
      <w:pPr>
        <w:pStyle w:val="BodyText"/>
      </w:pPr>
      <w:r>
        <w:t xml:space="preserve">Beyond study design, features of the system itself may also explain the weak response. Kōura abundance is highest in lakes without catfish</w:t>
      </w:r>
      <w:r>
        <w:t xml:space="preserve"> </w:t>
      </w:r>
      <w:r>
        <w:t xml:space="preserve">(Raven et al., 2026b)</w:t>
      </w:r>
      <w:r>
        <w:t xml:space="preserve">, suggesting predation pressure may suppress kōura populations well below the carrying capacity of existing habitat. If so, structural habitat availability may not currently be the primary limiting factor, and a weak or delayed response to habitat addition would be expected. Additionally, if kōura are already at carrying capacity of existing rocky habitat, stone piles add new capacity that will only be filled gradually as the population expands, which is unlikely to be detectable within 18 months. In either case, a delayed rather than absent population response would be expected. Isolated stone pile structures may also be difficult for kōura to locate, as distance between isolated habitat patches is a key determinant of colonisation success</w:t>
      </w:r>
      <w:r>
        <w:t xml:space="preserve"> </w:t>
      </w:r>
      <w:r>
        <w:t xml:space="preserve">(Hanski, 1998)</w:t>
      </w:r>
      <w:r>
        <w:t xml:space="preserve">.</w:t>
      </w:r>
    </w:p>
    <w:bookmarkEnd w:id="29"/>
    <w:bookmarkStart w:id="30" w:name="winter-2026"/>
    <w:p>
      <w:pPr>
        <w:pStyle w:val="Heading3"/>
      </w:pPr>
      <w:r>
        <w:t xml:space="preserve">Winter 2026</w:t>
      </w:r>
    </w:p>
    <w:p>
      <w:pPr>
        <w:pStyle w:val="FirstParagraph"/>
      </w:pPr>
      <w:r>
        <w:t xml:space="preserve">Kōura CPUE at stone pile and control sites fell sharply in Winter 2026, returning to levels close to the pre-deployment baseline from Summer 2025, while reference sites maintained substantially higher abundance. This result at the control and stone pile sites is consistent with known seasonal migration behaviour across lake depth profiles and kōura activity rates during cooler water temperatures</w:t>
      </w:r>
      <w:r>
        <w:t xml:space="preserve"> </w:t>
      </w:r>
      <w:r>
        <w:t xml:space="preserve">(Devcich, 1979)</w:t>
      </w:r>
      <w:r>
        <w:t xml:space="preserve">. When lake thermal stratification breaks down in winter, the hypolimnion re-oxygenates and deep-water habitat becomes accessible, allowing kōura to redistribute along the depth gradient</w:t>
      </w:r>
      <w:r>
        <w:t xml:space="preserve"> </w:t>
      </w:r>
      <w:r>
        <w:t xml:space="preserve">(Devcich, 1979)</w:t>
      </w:r>
      <w:r>
        <w:t xml:space="preserve">. Kōura activity declines at low water temperatures</w:t>
      </w:r>
      <w:r>
        <w:t xml:space="preserve"> </w:t>
      </w:r>
      <w:r>
        <w:t xml:space="preserve">(Devcich, 1979)</w:t>
      </w:r>
      <w:r>
        <w:t xml:space="preserve">, reducing the probability of trap entry independently of true abundance. Water temperature in Winter 2026 was 1.5 °C lower than Winter 2025, though this difference was consistent across all site types and therefore cannot explain why reference sites were substantially more resilient to the winter decline than the stone pile sites.</w:t>
      </w:r>
    </w:p>
    <w:p>
      <w:pPr>
        <w:pStyle w:val="BodyText"/>
      </w:pPr>
      <w:r>
        <w:t xml:space="preserve">Natural rocky reference sites in this study represent the ecological target for stone pile deployment. Reference sites had established kōura populations, connectivity to deeper waters, and extensive refuge habitat, allowing kōura to maintain littoral presence through winter or return rapidly from deeper refuges as conditions fluctuated. Stone pile sites are isolated structures with less connectivity to deep and extensive refuge habitat, meaning kōura that withdrew in winter had no quick pathway back to the structures. This difference likely explains why stone pile sites maintained consistently lower kōura abundance than reference sites throughout the monitoring period, with no significant convergence toward reference levels. However, kōura occupancy at stone pile sites was comparable to that at reference sites after construction, suggesting that kōura found and used the structures at similar frequency to natural rocky habitat but at lower densities. This distinction between occupancy and abundance likely reflects the early stage of colonisation and the small structural footprint of stone piles relative to the extensive natural rocky habitat at reference sites. These differences are expected to narrow as biofilm succession matures and kōura accumulate at the structures over time.</w:t>
      </w:r>
    </w:p>
    <w:p>
      <w:pPr>
        <w:pStyle w:val="BodyText"/>
      </w:pPr>
      <w:r>
        <w:t xml:space="preserve">Extensive growth of filamentous algae was observed on the stone pile structures in Winter 2026 (</w:t>
      </w:r>
      <w:r>
        <w:t xml:space="preserve">Fig. S5</w:t>
      </w:r>
      <w:r>
        <w:t xml:space="preserve">) but did not occur to the same degree in Winter 2025. Filamentous algal growth on hard substrates is characteristic of winter conditions in thermally stratified lakes, as seasonal mixing increases nutrient availability in the water column</w:t>
      </w:r>
      <w:r>
        <w:t xml:space="preserve"> </w:t>
      </w:r>
      <w:r>
        <w:t xml:space="preserve">(Wetzel, 2001)</w:t>
      </w:r>
      <w:r>
        <w:t xml:space="preserve">, while reduced water temperature suppresses invertebrate grazing activity</w:t>
      </w:r>
      <w:r>
        <w:t xml:space="preserve"> </w:t>
      </w:r>
      <w:r>
        <w:t xml:space="preserve">(Bonacina et al., 2023)</w:t>
      </w:r>
      <w:r>
        <w:t xml:space="preserve">, allowing algal mats to accumulate on available hard surfaces. The stone pile surfaces, freshly quarried and free from biofilm at deployment, provided clean substrate for early colonisers, and by Winter 2026 a diverse assemblage had established, including cyanobacteria, green algae,</w:t>
      </w:r>
      <w:r>
        <w:t xml:space="preserve"> </w:t>
      </w:r>
      <w:r>
        <w:rPr>
          <w:i/>
          <w:iCs/>
        </w:rPr>
        <w:t xml:space="preserve">Sinelobus stanfordi</w:t>
      </w:r>
      <w:r>
        <w:t xml:space="preserve"> </w:t>
      </w:r>
      <w:r>
        <w:t xml:space="preserve">(Richardson, 1901), Tardigrada, Oribatida, Chironomidae, Rhabdocoela, Oligochaeta, and ciliates (</w:t>
      </w:r>
      <w:r>
        <w:rPr>
          <w:i/>
          <w:iCs/>
        </w:rPr>
        <w:t xml:space="preserve">Paramecium</w:t>
      </w:r>
      <w:r>
        <w:t xml:space="preserve"> </w:t>
      </w:r>
      <w:r>
        <w:t xml:space="preserve">spp. and</w:t>
      </w:r>
      <w:r>
        <w:t xml:space="preserve"> </w:t>
      </w:r>
      <w:r>
        <w:rPr>
          <w:i/>
          <w:iCs/>
        </w:rPr>
        <w:t xml:space="preserve">Vorticella</w:t>
      </w:r>
      <w:r>
        <w:t xml:space="preserve"> </w:t>
      </w:r>
      <w:r>
        <w:t xml:space="preserve">spp.). Rather than representing degradation of habitat quality, this succession is a natural trajectory, as temperatures rise in spring and summer, grazer activity increases, stratification reduces nutrient loading</w:t>
      </w:r>
      <w:r>
        <w:t xml:space="preserve"> </w:t>
      </w:r>
      <w:r>
        <w:t xml:space="preserve">(Bonacina et al., 2023; Wetzel, 2001)</w:t>
      </w:r>
      <w:r>
        <w:t xml:space="preserve">, and algal mat cover is expected to decline, making the stone piles more accessible for kōura refuge.</w:t>
      </w:r>
    </w:p>
    <w:p>
      <w:pPr>
        <w:pStyle w:val="BodyText"/>
      </w:pPr>
      <w:r>
        <w:t xml:space="preserve">Despite the near-zero trap catches in Winter 2026, night spotlighting at two stone pile sites in August 2026 recorded one large kōura inside the structure at site 3 and three small individuals in and around the structure at site 5, confirming that kōura had not abandoned the stone piles. Non-detection by nets in winter may therefore reflect kōura sheltering within internal crevices rather than true absence, as nets require active kōura movement to be effective. Taken together, the Winter 2026 data suggest that stone pile use by kōura is inherently seasonal, as these structures are most valuable during summer and autumn when thermal stratification compresses suitable habitat into the littoral zone and catfish predation pressure peaks, while in winter kōura redistribute to deeper water regardless of structure type. This seasonality defines when stone pile structures are most needed.</w:t>
      </w:r>
    </w:p>
    <w:bookmarkEnd w:id="30"/>
    <w:bookmarkStart w:id="31" w:name="catfish"/>
    <w:p>
      <w:pPr>
        <w:pStyle w:val="Heading3"/>
      </w:pPr>
      <w:r>
        <w:t xml:space="preserve">Catfish</w:t>
      </w:r>
    </w:p>
    <w:p>
      <w:pPr>
        <w:pStyle w:val="FirstParagraph"/>
      </w:pPr>
      <w:r>
        <w:t xml:space="preserve">Catfish showed their seasonal patterns in littoral zone use, but these were unrelated to stone pile presence. Stone pile construction produced no evidence of catfish attraction or accumulation. Even if catfish were to use stone piles to some degree, the ecological significance of this would likely be limited given the extensive availability of existing suitable habitat for catfish in Lake Rotoiti, particularly invasive macrophyte beds</w:t>
      </w:r>
      <w:r>
        <w:t xml:space="preserve"> </w:t>
      </w:r>
      <w:r>
        <w:t xml:space="preserve">(Barnes &amp; Hicks, 2003)</w:t>
      </w:r>
      <w:r>
        <w:t xml:space="preserve">. The single-site increase in catfish CPUE during Summer 2026 was mirrored by an increase at reference sites and was consistent with lake-wide seasonal redistribution into warm littoral waters rather than any stone-pile-specific event</w:t>
      </w:r>
      <w:r>
        <w:t xml:space="preserve"> </w:t>
      </w:r>
      <w:r>
        <w:t xml:space="preserve">(Blanchfield et al., 2026)</w:t>
      </w:r>
      <w:r>
        <w:t xml:space="preserve">. Overall catfish catches remained low throughout the study relative to targeted removal netting in Te Weta Bay, where highest catfish densities are concentrated</w:t>
      </w:r>
      <w:r>
        <w:t xml:space="preserve"> </w:t>
      </w:r>
      <w:r>
        <w:t xml:space="preserve">(Francis, 2019)</w:t>
      </w:r>
      <w:r>
        <w:t xml:space="preserve">. In autumn, catfish shift to mid-water movement across the lake basin remaining above 15 m depth</w:t>
      </w:r>
      <w:r>
        <w:t xml:space="preserve"> </w:t>
      </w:r>
      <w:r>
        <w:t xml:space="preserve">(Blanchfield et al., 2026)</w:t>
      </w:r>
      <w:r>
        <w:t xml:space="preserve">, reducing predation pressure on kōura in the littoral zone.</w:t>
      </w:r>
    </w:p>
    <w:bookmarkEnd w:id="31"/>
    <w:bookmarkStart w:id="32" w:name="X11655bbcb1891acd324fce4969d8a5c639862a5"/>
    <w:p>
      <w:pPr>
        <w:pStyle w:val="Heading3"/>
      </w:pPr>
      <w:r>
        <w:t xml:space="preserve">Implications for restoration design and monitoring</w:t>
      </w:r>
    </w:p>
    <w:p>
      <w:pPr>
        <w:pStyle w:val="FirstParagraph"/>
      </w:pPr>
      <w:r>
        <w:t xml:space="preserve">Predator-prey interactions are shaped by habitat, which offers refuge to prey, influences how easily predators can find and catch prey, and changes the costs and benefits of hunting for the predator</w:t>
      </w:r>
      <w:r>
        <w:t xml:space="preserve"> </w:t>
      </w:r>
      <w:r>
        <w:t xml:space="preserve">(Lennox et al., 2025)</w:t>
      </w:r>
      <w:r>
        <w:t xml:space="preserve">. This framework is directly relevant to catfish-invaded lakes, where habitat addition offers a way to influence this interaction. Rocky environments have been identified as natural multi-threat refugia, capable of simultaneously buffering predation, thermal extremes, and invasive species pressure across a wide range of taxa and ecosystems</w:t>
      </w:r>
      <w:r>
        <w:t xml:space="preserve"> </w:t>
      </w:r>
      <w:r>
        <w:t xml:space="preserve">(Selwood &amp; Zimmer, 2020)</w:t>
      </w:r>
      <w:r>
        <w:t xml:space="preserve">. In Lake Rotoiti, the two primary stressors driving kōura decline cannot be managed at lake scale. Catfish eradication from a lake of this size is probably not achievable with currently available methods, and targeted removal in high-density areas reduces local pressure but cannot eliminate the lake-wide population</w:t>
      </w:r>
      <w:r>
        <w:t xml:space="preserve"> </w:t>
      </w:r>
      <w:r>
        <w:t xml:space="preserve">(Dedual, 2019)</w:t>
      </w:r>
      <w:r>
        <w:t xml:space="preserve">. Emerging biotechnologies such as gene drives and host-specific biological control agents may offer future options</w:t>
      </w:r>
      <w:r>
        <w:t xml:space="preserve"> </w:t>
      </w:r>
      <w:r>
        <w:t xml:space="preserve">(Kopf et al., 2019; Teem et al., 2020; Thresher et al., 2014)</w:t>
      </w:r>
      <w:r>
        <w:t xml:space="preserve">, but these remain experimental. Thermal stratification will intensify as the climate continues to warm</w:t>
      </w:r>
      <w:r>
        <w:t xml:space="preserve"> </w:t>
      </w:r>
      <w:r>
        <w:t xml:space="preserve">(Woolway et al., 2021)</w:t>
      </w:r>
      <w:r>
        <w:t xml:space="preserve">, further compressing kōura and expanding suitable conditions for catfish</w:t>
      </w:r>
      <w:r>
        <w:t xml:space="preserve"> </w:t>
      </w:r>
      <w:r>
        <w:t xml:space="preserve">(Lee et al., 2025)</w:t>
      </w:r>
      <w:r>
        <w:t xml:space="preserve">. When the primary stressors cannot be removed, habitat addition becomes one of the few available management tools, and refugia become most valuable under these conditions</w:t>
      </w:r>
      <w:r>
        <w:t xml:space="preserve"> </w:t>
      </w:r>
      <w:r>
        <w:t xml:space="preserve">(Selwood &amp; Zimmer, 2020)</w:t>
      </w:r>
      <w:r>
        <w:t xml:space="preserve">. While freshwater management increasingly recognises that multiple stressors interact simultaneously</w:t>
      </w:r>
      <w:r>
        <w:t xml:space="preserve"> </w:t>
      </w:r>
      <w:r>
        <w:t xml:space="preserve">(Orr et al., 2024; Spears et al., 2021)</w:t>
      </w:r>
      <w:r>
        <w:t xml:space="preserve">, practical responses still tend to focus on removing individual stressors. This study therefore tested whether structural habitat addition can buffer the combined effects of predation and thermal compression without removing either stressor.</w:t>
      </w:r>
    </w:p>
    <w:p>
      <w:pPr>
        <w:pStyle w:val="BodyText"/>
      </w:pPr>
      <w:r>
        <w:t xml:space="preserve">The stone piles in this study were placed along the shoreline as isolated structures, separated from each other and from deeper water by soft sandy substrate. Isolated habitat patches support fewer species and are more vulnerable to local extinction than connected habitats</w:t>
      </w:r>
      <w:r>
        <w:t xml:space="preserve"> </w:t>
      </w:r>
      <w:r>
        <w:t xml:space="preserve">(Hanski, 1998)</w:t>
      </w:r>
      <w:r>
        <w:t xml:space="preserve">. Placing stone pile structures perpendicular to the shoreline, running through macrophyte beds and into deeper water, could create corridors connecting the shallow littoral zone with deeper refugia and potentially allow kōura to move more freely between depth ranges as conditions change just like on reference sites. This design has not been tested but represents a promising direction for future deployments and could additionally suppress macrophyte growth along the corridor.</w:t>
      </w:r>
    </w:p>
    <w:p>
      <w:pPr>
        <w:pStyle w:val="BodyText"/>
      </w:pPr>
      <w:r>
        <w:t xml:space="preserve">The dense filamentous algal growth observed on the stone pile surfaces in Winter 2026 raises the question of where stone piles will be most effective over time. In sheltered bays, stone piles are protected from wave damage, but algal growth and sediment accumulation could progressively reduce crevice accessibility and refugia value. In more wave- or current-exposed locations, natural scouring could limit fouling, but conditions may be too disturbed to provide effective shelter for kōura</w:t>
      </w:r>
      <w:r>
        <w:t xml:space="preserve"> </w:t>
      </w:r>
      <w:r>
        <w:t xml:space="preserve">(Parkyn &amp; Collier, 2004)</w:t>
      </w:r>
      <w:r>
        <w:t xml:space="preserve">. This placement trade-off warrants direct investigation in future deployments. Standardised photography of consistent stone faces each monitoring visit would allow fouling development to be tracked alongside changes in kōura use.</w:t>
      </w:r>
    </w:p>
    <w:p>
      <w:pPr>
        <w:pStyle w:val="BodyText"/>
      </w:pPr>
      <w:r>
        <w:t xml:space="preserve">The five stone pile structures deployed in this study cannot be expected to drive population-level recovery across a lake of this size. Even if each structure functions as an effective refuge for kōura, population-level recovery requires habitat enhancement at a spatial scale well beyond the current deployment. The spatial and temporal scales of ecosystem responses are typically greater than the scale of the interventions used to produce them</w:t>
      </w:r>
      <w:r>
        <w:t xml:space="preserve"> </w:t>
      </w:r>
      <w:r>
        <w:t xml:space="preserve">(Minns et al., 1996)</w:t>
      </w:r>
      <w:r>
        <w:t xml:space="preserve">, and scaling from individual stone pile deployment to habitat addition at population-relevant extents is a central challenge in restoration ecology</w:t>
      </w:r>
      <w:r>
        <w:t xml:space="preserve"> </w:t>
      </w:r>
      <w:r>
        <w:t xml:space="preserve">(Ngwenya et al., 2025)</w:t>
      </w:r>
      <w:r>
        <w:t xml:space="preserve">. The temporal dimension of this mismatch is equally important as continued monitoring for at least three years is recommended, as the minimum at which the current observed trajectory would become statistically detectable, and to determine whether the Winter 2026 decline was a one-time event. It is expected that kōura abundance at stone pile sites will continue to build over subsequent spring and summer seasons.</w:t>
      </w:r>
    </w:p>
    <w:p>
      <w:pPr>
        <w:pStyle w:val="BodyText"/>
      </w:pPr>
      <w:r>
        <w:t xml:space="preserve">Beyond the ecological findings, this study established a practical foundation for scaling habitat enhancement in these lakes. The necessary approvals, consents, and construction methodology for deploying stone piles or rocky structures have now been documented and tested, providing a repeatable framework ready for wider application. This study also provided evidence that the structures are unlikely to provide meaningful additional benefit to catfish, addressing a key management concern before any wider deployment. Together, these outcomes give lake managers with a practical, tested option for future large-scale deployment.</w:t>
      </w:r>
    </w:p>
    <w:p>
      <w:pPr>
        <w:pStyle w:val="BodyText"/>
      </w:pPr>
      <w:r>
        <w:t xml:space="preserve">As thermal stratification and catfish distribution expands under continued warming</w:t>
      </w:r>
      <w:r>
        <w:t xml:space="preserve"> </w:t>
      </w:r>
      <w:r>
        <w:t xml:space="preserve">(Lee et al., 2025; Woolway et al., 2021)</w:t>
      </w:r>
      <w:r>
        <w:t xml:space="preserve">, the band of suitable habitat available to kōura will likely continue to narrow. In this context, the value of structural refugia is expected to increase over time rather than diminish. Stone pile deployment alone cannot reverse the trajectory of kōura decline in Lake Rotoiti, but it directly addresses the current bottleneck, the shortage of structural refuge in a lake where soft sediment is dominant on the shorelines and the two primary stressors cannot be controlled at the lake scale. Establishing refugia before populations decline further may be more effective than waiting until the effect of the stressors becomes more severe and kōura source populations fall below critical densities for recolonisation</w:t>
      </w:r>
      <w:r>
        <w:t xml:space="preserve"> </w:t>
      </w:r>
      <w:r>
        <w:t xml:space="preserve">(I. A. K. Kusabs et al., 2026; Morelli et al., 2016)</w:t>
      </w:r>
      <w:r>
        <w:t xml:space="preserve">.</w:t>
      </w:r>
    </w:p>
    <w:p>
      <w:pPr>
        <w:pStyle w:val="BodyText"/>
      </w:pPr>
      <w:r>
        <w:t xml:space="preserve">The consistent positive directional trend in occupancy, the rapid seasonal use of the structures documented here, and the developing community on the stone pile surfaces all suggest the foundations for a population-level response by kōura are being established. Furthermore, stone-pile construction provided no evidence of attracting or concentrating catfish. Whether these responses ultimately translate into detectable population-level effects will require continued long-term monitoring.</w:t>
      </w:r>
    </w:p>
    <w:bookmarkEnd w:id="32"/>
    <w:bookmarkEnd w:id="33"/>
    <w:bookmarkStart w:id="39" w:name="acknowledgements"/>
    <w:p>
      <w:pPr>
        <w:pStyle w:val="Heading2"/>
      </w:pPr>
      <w:r>
        <w:t xml:space="preserve">Acknowledgements</w:t>
      </w:r>
    </w:p>
    <w:p>
      <w:pPr>
        <w:pStyle w:val="FirstParagraph"/>
      </w:pPr>
      <w:r>
        <w:t xml:space="preserve">We thank Te Arawa Lakes Trust and Te Komiti Whakahaere for the opportunity to study kōura - a taonga (treasured) species. We are grateful to Soweeta Fort-D’ath and William Anaru (Te Arawa Lakes Trust), and Tihini Grant (Ngāti Pikiao). Tāheke Opatia Marae, Te Takinga Marae, and landowners, Piripi Curtis, David McIlraith, Piki Thomas, Haddon Lock, Barnett Vercoe, Richard Vercoe, and Caroline Newton, for granting access to monitoring sites and facilitating fieldwork in Lake Rotoiti. We thank Andy Bruere, Alex Simes, Cory O’Neill, Joe Butterworth, Martin Sarkezi, Mael Marguet, Savio Dsouza, Ethan Morgan, Logan Kallam, Calum MacNeil, and Matt Prentice for assisting with fieldwork and data collection.</w:t>
      </w:r>
    </w:p>
    <w:bookmarkStart w:id="34"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4"/>
    <w:bookmarkStart w:id="35" w:name="authors-contributions"/>
    <w:p>
      <w:pPr>
        <w:pStyle w:val="Heading3"/>
      </w:pPr>
      <w:r>
        <w:t xml:space="preserve">Authors’ contributions</w:t>
      </w:r>
    </w:p>
    <w:p>
      <w:pPr>
        <w:pStyle w:val="FirstParagraph"/>
      </w:pPr>
      <w:r>
        <w:t xml:space="preserve">Study conception and design were undertaken by Olivier V. Raven, Ian A. K. Kusabs, Robin Holmes, Francis J. Burdon and Deniz Özkundakci. Fieldwork was executed by Olivier V. Raven. Data analysis was performed by Olivier V. Raven. Ian A. K. Kusabs obtained council and iwi consent and provided local ecological knowledge. Manuscript drafting was led by Olivier V. Raven. All authors contributed to manuscript revision, approved the results, and the final manuscript.</w:t>
      </w:r>
    </w:p>
    <w:bookmarkEnd w:id="35"/>
    <w:bookmarkStart w:id="36" w:name="use-of-artificial-intelligence"/>
    <w:p>
      <w:pPr>
        <w:pStyle w:val="Heading3"/>
      </w:pPr>
      <w:r>
        <w:t xml:space="preserve">Use of Artificial Intelligence</w:t>
      </w:r>
    </w:p>
    <w:p>
      <w:pPr>
        <w:pStyle w:val="FirstParagraph"/>
      </w:pPr>
      <w:r>
        <w:t xml:space="preserve">Use of Artificial Intelligence: Claude (Anthropic) was used to assist with manuscript editing and language refinement. All content was critically reviewed, and the authors take full responsibility for the final manuscript.</w:t>
      </w:r>
    </w:p>
    <w:bookmarkEnd w:id="36"/>
    <w:bookmarkStart w:id="37" w:name="declarations"/>
    <w:p>
      <w:pPr>
        <w:pStyle w:val="Heading3"/>
      </w:pPr>
      <w:r>
        <w:t xml:space="preserve">Declarations</w:t>
      </w:r>
    </w:p>
    <w:p>
      <w:pPr>
        <w:pStyle w:val="FirstParagraph"/>
      </w:pPr>
      <w:r>
        <w:t xml:space="preserve">The corresponding author has declared that none of the authors has any competing interests.</w:t>
      </w:r>
    </w:p>
    <w:bookmarkEnd w:id="37"/>
    <w:bookmarkStart w:id="38"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 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38"/>
    <w:bookmarkEnd w:id="39"/>
    <w:bookmarkStart w:id="4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0" w:name="tbl-site-overview"/>
          <w:p>
            <w:pPr>
              <w:jc w:val="center"/>
            </w:pPr>
            <w:pPr>
              <w:jc w:val="left"/>
              <w:spacing w:before="200"/>
              <w:pStyle w:val="ImageCaption"/>
            </w:pPr>
            <w:r>
              <w:t xml:space="preserve">Table 1: Physical characteristics of stone pile, control, and reference monitoring sites at baseline. Sites 1–10 are stone pile (odd) and paired control (even) sites; sites 11–20 are reference sites. Substrate index is a weighted composite of substrate particle sizes (higher values indicate coarser substrate more suitable for kōura). Slope is the gradient to the 20 m depth contour. Fetch is maximum effective fetch. Vegetation values are visually estimated percentage cover.</w:t>
            </w:r>
          </w:p>
          <w:tbl>
            <w:tblPr>
              <w:tblStyle w:val="Table"/>
              <w:tblW w:type="pct" w:w="5000"/>
              <w:tblLayout w:type="fixed"/>
              <w:tblLook w:firstRow="1" w:lastRow="0" w:firstColumn="0" w:lastColumn="0" w:noHBand="0" w:noVBand="0" w:val="0020"/>
            </w:tblPr>
            <w:tblGrid>
              <w:gridCol w:w="363"/>
              <w:gridCol w:w="799"/>
              <w:gridCol w:w="581"/>
              <w:gridCol w:w="1162"/>
              <w:gridCol w:w="871"/>
              <w:gridCol w:w="799"/>
              <w:gridCol w:w="1307"/>
              <w:gridCol w:w="944"/>
              <w:gridCol w:w="1089"/>
            </w:tblGrid>
            <w:tr>
              <w:trPr>
                <w:tblHeader w:val="on"/>
              </w:trPr>
              <w:tc>
                <w:tcPr/>
                <w:p>
                  <w:pPr>
                    <w:pStyle w:val="Compact"/>
                    <w:jc w:val="right"/>
                    <w:jc w:val="center"/>
                  </w:pPr>
                  <w:r>
                    <w:t xml:space="preserve">Site</w:t>
                  </w:r>
                </w:p>
              </w:tc>
              <w:tc>
                <w:tcPr/>
                <w:p>
                  <w:pPr>
                    <w:pStyle w:val="Compact"/>
                    <w:jc w:val="left"/>
                    <w:jc w:val="center"/>
                  </w:pPr>
                  <w:r>
                    <w:t xml:space="preserve">Type</w:t>
                  </w:r>
                </w:p>
              </w:tc>
              <w:tc>
                <w:tcPr/>
                <w:p>
                  <w:pPr>
                    <w:pStyle w:val="Compact"/>
                    <w:jc w:val="left"/>
                    <w:jc w:val="center"/>
                  </w:pPr>
                  <w:r>
                    <w:t xml:space="preserve">Habitat</w:t>
                  </w:r>
                </w:p>
              </w:tc>
              <w:tc>
                <w:tcPr/>
                <w:p>
                  <w:pPr>
                    <w:pStyle w:val="Compact"/>
                    <w:jc w:val="right"/>
                    <w:jc w:val="center"/>
                  </w:pPr>
                  <w:r>
                    <w:t xml:space="preserve">Substrate index</w:t>
                  </w:r>
                </w:p>
              </w:tc>
              <w:tc>
                <w:tcPr/>
                <w:p>
                  <w:pPr>
                    <w:pStyle w:val="Compact"/>
                    <w:jc w:val="right"/>
                    <w:jc w:val="center"/>
                  </w:pPr>
                  <w:r>
                    <w:t xml:space="preserve">Slope (m/m)</w:t>
                  </w:r>
                </w:p>
              </w:tc>
              <w:tc>
                <w:tcPr/>
                <w:p>
                  <w:pPr>
                    <w:pStyle w:val="Compact"/>
                    <w:jc w:val="right"/>
                    <w:jc w:val="center"/>
                  </w:pPr>
                  <w:r>
                    <w:t xml:space="preserve">Fetch (km)</w:t>
                  </w:r>
                </w:p>
              </w:tc>
              <w:tc>
                <w:tcPr/>
                <w:p>
                  <w:pPr>
                    <w:pStyle w:val="Compact"/>
                    <w:jc w:val="right"/>
                    <w:jc w:val="center"/>
                  </w:pPr>
                  <w:r>
                    <w:t xml:space="preserve">Riparian veg. (%)</w:t>
                  </w:r>
                </w:p>
              </w:tc>
              <w:tc>
                <w:tcPr/>
                <w:p>
                  <w:pPr>
                    <w:pStyle w:val="Compact"/>
                    <w:jc w:val="right"/>
                    <w:jc w:val="center"/>
                  </w:pPr>
                  <w:r>
                    <w:t xml:space="preserve">Overhang (%)</w:t>
                  </w:r>
                </w:p>
              </w:tc>
              <w:tc>
                <w:tcPr/>
                <w:p>
                  <w:pPr>
                    <w:pStyle w:val="Compact"/>
                    <w:jc w:val="right"/>
                    <w:jc w:val="center"/>
                  </w:pPr>
                  <w:r>
                    <w:t xml:space="preserve">Wood cover (%)</w:t>
                  </w:r>
                </w:p>
              </w:tc>
            </w:tr>
            <w:tr>
              <w:tc>
                <w:tcPr/>
                <w:p>
                  <w:pPr>
                    <w:pStyle w:val="Compact"/>
                    <w:jc w:val="right"/>
                    <w:jc w:val="center"/>
                  </w:pPr>
                  <w:r>
                    <w:t xml:space="preserve">1</w:t>
                  </w:r>
                </w:p>
              </w:tc>
              <w:tc>
                <w:tcPr/>
                <w:p>
                  <w:pPr>
                    <w:pStyle w:val="Compact"/>
                    <w:jc w:val="left"/>
                    <w:jc w:val="center"/>
                  </w:pPr>
                  <w:r>
                    <w:t xml:space="preserve">Stone pile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0.12</w:t>
                  </w:r>
                </w:p>
              </w:tc>
              <w:tc>
                <w:tcPr/>
                <w:p>
                  <w:pPr>
                    <w:pStyle w:val="Compact"/>
                    <w:jc w:val="right"/>
                    <w:jc w:val="center"/>
                  </w:pPr>
                  <w:r>
                    <w:t xml:space="preserve">4.76</w:t>
                  </w:r>
                </w:p>
              </w:tc>
              <w:tc>
                <w:tcPr/>
                <w:p>
                  <w:pPr>
                    <w:pStyle w:val="Compact"/>
                    <w:jc w:val="right"/>
                    <w:jc w:val="center"/>
                  </w:pPr>
                  <w:r>
                    <w:t xml:space="preserve">0</w:t>
                  </w:r>
                </w:p>
              </w:tc>
              <w:tc>
                <w:tcPr/>
                <w:p>
                  <w:pPr>
                    <w:pStyle w:val="Compact"/>
                    <w:jc w:val="right"/>
                    <w:jc w:val="center"/>
                  </w:pPr>
                  <w:r>
                    <w:t xml:space="preserve">10</w:t>
                  </w:r>
                </w:p>
              </w:tc>
              <w:tc>
                <w:tcPr/>
                <w:p>
                  <w:pPr>
                    <w:pStyle w:val="Compact"/>
                    <w:jc w:val="right"/>
                    <w:jc w:val="center"/>
                  </w:pPr>
                  <w:r>
                    <w:t xml:space="preserve">0</w:t>
                  </w:r>
                </w:p>
              </w:tc>
            </w:tr>
            <w:tr>
              <w:tc>
                <w:tcPr/>
                <w:p>
                  <w:pPr>
                    <w:pStyle w:val="Compact"/>
                    <w:jc w:val="right"/>
                    <w:jc w:val="center"/>
                  </w:pPr>
                  <w:r>
                    <w:t xml:space="preserve">2</w:t>
                  </w:r>
                </w:p>
              </w:tc>
              <w:tc>
                <w:tcPr/>
                <w:p>
                  <w:pPr>
                    <w:pStyle w:val="Compact"/>
                    <w:jc w:val="left"/>
                    <w:jc w:val="center"/>
                  </w:pPr>
                  <w:r>
                    <w:t xml:space="preserve">Control</w:t>
                  </w:r>
                </w:p>
              </w:tc>
              <w:tc>
                <w:tcPr/>
                <w:p>
                  <w:pPr>
                    <w:pStyle w:val="Compact"/>
                    <w:jc w:val="left"/>
                    <w:jc w:val="center"/>
                  </w:pPr>
                  <w:r>
                    <w:t xml:space="preserve">Rocky</w:t>
                  </w:r>
                </w:p>
              </w:tc>
              <w:tc>
                <w:tcPr/>
                <w:p>
                  <w:pPr>
                    <w:pStyle w:val="Compact"/>
                    <w:jc w:val="right"/>
                    <w:jc w:val="center"/>
                  </w:pPr>
                  <w:r>
                    <w:t xml:space="preserve">4.40</w:t>
                  </w:r>
                </w:p>
              </w:tc>
              <w:tc>
                <w:tcPr/>
                <w:p>
                  <w:pPr>
                    <w:pStyle w:val="Compact"/>
                    <w:jc w:val="right"/>
                    <w:jc w:val="center"/>
                  </w:pPr>
                  <w:r>
                    <w:t xml:space="preserve">0.11</w:t>
                  </w:r>
                </w:p>
              </w:tc>
              <w:tc>
                <w:tcPr/>
                <w:p>
                  <w:pPr>
                    <w:pStyle w:val="Compact"/>
                    <w:jc w:val="right"/>
                    <w:jc w:val="center"/>
                  </w:pPr>
                  <w:r>
                    <w:t xml:space="preserve">4.79</w:t>
                  </w:r>
                </w:p>
              </w:tc>
              <w:tc>
                <w:tcPr/>
                <w:p>
                  <w:pPr>
                    <w:pStyle w:val="Compact"/>
                    <w:jc w:val="right"/>
                    <w:jc w:val="center"/>
                  </w:pPr>
                  <w:r>
                    <w:t xml:space="preserve">70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3</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4</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1.74</w:t>
                  </w:r>
                </w:p>
              </w:tc>
              <w:tc>
                <w:tcPr/>
                <w:p>
                  <w:pPr>
                    <w:pStyle w:val="Compact"/>
                    <w:jc w:val="right"/>
                    <w:jc w:val="center"/>
                  </w:pPr>
                  <w:r>
                    <w:t xml:space="preserve">80</w:t>
                  </w:r>
                </w:p>
              </w:tc>
              <w:tc>
                <w:tcPr/>
                <w:p>
                  <w:pPr>
                    <w:pStyle w:val="Compact"/>
                    <w:jc w:val="right"/>
                    <w:jc w:val="center"/>
                  </w:pPr>
                  <w:r>
                    <w:t xml:space="preserve">5</w:t>
                  </w:r>
                </w:p>
              </w:tc>
              <w:tc>
                <w:tcPr/>
                <w:p>
                  <w:pPr>
                    <w:pStyle w:val="Compact"/>
                    <w:jc w:val="right"/>
                    <w:jc w:val="center"/>
                  </w:pPr>
                  <w:r>
                    <w:t xml:space="preserve">0</w:t>
                  </w:r>
                </w:p>
              </w:tc>
            </w:tr>
            <w:tr>
              <w:tc>
                <w:tcPr/>
                <w:p>
                  <w:pPr>
                    <w:pStyle w:val="Compact"/>
                    <w:jc w:val="right"/>
                    <w:jc w:val="center"/>
                  </w:pPr>
                  <w:r>
                    <w:t xml:space="preserve">5</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2.40</w:t>
                  </w:r>
                </w:p>
              </w:tc>
              <w:tc>
                <w:tcPr/>
                <w:p>
                  <w:pPr>
                    <w:pStyle w:val="Compact"/>
                    <w:jc w:val="right"/>
                    <w:jc w:val="center"/>
                  </w:pPr>
                  <w:r>
                    <w:t xml:space="preserve">0.01</w:t>
                  </w:r>
                </w:p>
              </w:tc>
              <w:tc>
                <w:tcPr/>
                <w:p>
                  <w:pPr>
                    <w:pStyle w:val="Compact"/>
                    <w:jc w:val="right"/>
                    <w:jc w:val="center"/>
                  </w:pPr>
                  <w:r>
                    <w:t xml:space="preserve">0.61</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6</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0.55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7</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0.06</w:t>
                  </w:r>
                </w:p>
              </w:tc>
              <w:tc>
                <w:tcPr/>
                <w:p>
                  <w:pPr>
                    <w:pStyle w:val="Compact"/>
                    <w:jc w:val="right"/>
                    <w:jc w:val="center"/>
                  </w:pPr>
                  <w:r>
                    <w:t xml:space="preserve">2.50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8</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0.05</w:t>
                  </w:r>
                </w:p>
              </w:tc>
              <w:tc>
                <w:tcPr/>
                <w:p>
                  <w:pPr>
                    <w:pStyle w:val="Compact"/>
                    <w:jc w:val="right"/>
                    <w:jc w:val="center"/>
                  </w:pPr>
                  <w:r>
                    <w:t xml:space="preserve">2.22</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9</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3.35</w:t>
                  </w:r>
                </w:p>
              </w:tc>
              <w:tc>
                <w:tcPr/>
                <w:p>
                  <w:pPr>
                    <w:pStyle w:val="Compact"/>
                    <w:jc w:val="right"/>
                    <w:jc w:val="center"/>
                  </w:pPr>
                  <w:r>
                    <w:t xml:space="preserve">0.08</w:t>
                  </w:r>
                </w:p>
              </w:tc>
              <w:tc>
                <w:tcPr/>
                <w:p>
                  <w:pPr>
                    <w:pStyle w:val="Compact"/>
                    <w:jc w:val="right"/>
                    <w:jc w:val="center"/>
                  </w:pPr>
                  <w:r>
                    <w:t xml:space="preserve">3.59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right"/>
                    <w:jc w:val="center"/>
                  </w:pPr>
                  <w:r>
                    <w:t xml:space="preserve">10</w:t>
                  </w:r>
                </w:p>
              </w:tc>
              <w:tc>
                <w:tcPr/>
                <w:p>
                  <w:pPr>
                    <w:pStyle w:val="Compact"/>
                    <w:jc w:val="left"/>
                    <w:jc w:val="center"/>
                  </w:pPr>
                  <w:r>
                    <w:t xml:space="preserve">Control</w:t>
                  </w:r>
                </w:p>
              </w:tc>
              <w:tc>
                <w:tcPr/>
                <w:p>
                  <w:pPr>
                    <w:pStyle w:val="Compact"/>
                    <w:jc w:val="left"/>
                    <w:jc w:val="center"/>
                  </w:pPr>
                  <w:r>
                    <w:t xml:space="preserve">Rocky</w:t>
                  </w:r>
                </w:p>
              </w:tc>
              <w:tc>
                <w:tcPr/>
                <w:p>
                  <w:pPr>
                    <w:pStyle w:val="Compact"/>
                    <w:jc w:val="right"/>
                    <w:jc w:val="center"/>
                  </w:pPr>
                  <w:r>
                    <w:t xml:space="preserve">5.00</w:t>
                  </w:r>
                </w:p>
              </w:tc>
              <w:tc>
                <w:tcPr/>
                <w:p>
                  <w:pPr>
                    <w:pStyle w:val="Compact"/>
                    <w:jc w:val="right"/>
                    <w:jc w:val="center"/>
                  </w:pPr>
                  <w:r>
                    <w:t xml:space="preserve">0.09</w:t>
                  </w:r>
                </w:p>
              </w:tc>
              <w:tc>
                <w:tcPr/>
                <w:p>
                  <w:pPr>
                    <w:pStyle w:val="Compact"/>
                    <w:jc w:val="right"/>
                    <w:jc w:val="center"/>
                  </w:pPr>
                  <w:r>
                    <w:t xml:space="preserve">3.74</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11</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6.60</w:t>
                  </w:r>
                </w:p>
              </w:tc>
              <w:tc>
                <w:tcPr/>
                <w:p>
                  <w:pPr>
                    <w:pStyle w:val="Compact"/>
                    <w:jc w:val="right"/>
                    <w:jc w:val="center"/>
                  </w:pPr>
                  <w:r>
                    <w:t xml:space="preserve">0.16</w:t>
                  </w:r>
                </w:p>
              </w:tc>
              <w:tc>
                <w:tcPr/>
                <w:p>
                  <w:pPr>
                    <w:pStyle w:val="Compact"/>
                    <w:jc w:val="right"/>
                    <w:jc w:val="center"/>
                  </w:pPr>
                  <w:r>
                    <w:t xml:space="preserve">4.47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12</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6.20</w:t>
                  </w:r>
                </w:p>
              </w:tc>
              <w:tc>
                <w:tcPr/>
                <w:p>
                  <w:pPr>
                    <w:pStyle w:val="Compact"/>
                    <w:jc w:val="right"/>
                    <w:jc w:val="center"/>
                  </w:pPr>
                  <w:r>
                    <w:t xml:space="preserve">0.12</w:t>
                  </w:r>
                </w:p>
              </w:tc>
              <w:tc>
                <w:tcPr/>
                <w:p>
                  <w:pPr>
                    <w:pStyle w:val="Compact"/>
                    <w:jc w:val="right"/>
                    <w:jc w:val="center"/>
                  </w:pPr>
                  <w:r>
                    <w:t xml:space="preserve">4.17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13</w:t>
                  </w:r>
                </w:p>
              </w:tc>
              <w:tc>
                <w:tcPr/>
                <w:p>
                  <w:pPr>
                    <w:pStyle w:val="Compact"/>
                    <w:jc w:val="left"/>
                    <w:jc w:val="center"/>
                  </w:pPr>
                  <w:r>
                    <w:t xml:space="preserve">Reference</w:t>
                  </w:r>
                </w:p>
              </w:tc>
              <w:tc>
                <w:tcPr/>
                <w:p>
                  <w:pPr>
                    <w:pStyle w:val="Compact"/>
                    <w:jc w:val="left"/>
                    <w:jc w:val="center"/>
                  </w:pPr>
                  <w:r>
                    <w:t xml:space="preserve">Sandy</w:t>
                  </w:r>
                </w:p>
              </w:tc>
              <w:tc>
                <w:tcPr/>
                <w:p>
                  <w:pPr>
                    <w:pStyle w:val="Compact"/>
                    <w:jc w:val="right"/>
                    <w:jc w:val="center"/>
                  </w:pPr>
                  <w:r>
                    <w:t xml:space="preserve">3.60</w:t>
                  </w:r>
                </w:p>
              </w:tc>
              <w:tc>
                <w:tcPr/>
                <w:p>
                  <w:pPr>
                    <w:pStyle w:val="Compact"/>
                    <w:jc w:val="right"/>
                    <w:jc w:val="center"/>
                  </w:pPr>
                  <w:r>
                    <w:t xml:space="preserve">0.09</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14</w:t>
                  </w:r>
                </w:p>
              </w:tc>
              <w:tc>
                <w:tcPr/>
                <w:p>
                  <w:pPr>
                    <w:pStyle w:val="Compact"/>
                    <w:jc w:val="left"/>
                    <w:jc w:val="center"/>
                  </w:pPr>
                  <w:r>
                    <w:t xml:space="preserve">Reference</w:t>
                  </w:r>
                </w:p>
              </w:tc>
              <w:tc>
                <w:tcPr/>
                <w:p>
                  <w:pPr>
                    <w:pStyle w:val="Compact"/>
                    <w:jc w:val="left"/>
                    <w:jc w:val="center"/>
                  </w:pPr>
                  <w:r>
                    <w:t xml:space="preserve">Sandy</w:t>
                  </w:r>
                </w:p>
              </w:tc>
              <w:tc>
                <w:tcPr/>
                <w:p>
                  <w:pPr>
                    <w:pStyle w:val="Compact"/>
                    <w:jc w:val="right"/>
                    <w:jc w:val="center"/>
                  </w:pPr>
                  <w:r>
                    <w:t xml:space="preserve">3.50</w:t>
                  </w:r>
                </w:p>
              </w:tc>
              <w:tc>
                <w:tcPr/>
                <w:p>
                  <w:pPr>
                    <w:pStyle w:val="Compact"/>
                    <w:jc w:val="right"/>
                    <w:jc w:val="center"/>
                  </w:pPr>
                  <w:r>
                    <w:t xml:space="preserve">0.11</w:t>
                  </w:r>
                </w:p>
              </w:tc>
              <w:tc>
                <w:tcPr/>
                <w:p>
                  <w:pPr>
                    <w:pStyle w:val="Compact"/>
                    <w:jc w:val="right"/>
                    <w:jc w:val="center"/>
                  </w:pPr>
                  <w:r>
                    <w:t xml:space="preserve">1.65</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15</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0.03</w:t>
                  </w:r>
                </w:p>
              </w:tc>
              <w:tc>
                <w:tcPr/>
                <w:p>
                  <w:pPr>
                    <w:pStyle w:val="Compact"/>
                    <w:jc w:val="right"/>
                    <w:jc w:val="center"/>
                  </w:pPr>
                  <w:r>
                    <w:t xml:space="preserve">1.44</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6</w:t>
                  </w:r>
                </w:p>
              </w:tc>
            </w:tr>
            <w:tr>
              <w:tc>
                <w:tcPr/>
                <w:p>
                  <w:pPr>
                    <w:pStyle w:val="Compact"/>
                    <w:jc w:val="right"/>
                    <w:jc w:val="center"/>
                  </w:pPr>
                  <w:r>
                    <w:t xml:space="preserve">16</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0.04</w:t>
                  </w:r>
                </w:p>
              </w:tc>
              <w:tc>
                <w:tcPr/>
                <w:p>
                  <w:pPr>
                    <w:pStyle w:val="Compact"/>
                    <w:jc w:val="right"/>
                    <w:jc w:val="center"/>
                  </w:pPr>
                  <w:r>
                    <w:t xml:space="preserve">1.40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2</w:t>
                  </w:r>
                </w:p>
              </w:tc>
            </w:tr>
            <w:tr>
              <w:tc>
                <w:tcPr/>
                <w:p>
                  <w:pPr>
                    <w:pStyle w:val="Compact"/>
                    <w:jc w:val="right"/>
                    <w:jc w:val="center"/>
                  </w:pPr>
                  <w:r>
                    <w:t xml:space="preserve">17</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5.00</w:t>
                  </w:r>
                </w:p>
              </w:tc>
              <w:tc>
                <w:tcPr/>
                <w:p>
                  <w:pPr>
                    <w:pStyle w:val="Compact"/>
                    <w:jc w:val="right"/>
                    <w:jc w:val="center"/>
                  </w:pPr>
                  <w:r>
                    <w:t xml:space="preserve">0.05</w:t>
                  </w:r>
                </w:p>
              </w:tc>
              <w:tc>
                <w:tcPr/>
                <w:p>
                  <w:pPr>
                    <w:pStyle w:val="Compact"/>
                    <w:jc w:val="right"/>
                    <w:jc w:val="center"/>
                  </w:pPr>
                  <w:r>
                    <w:t xml:space="preserve">3.47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30</w:t>
                  </w:r>
                </w:p>
              </w:tc>
            </w:tr>
            <w:tr>
              <w:tc>
                <w:tcPr/>
                <w:p>
                  <w:pPr>
                    <w:pStyle w:val="Compact"/>
                    <w:jc w:val="right"/>
                    <w:jc w:val="center"/>
                  </w:pPr>
                  <w:r>
                    <w:t xml:space="preserve">18</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6.20</w:t>
                  </w:r>
                </w:p>
              </w:tc>
              <w:tc>
                <w:tcPr/>
                <w:p>
                  <w:pPr>
                    <w:pStyle w:val="Compact"/>
                    <w:jc w:val="right"/>
                    <w:jc w:val="center"/>
                  </w:pPr>
                  <w:r>
                    <w:t xml:space="preserve">0.05</w:t>
                  </w:r>
                </w:p>
              </w:tc>
              <w:tc>
                <w:tcPr/>
                <w:p>
                  <w:pPr>
                    <w:pStyle w:val="Compact"/>
                    <w:jc w:val="right"/>
                    <w:jc w:val="center"/>
                  </w:pPr>
                  <w:r>
                    <w:t xml:space="preserve">3.46</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7</w:t>
                  </w:r>
                </w:p>
              </w:tc>
            </w:tr>
            <w:tr>
              <w:tc>
                <w:tcPr/>
                <w:p>
                  <w:pPr>
                    <w:pStyle w:val="Compact"/>
                    <w:jc w:val="right"/>
                    <w:jc w:val="center"/>
                  </w:pPr>
                  <w:r>
                    <w:t xml:space="preserve">19</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5.70</w:t>
                  </w:r>
                </w:p>
              </w:tc>
              <w:tc>
                <w:tcPr/>
                <w:p>
                  <w:pPr>
                    <w:pStyle w:val="Compact"/>
                    <w:jc w:val="right"/>
                    <w:jc w:val="center"/>
                  </w:pPr>
                  <w:r>
                    <w:t xml:space="preserve">0.11</w:t>
                  </w:r>
                </w:p>
              </w:tc>
              <w:tc>
                <w:tcPr/>
                <w:p>
                  <w:pPr>
                    <w:pStyle w:val="Compact"/>
                    <w:jc w:val="right"/>
                    <w:jc w:val="center"/>
                  </w:pPr>
                  <w:r>
                    <w:t xml:space="preserve">2.63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4</w:t>
                  </w:r>
                </w:p>
              </w:tc>
            </w:tr>
            <w:tr>
              <w:tc>
                <w:tcPr/>
                <w:p>
                  <w:pPr>
                    <w:pStyle w:val="Compact"/>
                    <w:jc w:val="right"/>
                    <w:jc w:val="center"/>
                  </w:pPr>
                  <w:r>
                    <w:t xml:space="preserve">20</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5.70</w:t>
                  </w:r>
                </w:p>
              </w:tc>
              <w:tc>
                <w:tcPr/>
                <w:p>
                  <w:pPr>
                    <w:pStyle w:val="Compact"/>
                    <w:jc w:val="right"/>
                    <w:jc w:val="center"/>
                  </w:pPr>
                  <w:r>
                    <w:t xml:space="preserve">0.13</w:t>
                  </w:r>
                </w:p>
              </w:tc>
              <w:tc>
                <w:tcPr/>
                <w:p>
                  <w:pPr>
                    <w:pStyle w:val="Compact"/>
                    <w:jc w:val="right"/>
                    <w:jc w:val="center"/>
                  </w:pPr>
                  <w:r>
                    <w:t xml:space="preserve">2.87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Article Notebook</w:t>
        </w:r>
      </w:hyperlink>
    </w:p>
    <w:bookmarkEnd w:id="42"/>
    <w:bookmarkStart w:id="6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sites"/>
          <w:p>
            <w:pPr>
              <w:pStyle w:val="Compact"/>
              <w:jc w:val="center"/>
            </w:pPr>
            <w:r>
              <w:drawing>
                <wp:inline>
                  <wp:extent cx="5727700" cy="4050383"/>
                  <wp:effectExtent b="0" l="0" r="0" t="0"/>
                  <wp:docPr descr="" title="" id="44" name="Picture"/>
                  <a:graphic>
                    <a:graphicData uri="http://schemas.openxmlformats.org/drawingml/2006/picture">
                      <pic:pic>
                        <pic:nvPicPr>
                          <pic:cNvPr descr="images/Rotoiti_monitoring_sites.png" id="45" name="Picture"/>
                          <pic:cNvPicPr>
                            <a:picLocks noChangeArrowheads="1" noChangeAspect="1"/>
                          </pic:cNvPicPr>
                        </pic:nvPicPr>
                        <pic:blipFill>
                          <a:blip r:embed="rId4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Lake Rotoiti in Bay of Plenty region of New Zealand. The monitoring sites are coloured by site type: stone pile sites red, control site yellow, and reference sites blue. Ten close-up maps show the placement of each of the sites.</w:t>
            </w:r>
          </w:p>
          <w:bookmarkEnd w:id="46"/>
        </w:tc>
      </w:tr>
    </w:tbl>
    <w:p/>
    <w:tbl>
      <w:tblPr>
        <w:tblStyle w:val="Table"/>
        <w:tblW w:type="pct" w:w="5000"/>
        <w:tblLayout w:type="fixed"/>
        <w:tblLook w:firstRow="0" w:lastRow="0" w:firstColumn="0" w:lastColumn="0" w:noHBand="0" w:noVBand="0" w:val="0000"/>
      </w:tblPr>
      <w:tblGrid>
        <w:gridCol w:w="7920"/>
      </w:tblGrid>
      <w:tr>
        <w:tc>
          <w:tcPr/>
          <w:bookmarkStart w:id="50" w:name="fig-forest-plot"/>
          <w:p>
            <w:pPr>
              <w:pStyle w:val="Compact"/>
              <w:jc w:val="center"/>
            </w:pPr>
            <w:r>
              <w:drawing>
                <wp:inline>
                  <wp:extent cx="5727700" cy="7364185"/>
                  <wp:effectExtent b="0" l="0" r="0" t="0"/>
                  <wp:docPr descr="" title="" id="48" name="Picture"/>
                  <a:graphic>
                    <a:graphicData uri="http://schemas.openxmlformats.org/drawingml/2006/picture">
                      <pic:pic>
                        <pic:nvPicPr>
                          <pic:cNvPr descr="outputs/fig-forest-plot.png" id="49" name="Picture"/>
                          <pic:cNvPicPr>
                            <a:picLocks noChangeArrowheads="1" noChangeAspect="1"/>
                          </pic:cNvPicPr>
                        </pic:nvPicPr>
                        <pic:blipFill>
                          <a:blip r:embed="rId47"/>
                          <a:stretch>
                            <a:fillRect/>
                          </a:stretch>
                        </pic:blipFill>
                        <pic:spPr bwMode="auto">
                          <a:xfrm>
                            <a:off x="0" y="0"/>
                            <a:ext cx="5727700" cy="73641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 sizes (</w:t>
            </w:r>
            <m:oMath>
              <m:r>
                <m:t>β</m:t>
              </m:r>
            </m:oMath>
            <w:r>
              <w:t xml:space="preserve"> </w:t>
            </w:r>
            <w:r>
              <w:t xml:space="preserve">± 95% CI) for the key term of interest across all models, separated by species (columns) and comparison type (rows). Filled points indicate significant effects (</w:t>
            </w:r>
            <w:r>
              <w:rPr>
                <w:i/>
                <w:iCs/>
              </w:rPr>
              <w:t xml:space="preserve">p</w:t>
            </w:r>
            <w:r>
              <w:t xml:space="preserve"> </w:t>
            </w:r>
            <w:r>
              <w:t xml:space="preserve">&lt; 0.05); open points are non-significant. Each row has its own x-axis scale, effect magnitudes are not directly comparable across rows because each comparison tests a different contrast (step-change, per-round slope, or simple group difference), and occupancy is on the log-odds scale while abundance and biomass models use the Tweedie log link. Models with degenerate confidence intervals are excluded.</w:t>
            </w:r>
          </w:p>
          <w:bookmarkEnd w:id="50"/>
        </w:tc>
      </w:tr>
    </w:tbl>
    <w:p/>
    <w:tbl>
      <w:tblPr>
        <w:tblStyle w:val="Table"/>
        <w:tblW w:type="pct" w:w="5000"/>
        <w:tblLayout w:type="fixed"/>
        <w:tblLook w:firstRow="0" w:lastRow="0" w:firstColumn="0" w:lastColumn="0" w:noHBand="0" w:noVBand="0" w:val="0000"/>
      </w:tblPr>
      <w:tblGrid>
        <w:gridCol w:w="7920"/>
      </w:tblGrid>
      <w:tr>
        <w:tc>
          <w:tcPr/>
          <w:bookmarkStart w:id="54" w:name="fig-koura-effect"/>
          <w:p>
            <w:pPr>
              <w:pStyle w:val="Compact"/>
              <w:jc w:val="center"/>
            </w:pPr>
            <w:r>
              <w:drawing>
                <wp:inline>
                  <wp:extent cx="5727700" cy="5727700"/>
                  <wp:effectExtent b="0" l="0" r="0" t="0"/>
                  <wp:docPr descr="" title="" id="52" name="Picture"/>
                  <a:graphic>
                    <a:graphicData uri="http://schemas.openxmlformats.org/drawingml/2006/picture">
                      <pic:pic>
                        <pic:nvPicPr>
                          <pic:cNvPr descr="outputs/fig-koura-effect.png" id="53" name="Picture"/>
                          <pic:cNvPicPr>
                            <a:picLocks noChangeArrowheads="1" noChangeAspect="1"/>
                          </pic:cNvPicPr>
                        </pic:nvPicPr>
                        <pic:blipFill>
                          <a:blip r:embed="rId51"/>
                          <a:stretch>
                            <a:fillRect/>
                          </a:stretch>
                        </pic:blipFill>
                        <pic:spPr bwMode="auto">
                          <a:xfrm>
                            <a:off x="0" y="0"/>
                            <a:ext cx="5727700" cy="5727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CPUE at individual site pairs across all monitoring rounds. Each panel shows one stone pile / control pair (sites 1–10) or reference pair (sites 11–20). Colour and shape indicate site type. Vertical dotted line marks stone pile construction. y-axis on log(1+x) scale.</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cpue-trends"/>
          <w:p>
            <w:pPr>
              <w:pStyle w:val="Compact"/>
              <w:jc w:val="center"/>
            </w:pPr>
            <w:r>
              <w:drawing>
                <wp:inline>
                  <wp:extent cx="5504749" cy="4587290"/>
                  <wp:effectExtent b="0" l="0" r="0" t="0"/>
                  <wp:docPr descr="" title="" id="56" name="Picture"/>
                  <a:graphic>
                    <a:graphicData uri="http://schemas.openxmlformats.org/drawingml/2006/picture">
                      <pic:pic>
                        <pic:nvPicPr>
                          <pic:cNvPr descr="outputs/fig-cpue-trends.png" id="57" name="Picture"/>
                          <pic:cNvPicPr>
                            <a:picLocks noChangeArrowheads="1" noChangeAspect="1"/>
                          </pic:cNvPicPr>
                        </pic:nvPicPr>
                        <pic:blipFill>
                          <a:blip r:embed="rId55"/>
                          <a:stretch>
                            <a:fillRect/>
                          </a:stretch>
                        </pic:blipFill>
                        <pic:spPr bwMode="auto">
                          <a:xfrm>
                            <a:off x="0" y="0"/>
                            <a:ext cx="5504749"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CPUE per monitoring round (± 95 % CI, log scale) by site type for kōura (top) and catfish (bottom). Vertical dashed line distinguishes the pre-construction period (Before) from post-construction monitoring (After).</w:t>
            </w:r>
          </w:p>
          <w:bookmarkEnd w:id="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fig-occ-warm-contrasts"/>
          <w:p>
            <w:pPr>
              <w:pStyle w:val="Compact"/>
              <w:jc w:val="center"/>
            </w:pPr>
            <w:r>
              <w:drawing>
                <wp:inline>
                  <wp:extent cx="4582160" cy="4200313"/>
                  <wp:effectExtent b="0" l="0" r="0" t="0"/>
                  <wp:docPr descr="" title="" id="60" name="Picture"/>
                  <a:graphic>
                    <a:graphicData uri="http://schemas.openxmlformats.org/drawingml/2006/picture">
                      <pic:pic>
                        <pic:nvPicPr>
                          <pic:cNvPr descr="outputs/fig-occ-warm-contrasts.png" id="61" name="Picture"/>
                          <pic:cNvPicPr>
                            <a:picLocks noChangeArrowheads="1" noChangeAspect="1"/>
                          </pic:cNvPicPr>
                        </pic:nvPicPr>
                        <pic:blipFill>
                          <a:blip r:embed="rId59"/>
                          <a:stretch>
                            <a:fillRect/>
                          </a:stretch>
                        </pic:blipFill>
                        <pic:spPr bwMode="auto">
                          <a:xfrm>
                            <a:off x="0" y="0"/>
                            <a:ext cx="4582160" cy="42003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contrasts in kōura occupancy from the warm-season model. BACI contrast (stone pile minus control, before vs after construction). After-treatment contrasts between all site-type pairs. Points show posterior means with 95 % credible intervals; contrasts overlapping zero indicate no detectable difference.</w:t>
            </w:r>
          </w:p>
          <w:bookmarkEnd w:id="6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6" w:name="fig-trajectory-projection"/>
          <w:p>
            <w:pPr>
              <w:pStyle w:val="Compact"/>
              <w:jc w:val="center"/>
            </w:pPr>
            <w:r>
              <w:drawing>
                <wp:inline>
                  <wp:extent cx="4582160" cy="3665728"/>
                  <wp:effectExtent b="0" l="0" r="0" t="0"/>
                  <wp:docPr descr="" title="" id="64" name="Picture"/>
                  <a:graphic>
                    <a:graphicData uri="http://schemas.openxmlformats.org/drawingml/2006/picture">
                      <pic:pic>
                        <pic:nvPicPr>
                          <pic:cNvPr descr="outputs/fig-trajectory-projection.png" id="65" name="Picture"/>
                          <pic:cNvPicPr>
                            <a:picLocks noChangeArrowheads="1" noChangeAspect="1"/>
                          </pic:cNvPicPr>
                        </pic:nvPicPr>
                        <pic:blipFill>
                          <a:blip r:embed="rId63"/>
                          <a:stretch>
                            <a:fillRect/>
                          </a:stretch>
                        </pic:blipFill>
                        <pic:spPr bwMode="auto">
                          <a:xfrm>
                            <a:off x="0" y="0"/>
                            <a:ext cx="4582160" cy="36657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Projected kōura CPUE BACI effect size over additional monitoring rounds. The solid line shows the linear projection based on the estimated post-construction trajectory; shaded ribbon shows 95% uncertainty interval. Dashed horizontal line marks the detection threshold for 80 % power with five site pairs.</w:t>
            </w:r>
          </w:p>
          <w:bookmarkEnd w:id="66"/>
        </w:tc>
      </w:tr>
    </w:tbl>
    <w:bookmarkEnd w:id="67"/>
    <w:bookmarkStart w:id="87" w:name="supplementary-information"/>
    <w:p>
      <w:pPr>
        <w:pStyle w:val="Heading2"/>
      </w:pPr>
      <w:r>
        <w:t xml:space="preserve">Supplementary information</w:t>
      </w:r>
    </w:p>
    <w:p>
      <w:pPr>
        <w:pStyle w:val="FirstParagraph"/>
      </w:pPr>
      <w:r>
        <w:rPr>
          <w:i/>
          <w:iCs/>
        </w:rPr>
        <w:t xml:space="preserve">Supplementary figures are provided in the appendices.</w:t>
      </w:r>
    </w:p>
    <w:tbl>
      <w:tblPr>
        <w:tblStyle w:val="Table"/>
        <w:tblW w:type="pct" w:w="5000"/>
        <w:tblLayout w:type="fixed"/>
        <w:tblLook w:firstRow="0" w:lastRow="0" w:firstColumn="0" w:lastColumn="0" w:noHBand="0" w:noVBand="0" w:val="0000"/>
      </w:tblPr>
      <w:tblGrid>
        <w:gridCol w:w="7920"/>
      </w:tblGrid>
      <w:tr>
        <w:tc>
          <w:tcPr/>
          <w:bookmarkStart w:id="71" w:name="fig-lake-conditions"/>
          <w:p>
            <w:pPr>
              <w:pStyle w:val="Compact"/>
              <w:jc w:val="center"/>
            </w:pPr>
            <w:r>
              <w:drawing>
                <wp:inline>
                  <wp:extent cx="4582160" cy="3054773"/>
                  <wp:effectExtent b="0" l="0" r="0" t="0"/>
                  <wp:docPr descr="" title="" id="69" name="Picture"/>
                  <a:graphic>
                    <a:graphicData uri="http://schemas.openxmlformats.org/drawingml/2006/picture">
                      <pic:pic>
                        <pic:nvPicPr>
                          <pic:cNvPr descr="outputs/fig-lake-conditions.png" id="70" name="Picture"/>
                          <pic:cNvPicPr>
                            <a:picLocks noChangeArrowheads="1" noChangeAspect="1"/>
                          </pic:cNvPicPr>
                        </pic:nvPicPr>
                        <pic:blipFill>
                          <a:blip r:embed="rId68"/>
                          <a:stretch>
                            <a:fillRect/>
                          </a:stretch>
                        </pic:blipFill>
                        <pic:spPr bwMode="auto">
                          <a:xfrm>
                            <a:off x="0" y="0"/>
                            <a:ext cx="4582160" cy="3054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Depth-resolved water temperature (°C, top) and dissolved oxygen (mg/L, bottom) in Lake Rotoiti throughout the study period (February 2025 – July 2026). Data derived from the LimnoTrack continuous monitoring buoy</w:t>
            </w:r>
            <w:r>
              <w:t xml:space="preserve"> </w:t>
            </w:r>
            <w:r>
              <w:t xml:space="preserve">(Moore &amp; McBride, 2026)</w:t>
            </w:r>
            <w:r>
              <w:t xml:space="preserve">. Vertical green line marks stone pile deployment; dashed vertical lines mark seasonal monitoring rounds. Warm colours in the DO panel (orange–black) indicate hypoxic and anoxic conditions (&lt; 5 mg/L), demonstrating the pronounced summer stratification that compresses oxygenated habitat into the shallow littoral zone.</w:t>
            </w:r>
          </w:p>
          <w:bookmarkEnd w:id="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fig-length-weight-ch5"/>
          <w:p>
            <w:pPr>
              <w:pStyle w:val="Compact"/>
              <w:jc w:val="center"/>
            </w:pPr>
            <w:r>
              <w:drawing>
                <wp:inline>
                  <wp:extent cx="3723005" cy="2326878"/>
                  <wp:effectExtent b="0" l="0" r="0" t="0"/>
                  <wp:docPr descr="" title="" id="73" name="Picture"/>
                  <a:graphic>
                    <a:graphicData uri="http://schemas.openxmlformats.org/drawingml/2006/picture">
                      <pic:pic>
                        <pic:nvPicPr>
                          <pic:cNvPr descr="outputs/fig-length-weight.png" id="74" name="Picture"/>
                          <pic:cNvPicPr>
                            <a:picLocks noChangeArrowheads="1" noChangeAspect="1"/>
                          </pic:cNvPicPr>
                        </pic:nvPicPr>
                        <pic:blipFill>
                          <a:blip r:embed="rId72"/>
                          <a:stretch>
                            <a:fillRect/>
                          </a:stretch>
                        </pic:blipFill>
                        <pic:spPr bwMode="auto">
                          <a:xfrm>
                            <a:off x="0" y="0"/>
                            <a:ext cx="3723005" cy="232687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Length–weight relationship for kōura, fitted on log₁₀–log₁₀ scale. Open points are weights predicted from the length–weight regression (used to fill missing scale measurements); filled points are directly measured weights.</w:t>
            </w:r>
          </w:p>
          <w:bookmarkEnd w:id="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6" w:name="tbl-models-summary-full"/>
          <w:p>
            <w:pPr>
              <w:jc w:val="center"/>
            </w:pPr>
            <w:pPr>
              <w:jc w:val="left"/>
              <w:spacing w:before="200"/>
              <w:pStyle w:val="ImageCaption"/>
            </w:pPr>
            <w:r>
              <w:t xml:space="preserve">Table 2: Full fixed-effect estimates (</w:t>
            </w:r>
            <m:oMath>
              <m:r>
                <m:t>β</m:t>
              </m:r>
            </m:oMath>
            <w:r>
              <w:t xml:space="preserve">, SE, 95% CI, p-value) for every term in every model.</w:t>
            </w:r>
          </w:p>
          <w:tbl>
            <w:tblPr>
              <w:tblStyle w:val="Table"/>
              <w:tblW w:type="pct" w:w="5000"/>
              <w:tblLayout w:type="fixed"/>
              <w:tblLook w:firstRow="1" w:lastRow="0" w:firstColumn="0" w:lastColumn="0" w:noHBand="0" w:noVBand="0" w:val="0020"/>
            </w:tblPr>
            <w:tblGrid>
              <w:gridCol w:w="424"/>
              <w:gridCol w:w="235"/>
              <w:gridCol w:w="377"/>
              <w:gridCol w:w="660"/>
              <w:gridCol w:w="612"/>
              <w:gridCol w:w="518"/>
              <w:gridCol w:w="2027"/>
              <w:gridCol w:w="424"/>
              <w:gridCol w:w="471"/>
              <w:gridCol w:w="471"/>
              <w:gridCol w:w="377"/>
              <w:gridCol w:w="424"/>
              <w:gridCol w:w="424"/>
              <w:gridCol w:w="471"/>
            </w:tblGrid>
            <w:tr>
              <w:trPr>
                <w:tblHeader w:val="on"/>
              </w:trPr>
              <w:tc>
                <w:tcPr/>
                <w:p>
                  <w:pPr>
                    <w:pStyle w:val="Compact"/>
                    <w:jc w:val="left"/>
                    <w:jc w:val="center"/>
                  </w:pPr>
                  <w:r>
                    <w:t xml:space="preserve">model_id</w:t>
                  </w:r>
                </w:p>
              </w:tc>
              <w:tc>
                <w:tcPr/>
                <w:p>
                  <w:pPr>
                    <w:pStyle w:val="Compact"/>
                    <w:jc w:val="left"/>
                    <w:jc w:val="center"/>
                  </w:pPr>
                  <w:r>
                    <w:t xml:space="preserve">RQ</w:t>
                  </w:r>
                </w:p>
              </w:tc>
              <w:tc>
                <w:tcPr/>
                <w:p>
                  <w:pPr>
                    <w:pStyle w:val="Compact"/>
                    <w:jc w:val="left"/>
                    <w:jc w:val="center"/>
                  </w:pPr>
                  <w:r>
                    <w:t xml:space="preserve">species</w:t>
                  </w:r>
                </w:p>
              </w:tc>
              <w:tc>
                <w:tcPr/>
                <w:p>
                  <w:pPr>
                    <w:pStyle w:val="Compact"/>
                    <w:jc w:val="left"/>
                    <w:jc w:val="center"/>
                  </w:pPr>
                  <w:r>
                    <w:t xml:space="preserve">response_type</w:t>
                  </w:r>
                </w:p>
              </w:tc>
              <w:tc>
                <w:tcPr/>
                <w:p>
                  <w:pPr>
                    <w:pStyle w:val="Compact"/>
                    <w:jc w:val="left"/>
                    <w:jc w:val="center"/>
                  </w:pPr>
                  <w:r>
                    <w:t xml:space="preserve">comparison</w:t>
                  </w:r>
                </w:p>
              </w:tc>
              <w:tc>
                <w:tcPr/>
                <w:p>
                  <w:pPr>
                    <w:pStyle w:val="Compact"/>
                    <w:jc w:val="left"/>
                    <w:jc w:val="center"/>
                  </w:pPr>
                  <w:r>
                    <w:t xml:space="preserve">time_frame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p_adj_BH</w:t>
                  </w:r>
                </w:p>
              </w:tc>
              <w:tc>
                <w:tcPr/>
                <w:p>
                  <w:pPr>
                    <w:pStyle w:val="Compact"/>
                    <w:jc w:val="right"/>
                    <w:jc w:val="center"/>
                  </w:pPr>
                  <w:r>
                    <w:t xml:space="preserve">conf.low</w:t>
                  </w:r>
                </w:p>
              </w:tc>
              <w:tc>
                <w:tcPr/>
                <w:p>
                  <w:pPr>
                    <w:pStyle w:val="Compact"/>
                    <w:jc w:val="right"/>
                    <w:jc w:val="center"/>
                  </w:pPr>
                  <w:r>
                    <w:t xml:space="preserve">conf.high</w:t>
                  </w:r>
                </w:p>
              </w:tc>
            </w:tr>
            <w:tr>
              <w:tc>
                <w:tcPr/>
                <w:p>
                  <w:pPr>
                    <w:pStyle w:val="Compact"/>
                    <w:jc w:val="left"/>
                    <w:jc w:val="center"/>
                  </w:pPr>
                  <w:r>
                    <w:t xml:space="preserve">M1aac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-2.303</w:t>
                  </w:r>
                </w:p>
              </w:tc>
              <w:tc>
                <w:tcPr/>
                <w:p>
                  <w:pPr>
                    <w:pStyle w:val="Compact"/>
                    <w:jc w:val="right"/>
                    <w:jc w:val="center"/>
                  </w:pPr>
                  <w:r>
                    <w:t xml:space="preserve">0.908</w:t>
                  </w:r>
                </w:p>
              </w:tc>
              <w:tc>
                <w:tcPr/>
                <w:p>
                  <w:pPr>
                    <w:pStyle w:val="Compact"/>
                    <w:jc w:val="right"/>
                    <w:jc w:val="center"/>
                  </w:pPr>
                  <w:r>
                    <w:t xml:space="preserve">-2.535</w:t>
                  </w:r>
                </w:p>
              </w:tc>
              <w:tc>
                <w:tcPr/>
                <w:p>
                  <w:pPr>
                    <w:pStyle w:val="Compact"/>
                    <w:jc w:val="right"/>
                    <w:jc w:val="center"/>
                  </w:pPr>
                  <w:r>
                    <w:t xml:space="preserve">0.011</w:t>
                  </w:r>
                </w:p>
              </w:tc>
              <w:tc>
                <w:tcPr/>
                <w:p>
                  <w:pPr>
                    <w:pStyle w:val="Compact"/>
                    <w:jc w:val="right"/>
                    <w:jc w:val="center"/>
                  </w:pPr>
                  <w:r>
                    <w:t xml:space="preserve">NA</w:t>
                  </w:r>
                </w:p>
              </w:tc>
              <w:tc>
                <w:tcPr/>
                <w:p>
                  <w:pPr>
                    <w:pStyle w:val="Compact"/>
                    <w:jc w:val="right"/>
                    <w:jc w:val="center"/>
                  </w:pPr>
                  <w:r>
                    <w:t xml:space="preserve">-4.083</w:t>
                  </w:r>
                </w:p>
              </w:tc>
              <w:tc>
                <w:tcPr/>
                <w:p>
                  <w:pPr>
                    <w:pStyle w:val="Compact"/>
                    <w:jc w:val="right"/>
                    <w:jc w:val="center"/>
                  </w:pPr>
                  <w:r>
                    <w:t xml:space="preserve">-0.522</w:t>
                  </w:r>
                </w:p>
              </w:tc>
            </w:tr>
            <w:tr>
              <w:tc>
                <w:tcPr/>
                <w:p>
                  <w:pPr>
                    <w:pStyle w:val="Compact"/>
                    <w:jc w:val="left"/>
                    <w:jc w:val="center"/>
                  </w:pPr>
                  <w:r>
                    <w:t xml:space="preserve">M1aac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-0.693</w:t>
                  </w:r>
                </w:p>
              </w:tc>
              <w:tc>
                <w:tcPr/>
                <w:p>
                  <w:pPr>
                    <w:pStyle w:val="Compact"/>
                    <w:jc w:val="right"/>
                    <w:jc w:val="center"/>
                  </w:pPr>
                  <w:r>
                    <w:t xml:space="preserve">1.535</w:t>
                  </w:r>
                </w:p>
              </w:tc>
              <w:tc>
                <w:tcPr/>
                <w:p>
                  <w:pPr>
                    <w:pStyle w:val="Compact"/>
                    <w:jc w:val="right"/>
                    <w:jc w:val="center"/>
                  </w:pPr>
                  <w:r>
                    <w:t xml:space="preserve">-0.452</w:t>
                  </w:r>
                </w:p>
              </w:tc>
              <w:tc>
                <w:tcPr/>
                <w:p>
                  <w:pPr>
                    <w:pStyle w:val="Compact"/>
                    <w:jc w:val="right"/>
                    <w:jc w:val="center"/>
                  </w:pPr>
                  <w:r>
                    <w:t xml:space="preserve">0.652</w:t>
                  </w:r>
                </w:p>
              </w:tc>
              <w:tc>
                <w:tcPr/>
                <w:p>
                  <w:pPr>
                    <w:pStyle w:val="Compact"/>
                    <w:jc w:val="right"/>
                    <w:jc w:val="center"/>
                  </w:pPr>
                  <w:r>
                    <w:t xml:space="preserve">0.783</w:t>
                  </w:r>
                </w:p>
              </w:tc>
              <w:tc>
                <w:tcPr/>
                <w:p>
                  <w:pPr>
                    <w:pStyle w:val="Compact"/>
                    <w:jc w:val="right"/>
                    <w:jc w:val="center"/>
                  </w:pPr>
                  <w:r>
                    <w:t xml:space="preserve">-3.701</w:t>
                  </w:r>
                </w:p>
              </w:tc>
              <w:tc>
                <w:tcPr/>
                <w:p>
                  <w:pPr>
                    <w:pStyle w:val="Compact"/>
                    <w:jc w:val="right"/>
                    <w:jc w:val="center"/>
                  </w:pPr>
                  <w:r>
                    <w:t xml:space="preserve">2.315</w:t>
                  </w:r>
                </w:p>
              </w:tc>
            </w:tr>
            <w:tr>
              <w:tc>
                <w:tcPr/>
                <w:p>
                  <w:pPr>
                    <w:pStyle w:val="Compact"/>
                    <w:jc w:val="left"/>
                    <w:jc w:val="center"/>
                  </w:pPr>
                  <w:r>
                    <w:t xml:space="preserve">M1abc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3.203</w:t>
                  </w:r>
                </w:p>
              </w:tc>
              <w:tc>
                <w:tcPr/>
                <w:p>
                  <w:pPr>
                    <w:pStyle w:val="Compact"/>
                    <w:jc w:val="right"/>
                    <w:jc w:val="center"/>
                  </w:pPr>
                  <w:r>
                    <w:t xml:space="preserve">1.279</w:t>
                  </w:r>
                </w:p>
              </w:tc>
              <w:tc>
                <w:tcPr/>
                <w:p>
                  <w:pPr>
                    <w:pStyle w:val="Compact"/>
                    <w:jc w:val="right"/>
                    <w:jc w:val="center"/>
                  </w:pPr>
                  <w:r>
                    <w:t xml:space="preserve">2.504</w:t>
                  </w:r>
                </w:p>
              </w:tc>
              <w:tc>
                <w:tcPr/>
                <w:p>
                  <w:pPr>
                    <w:pStyle w:val="Compact"/>
                    <w:jc w:val="right"/>
                    <w:jc w:val="center"/>
                  </w:pPr>
                  <w:r>
                    <w:t xml:space="preserve">0.012</w:t>
                  </w:r>
                </w:p>
              </w:tc>
              <w:tc>
                <w:tcPr/>
                <w:p>
                  <w:pPr>
                    <w:pStyle w:val="Compact"/>
                    <w:jc w:val="right"/>
                    <w:jc w:val="center"/>
                  </w:pPr>
                  <w:r>
                    <w:t xml:space="preserve">NA</w:t>
                  </w:r>
                </w:p>
              </w:tc>
              <w:tc>
                <w:tcPr/>
                <w:p>
                  <w:pPr>
                    <w:pStyle w:val="Compact"/>
                    <w:jc w:val="right"/>
                    <w:jc w:val="center"/>
                  </w:pPr>
                  <w:r>
                    <w:t xml:space="preserve">0.696</w:t>
                  </w:r>
                </w:p>
              </w:tc>
              <w:tc>
                <w:tcPr/>
                <w:p>
                  <w:pPr>
                    <w:pStyle w:val="Compact"/>
                    <w:jc w:val="right"/>
                    <w:jc w:val="center"/>
                  </w:pPr>
                  <w:r>
                    <w:t xml:space="preserve">5.709</w:t>
                  </w:r>
                </w:p>
              </w:tc>
            </w:tr>
            <w:tr>
              <w:tc>
                <w:tcPr/>
                <w:p>
                  <w:pPr>
                    <w:pStyle w:val="Compact"/>
                    <w:jc w:val="left"/>
                    <w:jc w:val="center"/>
                  </w:pPr>
                  <w:r>
                    <w:t xml:space="preserve">M1abc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-5.100</w:t>
                  </w:r>
                </w:p>
              </w:tc>
              <w:tc>
                <w:tcPr/>
                <w:p>
                  <w:pPr>
                    <w:pStyle w:val="Compact"/>
                    <w:jc w:val="right"/>
                    <w:jc w:val="center"/>
                  </w:pPr>
                  <w:r>
                    <w:t xml:space="preserve">3.107</w:t>
                  </w:r>
                </w:p>
              </w:tc>
              <w:tc>
                <w:tcPr/>
                <w:p>
                  <w:pPr>
                    <w:pStyle w:val="Compact"/>
                    <w:jc w:val="right"/>
                    <w:jc w:val="center"/>
                  </w:pPr>
                  <w:r>
                    <w:t xml:space="preserve">-1.641</w:t>
                  </w:r>
                </w:p>
              </w:tc>
              <w:tc>
                <w:tcPr/>
                <w:p>
                  <w:pPr>
                    <w:pStyle w:val="Compact"/>
                    <w:jc w:val="right"/>
                    <w:jc w:val="center"/>
                  </w:pPr>
                  <w:r>
                    <w:t xml:space="preserve">0.101</w:t>
                  </w:r>
                </w:p>
              </w:tc>
              <w:tc>
                <w:tcPr/>
                <w:p>
                  <w:pPr>
                    <w:pStyle w:val="Compact"/>
                    <w:jc w:val="right"/>
                    <w:jc w:val="center"/>
                  </w:pPr>
                  <w:r>
                    <w:t xml:space="preserve">0.403</w:t>
                  </w:r>
                </w:p>
              </w:tc>
              <w:tc>
                <w:tcPr/>
                <w:p>
                  <w:pPr>
                    <w:pStyle w:val="Compact"/>
                    <w:jc w:val="right"/>
                    <w:jc w:val="center"/>
                  </w:pPr>
                  <w:r>
                    <w:t xml:space="preserve">-11.190</w:t>
                  </w:r>
                </w:p>
              </w:tc>
              <w:tc>
                <w:tcPr/>
                <w:p>
                  <w:pPr>
                    <w:pStyle w:val="Compact"/>
                    <w:jc w:val="right"/>
                    <w:jc w:val="center"/>
                  </w:pPr>
                  <w:r>
                    <w:t xml:space="preserve">0.990</w:t>
                  </w:r>
                </w:p>
              </w:tc>
            </w:tr>
            <w:tr>
              <w:tc>
                <w:tcPr/>
                <w:p>
                  <w:pPr>
                    <w:pStyle w:val="Compact"/>
                    <w:jc w:val="left"/>
                    <w:jc w:val="center"/>
                  </w:pPr>
                  <w:r>
                    <w:t xml:space="preserve">M1aak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-1.897</w:t>
                  </w:r>
                </w:p>
              </w:tc>
              <w:tc>
                <w:tcPr/>
                <w:p>
                  <w:pPr>
                    <w:pStyle w:val="Compact"/>
                    <w:jc w:val="right"/>
                    <w:jc w:val="center"/>
                  </w:pPr>
                  <w:r>
                    <w:t xml:space="preserve">0.785</w:t>
                  </w:r>
                </w:p>
              </w:tc>
              <w:tc>
                <w:tcPr/>
                <w:p>
                  <w:pPr>
                    <w:pStyle w:val="Compact"/>
                    <w:jc w:val="right"/>
                    <w:jc w:val="center"/>
                  </w:pPr>
                  <w:r>
                    <w:t xml:space="preserve">-2.415</w:t>
                  </w:r>
                </w:p>
              </w:tc>
              <w:tc>
                <w:tcPr/>
                <w:p>
                  <w:pPr>
                    <w:pStyle w:val="Compact"/>
                    <w:jc w:val="right"/>
                    <w:jc w:val="center"/>
                  </w:pPr>
                  <w:r>
                    <w:t xml:space="preserve">0.016</w:t>
                  </w:r>
                </w:p>
              </w:tc>
              <w:tc>
                <w:tcPr/>
                <w:p>
                  <w:pPr>
                    <w:pStyle w:val="Compact"/>
                    <w:jc w:val="right"/>
                    <w:jc w:val="center"/>
                  </w:pPr>
                  <w:r>
                    <w:t xml:space="preserve">NA</w:t>
                  </w:r>
                </w:p>
              </w:tc>
              <w:tc>
                <w:tcPr/>
                <w:p>
                  <w:pPr>
                    <w:pStyle w:val="Compact"/>
                    <w:jc w:val="right"/>
                    <w:jc w:val="center"/>
                  </w:pPr>
                  <w:r>
                    <w:t xml:space="preserve">-3.437</w:t>
                  </w:r>
                </w:p>
              </w:tc>
              <w:tc>
                <w:tcPr/>
                <w:p>
                  <w:pPr>
                    <w:pStyle w:val="Compact"/>
                    <w:jc w:val="right"/>
                    <w:jc w:val="center"/>
                  </w:pPr>
                  <w:r>
                    <w:t xml:space="preserve">-0.358</w:t>
                  </w:r>
                </w:p>
              </w:tc>
            </w:tr>
            <w:tr>
              <w:tc>
                <w:tcPr/>
                <w:p>
                  <w:pPr>
                    <w:pStyle w:val="Compact"/>
                    <w:jc w:val="left"/>
                    <w:jc w:val="center"/>
                  </w:pPr>
                  <w:r>
                    <w:t xml:space="preserve">M1aak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0.288</w:t>
                  </w:r>
                </w:p>
              </w:tc>
              <w:tc>
                <w:tcPr/>
                <w:p>
                  <w:pPr>
                    <w:pStyle w:val="Compact"/>
                    <w:jc w:val="right"/>
                    <w:jc w:val="center"/>
                  </w:pPr>
                  <w:r>
                    <w:t xml:space="preserve">1.044</w:t>
                  </w:r>
                </w:p>
              </w:tc>
              <w:tc>
                <w:tcPr/>
                <w:p>
                  <w:pPr>
                    <w:pStyle w:val="Compact"/>
                    <w:jc w:val="right"/>
                    <w:jc w:val="center"/>
                  </w:pPr>
                  <w:r>
                    <w:t xml:space="preserve">0.276</w:t>
                  </w:r>
                </w:p>
              </w:tc>
              <w:tc>
                <w:tcPr/>
                <w:p>
                  <w:pPr>
                    <w:pStyle w:val="Compact"/>
                    <w:jc w:val="right"/>
                    <w:jc w:val="center"/>
                  </w:pPr>
                  <w:r>
                    <w:t xml:space="preserve">0.783</w:t>
                  </w:r>
                </w:p>
              </w:tc>
              <w:tc>
                <w:tcPr/>
                <w:p>
                  <w:pPr>
                    <w:pStyle w:val="Compact"/>
                    <w:jc w:val="right"/>
                    <w:jc w:val="center"/>
                  </w:pPr>
                  <w:r>
                    <w:t xml:space="preserve">0.783</w:t>
                  </w:r>
                </w:p>
              </w:tc>
              <w:tc>
                <w:tcPr/>
                <w:p>
                  <w:pPr>
                    <w:pStyle w:val="Compact"/>
                    <w:jc w:val="right"/>
                    <w:jc w:val="center"/>
                  </w:pPr>
                  <w:r>
                    <w:t xml:space="preserve">-1.759</w:t>
                  </w:r>
                </w:p>
              </w:tc>
              <w:tc>
                <w:tcPr/>
                <w:p>
                  <w:pPr>
                    <w:pStyle w:val="Compact"/>
                    <w:jc w:val="right"/>
                    <w:jc w:val="center"/>
                  </w:pPr>
                  <w:r>
                    <w:t xml:space="preserve">2.334</w:t>
                  </w:r>
                </w:p>
              </w:tc>
            </w:tr>
            <w:tr>
              <w:tc>
                <w:tcPr/>
                <w:p>
                  <w:pPr>
                    <w:pStyle w:val="Compact"/>
                    <w:jc w:val="left"/>
                    <w:jc w:val="center"/>
                  </w:pPr>
                  <w:r>
                    <w:t xml:space="preserve">M1abk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1.030</w:t>
                  </w:r>
                </w:p>
              </w:tc>
              <w:tc>
                <w:tcPr/>
                <w:p>
                  <w:pPr>
                    <w:pStyle w:val="Compact"/>
                    <w:jc w:val="right"/>
                    <w:jc w:val="center"/>
                  </w:pPr>
                  <w:r>
                    <w:t xml:space="preserve">0.830</w:t>
                  </w:r>
                </w:p>
              </w:tc>
              <w:tc>
                <w:tcPr/>
                <w:p>
                  <w:pPr>
                    <w:pStyle w:val="Compact"/>
                    <w:jc w:val="right"/>
                    <w:jc w:val="center"/>
                  </w:pPr>
                  <w:r>
                    <w:t xml:space="preserve">1.241</w:t>
                  </w:r>
                </w:p>
              </w:tc>
              <w:tc>
                <w:tcPr/>
                <w:p>
                  <w:pPr>
                    <w:pStyle w:val="Compact"/>
                    <w:jc w:val="right"/>
                    <w:jc w:val="center"/>
                  </w:pPr>
                  <w:r>
                    <w:t xml:space="preserve">0.215</w:t>
                  </w:r>
                </w:p>
              </w:tc>
              <w:tc>
                <w:tcPr/>
                <w:p>
                  <w:pPr>
                    <w:pStyle w:val="Compact"/>
                    <w:jc w:val="right"/>
                    <w:jc w:val="center"/>
                  </w:pPr>
                  <w:r>
                    <w:t xml:space="preserve">NA</w:t>
                  </w:r>
                </w:p>
              </w:tc>
              <w:tc>
                <w:tcPr/>
                <w:p>
                  <w:pPr>
                    <w:pStyle w:val="Compact"/>
                    <w:jc w:val="right"/>
                    <w:jc w:val="center"/>
                  </w:pPr>
                  <w:r>
                    <w:t xml:space="preserve">-0.597</w:t>
                  </w:r>
                </w:p>
              </w:tc>
              <w:tc>
                <w:tcPr/>
                <w:p>
                  <w:pPr>
                    <w:pStyle w:val="Compact"/>
                    <w:jc w:val="right"/>
                    <w:jc w:val="center"/>
                  </w:pPr>
                  <w:r>
                    <w:t xml:space="preserve">2.656</w:t>
                  </w:r>
                </w:p>
              </w:tc>
            </w:tr>
            <w:tr>
              <w:tc>
                <w:tcPr/>
                <w:p>
                  <w:pPr>
                    <w:pStyle w:val="Compact"/>
                    <w:jc w:val="left"/>
                    <w:jc w:val="center"/>
                  </w:pPr>
                  <w:r>
                    <w:t xml:space="preserve">M1abk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1.044</w:t>
                  </w:r>
                </w:p>
              </w:tc>
              <w:tc>
                <w:tcPr/>
                <w:p>
                  <w:pPr>
                    <w:pStyle w:val="Compact"/>
                    <w:jc w:val="right"/>
                    <w:jc w:val="center"/>
                  </w:pPr>
                  <w:r>
                    <w:t xml:space="preserve">0.977</w:t>
                  </w:r>
                </w:p>
              </w:tc>
              <w:tc>
                <w:tcPr/>
                <w:p>
                  <w:pPr>
                    <w:pStyle w:val="Compact"/>
                    <w:jc w:val="right"/>
                    <w:jc w:val="center"/>
                  </w:pPr>
                  <w:r>
                    <w:t xml:space="preserve">1.068</w:t>
                  </w:r>
                </w:p>
              </w:tc>
              <w:tc>
                <w:tcPr/>
                <w:p>
                  <w:pPr>
                    <w:pStyle w:val="Compact"/>
                    <w:jc w:val="right"/>
                    <w:jc w:val="center"/>
                  </w:pPr>
                  <w:r>
                    <w:t xml:space="preserve">0.286</w:t>
                  </w:r>
                </w:p>
              </w:tc>
              <w:tc>
                <w:tcPr/>
                <w:p>
                  <w:pPr>
                    <w:pStyle w:val="Compact"/>
                    <w:jc w:val="right"/>
                    <w:jc w:val="center"/>
                  </w:pPr>
                  <w:r>
                    <w:t xml:space="preserve">0.571</w:t>
                  </w:r>
                </w:p>
              </w:tc>
              <w:tc>
                <w:tcPr/>
                <w:p>
                  <w:pPr>
                    <w:pStyle w:val="Compact"/>
                    <w:jc w:val="right"/>
                    <w:jc w:val="center"/>
                  </w:pPr>
                  <w:r>
                    <w:t xml:space="preserve">-0.872</w:t>
                  </w:r>
                </w:p>
              </w:tc>
              <w:tc>
                <w:tcPr/>
                <w:p>
                  <w:pPr>
                    <w:pStyle w:val="Compact"/>
                    <w:jc w:val="right"/>
                    <w:jc w:val="center"/>
                  </w:pPr>
                  <w:r>
                    <w:t xml:space="preserve">2.959</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-102.299</w:t>
                  </w:r>
                </w:p>
              </w:tc>
              <w:tc>
                <w:tcPr/>
                <w:p>
                  <w:pPr>
                    <w:pStyle w:val="Compact"/>
                    <w:jc w:val="right"/>
                    <w:jc w:val="center"/>
                  </w:pPr>
                  <w:r>
                    <w:t xml:space="preserve">32.656</w:t>
                  </w:r>
                </w:p>
              </w:tc>
              <w:tc>
                <w:tcPr/>
                <w:p>
                  <w:pPr>
                    <w:pStyle w:val="Compact"/>
                    <w:jc w:val="right"/>
                    <w:jc w:val="center"/>
                  </w:pPr>
                  <w:r>
                    <w:t xml:space="preserve">-3.133</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-166.303</w:t>
                  </w:r>
                </w:p>
              </w:tc>
              <w:tc>
                <w:tcPr/>
                <w:p>
                  <w:pPr>
                    <w:pStyle w:val="Compact"/>
                    <w:jc w:val="right"/>
                    <w:jc w:val="center"/>
                  </w:pPr>
                  <w:r>
                    <w:t xml:space="preserve">-38.295</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-1.655</w:t>
                  </w:r>
                </w:p>
              </w:tc>
              <w:tc>
                <w:tcPr/>
                <w:p>
                  <w:pPr>
                    <w:pStyle w:val="Compact"/>
                    <w:jc w:val="right"/>
                    <w:jc w:val="center"/>
                  </w:pPr>
                  <w:r>
                    <w:t xml:space="preserve">0.536</w:t>
                  </w:r>
                </w:p>
              </w:tc>
              <w:tc>
                <w:tcPr/>
                <w:p>
                  <w:pPr>
                    <w:pStyle w:val="Compact"/>
                    <w:jc w:val="right"/>
                    <w:jc w:val="center"/>
                  </w:pPr>
                  <w:r>
                    <w:t xml:space="preserve">-3.087</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-2.706</w:t>
                  </w:r>
                </w:p>
              </w:tc>
              <w:tc>
                <w:tcPr/>
                <w:p>
                  <w:pPr>
                    <w:pStyle w:val="Compact"/>
                    <w:jc w:val="right"/>
                    <w:jc w:val="center"/>
                  </w:pPr>
                  <w:r>
                    <w:t xml:space="preserve">-0.604</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Temperature</w:t>
                  </w:r>
                </w:p>
              </w:tc>
              <w:tc>
                <w:tcPr/>
                <w:p>
                  <w:pPr>
                    <w:pStyle w:val="Compact"/>
                    <w:jc w:val="right"/>
                    <w:jc w:val="center"/>
                  </w:pPr>
                  <w:r>
                    <w:t xml:space="preserve">4.079</w:t>
                  </w:r>
                </w:p>
              </w:tc>
              <w:tc>
                <w:tcPr/>
                <w:p>
                  <w:pPr>
                    <w:pStyle w:val="Compact"/>
                    <w:jc w:val="right"/>
                    <w:jc w:val="center"/>
                  </w:pPr>
                  <w:r>
                    <w:t xml:space="preserve">1.293</w:t>
                  </w:r>
                </w:p>
              </w:tc>
              <w:tc>
                <w:tcPr/>
                <w:p>
                  <w:pPr>
                    <w:pStyle w:val="Compact"/>
                    <w:jc w:val="right"/>
                    <w:jc w:val="center"/>
                  </w:pPr>
                  <w:r>
                    <w:t xml:space="preserve">3.154</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1.544</w:t>
                  </w:r>
                </w:p>
              </w:tc>
              <w:tc>
                <w:tcPr/>
                <w:p>
                  <w:pPr>
                    <w:pStyle w:val="Compact"/>
                    <w:jc w:val="right"/>
                    <w:jc w:val="center"/>
                  </w:pPr>
                  <w:r>
                    <w:t xml:space="preserve">6.613</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-153.136</w:t>
                  </w:r>
                </w:p>
              </w:tc>
              <w:tc>
                <w:tcPr/>
                <w:p>
                  <w:pPr>
                    <w:pStyle w:val="Compact"/>
                    <w:jc w:val="right"/>
                    <w:jc w:val="center"/>
                  </w:pPr>
                  <w:r>
                    <w:t xml:space="preserve">37.363</w:t>
                  </w:r>
                </w:p>
              </w:tc>
              <w:tc>
                <w:tcPr/>
                <w:p>
                  <w:pPr>
                    <w:pStyle w:val="Compact"/>
                    <w:jc w:val="right"/>
                    <w:jc w:val="center"/>
                  </w:pPr>
                  <w:r>
                    <w:t xml:space="preserve">-4.099</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-226.366</w:t>
                  </w:r>
                </w:p>
              </w:tc>
              <w:tc>
                <w:tcPr/>
                <w:p>
                  <w:pPr>
                    <w:pStyle w:val="Compact"/>
                    <w:jc w:val="right"/>
                    <w:jc w:val="center"/>
                  </w:pPr>
                  <w:r>
                    <w:t xml:space="preserve">-79.906</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-2.569</w:t>
                  </w:r>
                </w:p>
              </w:tc>
              <w:tc>
                <w:tcPr/>
                <w:p>
                  <w:pPr>
                    <w:pStyle w:val="Compact"/>
                    <w:jc w:val="right"/>
                    <w:jc w:val="center"/>
                  </w:pPr>
                  <w:r>
                    <w:t xml:space="preserve">0.743</w:t>
                  </w:r>
                </w:p>
              </w:tc>
              <w:tc>
                <w:tcPr/>
                <w:p>
                  <w:pPr>
                    <w:pStyle w:val="Compact"/>
                    <w:jc w:val="right"/>
                    <w:jc w:val="center"/>
                  </w:pPr>
                  <w:r>
                    <w:t xml:space="preserve">-3.457</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-4.026</w:t>
                  </w:r>
                </w:p>
              </w:tc>
              <w:tc>
                <w:tcPr/>
                <w:p>
                  <w:pPr>
                    <w:pStyle w:val="Compact"/>
                    <w:jc w:val="right"/>
                    <w:jc w:val="center"/>
                  </w:pPr>
                  <w:r>
                    <w:t xml:space="preserve">-1.112</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Temperature</w:t>
                  </w:r>
                </w:p>
              </w:tc>
              <w:tc>
                <w:tcPr/>
                <w:p>
                  <w:pPr>
                    <w:pStyle w:val="Compact"/>
                    <w:jc w:val="right"/>
                    <w:jc w:val="center"/>
                  </w:pPr>
                  <w:r>
                    <w:t xml:space="preserve">6.315</w:t>
                  </w:r>
                </w:p>
              </w:tc>
              <w:tc>
                <w:tcPr/>
                <w:p>
                  <w:pPr>
                    <w:pStyle w:val="Compact"/>
                    <w:jc w:val="right"/>
                    <w:jc w:val="center"/>
                  </w:pPr>
                  <w:r>
                    <w:t xml:space="preserve">1.482</w:t>
                  </w:r>
                </w:p>
              </w:tc>
              <w:tc>
                <w:tcPr/>
                <w:p>
                  <w:pPr>
                    <w:pStyle w:val="Compact"/>
                    <w:jc w:val="right"/>
                    <w:jc w:val="center"/>
                  </w:pPr>
                  <w:r>
                    <w:t xml:space="preserve">4.261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3.410</w:t>
                  </w:r>
                </w:p>
              </w:tc>
              <w:tc>
                <w:tcPr/>
                <w:p>
                  <w:pPr>
                    <w:pStyle w:val="Compact"/>
                    <w:jc w:val="right"/>
                    <w:jc w:val="center"/>
                  </w:pPr>
                  <w:r>
                    <w:t xml:space="preserve">9.220</w:t>
                  </w:r>
                </w:p>
              </w:tc>
            </w:tr>
            <w:tr>
              <w:tc>
                <w:tcPr/>
                <w:p>
                  <w:pPr>
                    <w:pStyle w:val="Compact"/>
                    <w:jc w:val="left"/>
                    <w:jc w:val="center"/>
                  </w:pPr>
                  <w:r>
                    <w:t xml:space="preserve">M1bak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0.742</w:t>
                  </w:r>
                </w:p>
              </w:tc>
              <w:tc>
                <w:tcPr/>
                <w:p>
                  <w:pPr>
                    <w:pStyle w:val="Compact"/>
                    <w:jc w:val="right"/>
                    <w:jc w:val="center"/>
                  </w:pPr>
                  <w:r>
                    <w:t xml:space="preserve">0.553</w:t>
                  </w:r>
                </w:p>
              </w:tc>
              <w:tc>
                <w:tcPr/>
                <w:p>
                  <w:pPr>
                    <w:pStyle w:val="Compact"/>
                    <w:jc w:val="right"/>
                    <w:jc w:val="center"/>
                  </w:pPr>
                  <w:r>
                    <w:t xml:space="preserve">1.343</w:t>
                  </w:r>
                </w:p>
              </w:tc>
              <w:tc>
                <w:tcPr/>
                <w:p>
                  <w:pPr>
                    <w:pStyle w:val="Compact"/>
                    <w:jc w:val="right"/>
                    <w:jc w:val="center"/>
                  </w:pPr>
                  <w:r>
                    <w:t xml:space="preserve">0.179</w:t>
                  </w:r>
                </w:p>
              </w:tc>
              <w:tc>
                <w:tcPr/>
                <w:p>
                  <w:pPr>
                    <w:pStyle w:val="Compact"/>
                    <w:jc w:val="right"/>
                    <w:jc w:val="center"/>
                  </w:pPr>
                  <w:r>
                    <w:t xml:space="preserve">NA</w:t>
                  </w:r>
                </w:p>
              </w:tc>
              <w:tc>
                <w:tcPr/>
                <w:p>
                  <w:pPr>
                    <w:pStyle w:val="Compact"/>
                    <w:jc w:val="right"/>
                    <w:jc w:val="center"/>
                  </w:pPr>
                  <w:r>
                    <w:t xml:space="preserve">-0.341</w:t>
                  </w:r>
                </w:p>
              </w:tc>
              <w:tc>
                <w:tcPr/>
                <w:p>
                  <w:pPr>
                    <w:pStyle w:val="Compact"/>
                    <w:jc w:val="right"/>
                    <w:jc w:val="center"/>
                  </w:pPr>
                  <w:r>
                    <w:t xml:space="preserve">1.825</w:t>
                  </w:r>
                </w:p>
              </w:tc>
            </w:tr>
            <w:tr>
              <w:tc>
                <w:tcPr/>
                <w:p>
                  <w:pPr>
                    <w:pStyle w:val="Compact"/>
                    <w:jc w:val="left"/>
                    <w:jc w:val="center"/>
                  </w:pPr>
                  <w:r>
                    <w:t xml:space="preserve">M1bak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0.031</w:t>
                  </w:r>
                </w:p>
              </w:tc>
              <w:tc>
                <w:tcPr/>
                <w:p>
                  <w:pPr>
                    <w:pStyle w:val="Compact"/>
                    <w:jc w:val="right"/>
                    <w:jc w:val="center"/>
                  </w:pPr>
                  <w:r>
                    <w:t xml:space="preserve">0.778</w:t>
                  </w:r>
                </w:p>
              </w:tc>
              <w:tc>
                <w:tcPr/>
                <w:p>
                  <w:pPr>
                    <w:pStyle w:val="Compact"/>
                    <w:jc w:val="right"/>
                    <w:jc w:val="center"/>
                  </w:pPr>
                  <w:r>
                    <w:t xml:space="preserve">0.040</w:t>
                  </w:r>
                </w:p>
              </w:tc>
              <w:tc>
                <w:tcPr/>
                <w:p>
                  <w:pPr>
                    <w:pStyle w:val="Compact"/>
                    <w:jc w:val="right"/>
                    <w:jc w:val="center"/>
                  </w:pPr>
                  <w:r>
                    <w:t xml:space="preserve">0.968</w:t>
                  </w:r>
                </w:p>
              </w:tc>
              <w:tc>
                <w:tcPr/>
                <w:p>
                  <w:pPr>
                    <w:pStyle w:val="Compact"/>
                    <w:jc w:val="right"/>
                    <w:jc w:val="center"/>
                  </w:pPr>
                  <w:r>
                    <w:t xml:space="preserve">0.968</w:t>
                  </w:r>
                </w:p>
              </w:tc>
              <w:tc>
                <w:tcPr/>
                <w:p>
                  <w:pPr>
                    <w:pStyle w:val="Compact"/>
                    <w:jc w:val="right"/>
                    <w:jc w:val="center"/>
                  </w:pPr>
                  <w:r>
                    <w:t xml:space="preserve">-1.494</w:t>
                  </w:r>
                </w:p>
              </w:tc>
              <w:tc>
                <w:tcPr/>
                <w:p>
                  <w:pPr>
                    <w:pStyle w:val="Compact"/>
                    <w:jc w:val="right"/>
                    <w:jc w:val="center"/>
                  </w:pPr>
                  <w:r>
                    <w:t xml:space="preserve">1.557</w:t>
                  </w:r>
                </w:p>
              </w:tc>
            </w:tr>
            <w:tr>
              <w:tc>
                <w:tcPr/>
                <w:p>
                  <w:pPr>
                    <w:pStyle w:val="Compact"/>
                    <w:jc w:val="left"/>
                    <w:jc w:val="center"/>
                  </w:pPr>
                  <w:r>
                    <w:t xml:space="preserve">M1bbk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3.623</w:t>
                  </w:r>
                </w:p>
              </w:tc>
              <w:tc>
                <w:tcPr/>
                <w:p>
                  <w:pPr>
                    <w:pStyle w:val="Compact"/>
                    <w:jc w:val="right"/>
                    <w:jc w:val="center"/>
                  </w:pPr>
                  <w:r>
                    <w:t xml:space="preserve">0.478</w:t>
                  </w:r>
                </w:p>
              </w:tc>
              <w:tc>
                <w:tcPr/>
                <w:p>
                  <w:pPr>
                    <w:pStyle w:val="Compact"/>
                    <w:jc w:val="right"/>
                    <w:jc w:val="center"/>
                  </w:pPr>
                  <w:r>
                    <w:t xml:space="preserve">7.580</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2.686</w:t>
                  </w:r>
                </w:p>
              </w:tc>
              <w:tc>
                <w:tcPr/>
                <w:p>
                  <w:pPr>
                    <w:pStyle w:val="Compact"/>
                    <w:jc w:val="right"/>
                    <w:jc w:val="center"/>
                  </w:pPr>
                  <w:r>
                    <w:t xml:space="preserve">4.560</w:t>
                  </w:r>
                </w:p>
              </w:tc>
            </w:tr>
            <w:tr>
              <w:tc>
                <w:tcPr/>
                <w:p>
                  <w:pPr>
                    <w:pStyle w:val="Compact"/>
                    <w:jc w:val="left"/>
                    <w:jc w:val="center"/>
                  </w:pPr>
                  <w:r>
                    <w:t xml:space="preserve">M1bbk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-0.041</w:t>
                  </w:r>
                </w:p>
              </w:tc>
              <w:tc>
                <w:tcPr/>
                <w:p>
                  <w:pPr>
                    <w:pStyle w:val="Compact"/>
                    <w:jc w:val="right"/>
                    <w:jc w:val="center"/>
                  </w:pPr>
                  <w:r>
                    <w:t xml:space="preserve">0.681</w:t>
                  </w:r>
                </w:p>
              </w:tc>
              <w:tc>
                <w:tcPr/>
                <w:p>
                  <w:pPr>
                    <w:pStyle w:val="Compact"/>
                    <w:jc w:val="right"/>
                    <w:jc w:val="center"/>
                  </w:pPr>
                  <w:r>
                    <w:t xml:space="preserve">-0.061</w:t>
                  </w:r>
                </w:p>
              </w:tc>
              <w:tc>
                <w:tcPr/>
                <w:p>
                  <w:pPr>
                    <w:pStyle w:val="Compact"/>
                    <w:jc w:val="right"/>
                    <w:jc w:val="center"/>
                  </w:pPr>
                  <w:r>
                    <w:t xml:space="preserve">0.952</w:t>
                  </w:r>
                </w:p>
              </w:tc>
              <w:tc>
                <w:tcPr/>
                <w:p>
                  <w:pPr>
                    <w:pStyle w:val="Compact"/>
                    <w:jc w:val="right"/>
                    <w:jc w:val="center"/>
                  </w:pPr>
                  <w:r>
                    <w:t xml:space="preserve">0.968</w:t>
                  </w:r>
                </w:p>
              </w:tc>
              <w:tc>
                <w:tcPr/>
                <w:p>
                  <w:pPr>
                    <w:pStyle w:val="Compact"/>
                    <w:jc w:val="right"/>
                    <w:jc w:val="center"/>
                  </w:pPr>
                  <w:r>
                    <w:t xml:space="preserve">-1.375</w:t>
                  </w:r>
                </w:p>
              </w:tc>
              <w:tc>
                <w:tcPr/>
                <w:p>
                  <w:pPr>
                    <w:pStyle w:val="Compact"/>
                    <w:jc w:val="right"/>
                    <w:jc w:val="center"/>
                  </w:pPr>
                  <w:r>
                    <w:t xml:space="preserve">1.293</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-3.976</w:t>
                  </w:r>
                </w:p>
              </w:tc>
              <w:tc>
                <w:tcPr/>
                <w:p>
                  <w:pPr>
                    <w:pStyle w:val="Compact"/>
                    <w:jc w:val="right"/>
                    <w:jc w:val="center"/>
                  </w:pPr>
                  <w:r>
                    <w:t xml:space="preserve">1.631</w:t>
                  </w:r>
                </w:p>
              </w:tc>
              <w:tc>
                <w:tcPr/>
                <w:p>
                  <w:pPr>
                    <w:pStyle w:val="Compact"/>
                    <w:jc w:val="right"/>
                    <w:jc w:val="center"/>
                  </w:pPr>
                  <w:r>
                    <w:t xml:space="preserve">-2.438</w:t>
                  </w:r>
                </w:p>
              </w:tc>
              <w:tc>
                <w:tcPr/>
                <w:p>
                  <w:pPr>
                    <w:pStyle w:val="Compact"/>
                    <w:jc w:val="right"/>
                    <w:jc w:val="center"/>
                  </w:pPr>
                  <w:r>
                    <w:t xml:space="preserve">0.015</w:t>
                  </w:r>
                </w:p>
              </w:tc>
              <w:tc>
                <w:tcPr/>
                <w:p>
                  <w:pPr>
                    <w:pStyle w:val="Compact"/>
                    <w:jc w:val="right"/>
                    <w:jc w:val="center"/>
                  </w:pPr>
                  <w:r>
                    <w:t xml:space="preserve">NA</w:t>
                  </w:r>
                </w:p>
              </w:tc>
              <w:tc>
                <w:tcPr/>
                <w:p>
                  <w:pPr>
                    <w:pStyle w:val="Compact"/>
                    <w:jc w:val="right"/>
                    <w:jc w:val="center"/>
                  </w:pPr>
                  <w:r>
                    <w:t xml:space="preserve">-7.173</w:t>
                  </w:r>
                </w:p>
              </w:tc>
              <w:tc>
                <w:tcPr/>
                <w:p>
                  <w:pPr>
                    <w:pStyle w:val="Compact"/>
                    <w:jc w:val="right"/>
                    <w:jc w:val="center"/>
                  </w:pPr>
                  <w:r>
                    <w:t xml:space="preserve">-0.780</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0.673</w:t>
                  </w:r>
                </w:p>
              </w:tc>
              <w:tc>
                <w:tcPr/>
                <w:p>
                  <w:pPr>
                    <w:pStyle w:val="Compact"/>
                    <w:jc w:val="right"/>
                    <w:jc w:val="center"/>
                  </w:pPr>
                  <w:r>
                    <w:t xml:space="preserve">1.521</w:t>
                  </w:r>
                </w:p>
              </w:tc>
              <w:tc>
                <w:tcPr/>
                <w:p>
                  <w:pPr>
                    <w:pStyle w:val="Compact"/>
                    <w:jc w:val="right"/>
                    <w:jc w:val="center"/>
                  </w:pPr>
                  <w:r>
                    <w:t xml:space="preserve">0.442</w:t>
                  </w:r>
                </w:p>
              </w:tc>
              <w:tc>
                <w:tcPr/>
                <w:p>
                  <w:pPr>
                    <w:pStyle w:val="Compact"/>
                    <w:jc w:val="right"/>
                    <w:jc w:val="center"/>
                  </w:pPr>
                  <w:r>
                    <w:t xml:space="preserve">0.658</w:t>
                  </w:r>
                </w:p>
              </w:tc>
              <w:tc>
                <w:tcPr/>
                <w:p>
                  <w:pPr>
                    <w:pStyle w:val="Compact"/>
                    <w:jc w:val="right"/>
                    <w:jc w:val="center"/>
                  </w:pPr>
                  <w:r>
                    <w:t xml:space="preserve">NA</w:t>
                  </w:r>
                </w:p>
              </w:tc>
              <w:tc>
                <w:tcPr/>
                <w:p>
                  <w:pPr>
                    <w:pStyle w:val="Compact"/>
                    <w:jc w:val="right"/>
                    <w:jc w:val="center"/>
                  </w:pPr>
                  <w:r>
                    <w:t xml:space="preserve">-2.308</w:t>
                  </w:r>
                </w:p>
              </w:tc>
              <w:tc>
                <w:tcPr/>
                <w:p>
                  <w:pPr>
                    <w:pStyle w:val="Compact"/>
                    <w:jc w:val="right"/>
                    <w:jc w:val="center"/>
                  </w:pPr>
                  <w:r>
                    <w:t xml:space="preserve">3.654</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-0.639</w:t>
                  </w:r>
                </w:p>
              </w:tc>
              <w:tc>
                <w:tcPr/>
                <w:p>
                  <w:pPr>
                    <w:pStyle w:val="Compact"/>
                    <w:jc w:val="right"/>
                    <w:jc w:val="center"/>
                  </w:pPr>
                  <w:r>
                    <w:t xml:space="preserve">1.762</w:t>
                  </w:r>
                </w:p>
              </w:tc>
              <w:tc>
                <w:tcPr/>
                <w:p>
                  <w:pPr>
                    <w:pStyle w:val="Compact"/>
                    <w:jc w:val="right"/>
                    <w:jc w:val="center"/>
                  </w:pPr>
                  <w:r>
                    <w:t xml:space="preserve">-0.362</w:t>
                  </w:r>
                </w:p>
              </w:tc>
              <w:tc>
                <w:tcPr/>
                <w:p>
                  <w:pPr>
                    <w:pStyle w:val="Compact"/>
                    <w:jc w:val="right"/>
                    <w:jc w:val="center"/>
                  </w:pPr>
                  <w:r>
                    <w:t xml:space="preserve">0.717</w:t>
                  </w:r>
                </w:p>
              </w:tc>
              <w:tc>
                <w:tcPr/>
                <w:p>
                  <w:pPr>
                    <w:pStyle w:val="Compact"/>
                    <w:jc w:val="right"/>
                    <w:jc w:val="center"/>
                  </w:pPr>
                  <w:r>
                    <w:t xml:space="preserve">NA</w:t>
                  </w:r>
                </w:p>
              </w:tc>
              <w:tc>
                <w:tcPr/>
                <w:p>
                  <w:pPr>
                    <w:pStyle w:val="Compact"/>
                    <w:jc w:val="right"/>
                    <w:jc w:val="center"/>
                  </w:pPr>
                  <w:r>
                    <w:t xml:space="preserve">-4.093</w:t>
                  </w:r>
                </w:p>
              </w:tc>
              <w:tc>
                <w:tcPr/>
                <w:p>
                  <w:pPr>
                    <w:pStyle w:val="Compact"/>
                    <w:jc w:val="right"/>
                    <w:jc w:val="center"/>
                  </w:pPr>
                  <w:r>
                    <w:t xml:space="preserve">2.816</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-0.294</w:t>
                  </w:r>
                </w:p>
              </w:tc>
              <w:tc>
                <w:tcPr/>
                <w:p>
                  <w:pPr>
                    <w:pStyle w:val="Compact"/>
                    <w:jc w:val="right"/>
                    <w:jc w:val="center"/>
                  </w:pPr>
                  <w:r>
                    <w:t xml:space="preserve">0.344</w:t>
                  </w:r>
                </w:p>
              </w:tc>
              <w:tc>
                <w:tcPr/>
                <w:p>
                  <w:pPr>
                    <w:pStyle w:val="Compact"/>
                    <w:jc w:val="right"/>
                    <w:jc w:val="center"/>
                  </w:pPr>
                  <w:r>
                    <w:t xml:space="preserve">-0.853</w:t>
                  </w:r>
                </w:p>
              </w:tc>
              <w:tc>
                <w:tcPr/>
                <w:p>
                  <w:pPr>
                    <w:pStyle w:val="Compact"/>
                    <w:jc w:val="right"/>
                    <w:jc w:val="center"/>
                  </w:pPr>
                  <w:r>
                    <w:t xml:space="preserve">0.394</w:t>
                  </w:r>
                </w:p>
              </w:tc>
              <w:tc>
                <w:tcPr/>
                <w:p>
                  <w:pPr>
                    <w:pStyle w:val="Compact"/>
                    <w:jc w:val="right"/>
                    <w:jc w:val="center"/>
                  </w:pPr>
                  <w:r>
                    <w:t xml:space="preserve">NA</w:t>
                  </w:r>
                </w:p>
              </w:tc>
              <w:tc>
                <w:tcPr/>
                <w:p>
                  <w:pPr>
                    <w:pStyle w:val="Compact"/>
                    <w:jc w:val="right"/>
                    <w:jc w:val="center"/>
                  </w:pPr>
                  <w:r>
                    <w:t xml:space="preserve">-0.968</w:t>
                  </w:r>
                </w:p>
              </w:tc>
              <w:tc>
                <w:tcPr/>
                <w:p>
                  <w:pPr>
                    <w:pStyle w:val="Compact"/>
                    <w:jc w:val="right"/>
                    <w:jc w:val="center"/>
                  </w:pPr>
                  <w:r>
                    <w:t xml:space="preserve">0.381</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fetch_z</w:t>
                  </w:r>
                </w:p>
              </w:tc>
              <w:tc>
                <w:tcPr/>
                <w:p>
                  <w:pPr>
                    <w:pStyle w:val="Compact"/>
                    <w:jc w:val="right"/>
                    <w:jc w:val="center"/>
                  </w:pPr>
                  <w:r>
                    <w:t xml:space="preserve">-1.194</w:t>
                  </w:r>
                </w:p>
              </w:tc>
              <w:tc>
                <w:tcPr/>
                <w:p>
                  <w:pPr>
                    <w:pStyle w:val="Compact"/>
                    <w:jc w:val="right"/>
                    <w:jc w:val="center"/>
                  </w:pPr>
                  <w:r>
                    <w:t xml:space="preserve">1.077</w:t>
                  </w:r>
                </w:p>
              </w:tc>
              <w:tc>
                <w:tcPr/>
                <w:p>
                  <w:pPr>
                    <w:pStyle w:val="Compact"/>
                    <w:jc w:val="right"/>
                    <w:jc w:val="center"/>
                  </w:pPr>
                  <w:r>
                    <w:t xml:space="preserve">-1.109</w:t>
                  </w:r>
                </w:p>
              </w:tc>
              <w:tc>
                <w:tcPr/>
                <w:p>
                  <w:pPr>
                    <w:pStyle w:val="Compact"/>
                    <w:jc w:val="right"/>
                    <w:jc w:val="center"/>
                  </w:pPr>
                  <w:r>
                    <w:t xml:space="preserve">0.267</w:t>
                  </w:r>
                </w:p>
              </w:tc>
              <w:tc>
                <w:tcPr/>
                <w:p>
                  <w:pPr>
                    <w:pStyle w:val="Compact"/>
                    <w:jc w:val="right"/>
                    <w:jc w:val="center"/>
                  </w:pPr>
                  <w:r>
                    <w:t xml:space="preserve">NA</w:t>
                  </w:r>
                </w:p>
              </w:tc>
              <w:tc>
                <w:tcPr/>
                <w:p>
                  <w:pPr>
                    <w:pStyle w:val="Compact"/>
                    <w:jc w:val="right"/>
                    <w:jc w:val="center"/>
                  </w:pPr>
                  <w:r>
                    <w:t xml:space="preserve">-3.305</w:t>
                  </w:r>
                </w:p>
              </w:tc>
              <w:tc>
                <w:tcPr/>
                <w:p>
                  <w:pPr>
                    <w:pStyle w:val="Compact"/>
                    <w:jc w:val="right"/>
                    <w:jc w:val="center"/>
                  </w:pPr>
                  <w:r>
                    <w:t xml:space="preserve">0.916</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2.002</w:t>
                  </w:r>
                </w:p>
              </w:tc>
              <w:tc>
                <w:tcPr/>
                <w:p>
                  <w:pPr>
                    <w:pStyle w:val="Compact"/>
                    <w:jc w:val="right"/>
                    <w:jc w:val="center"/>
                  </w:pPr>
                  <w:r>
                    <w:t xml:space="preserve">1.973</w:t>
                  </w:r>
                </w:p>
              </w:tc>
              <w:tc>
                <w:tcPr/>
                <w:p>
                  <w:pPr>
                    <w:pStyle w:val="Compact"/>
                    <w:jc w:val="right"/>
                    <w:jc w:val="center"/>
                  </w:pPr>
                  <w:r>
                    <w:t xml:space="preserve">1.015</w:t>
                  </w:r>
                </w:p>
              </w:tc>
              <w:tc>
                <w:tcPr/>
                <w:p>
                  <w:pPr>
                    <w:pStyle w:val="Compact"/>
                    <w:jc w:val="right"/>
                    <w:jc w:val="center"/>
                  </w:pPr>
                  <w:r>
                    <w:t xml:space="preserve">0.310</w:t>
                  </w:r>
                </w:p>
              </w:tc>
              <w:tc>
                <w:tcPr/>
                <w:p>
                  <w:pPr>
                    <w:pStyle w:val="Compact"/>
                    <w:jc w:val="right"/>
                    <w:jc w:val="center"/>
                  </w:pPr>
                  <w:r>
                    <w:t xml:space="preserve">0.858</w:t>
                  </w:r>
                </w:p>
              </w:tc>
              <w:tc>
                <w:tcPr/>
                <w:p>
                  <w:pPr>
                    <w:pStyle w:val="Compact"/>
                    <w:jc w:val="right"/>
                    <w:jc w:val="center"/>
                  </w:pPr>
                  <w:r>
                    <w:t xml:space="preserve">-1.864</w:t>
                  </w:r>
                </w:p>
              </w:tc>
              <w:tc>
                <w:tcPr/>
                <w:p>
                  <w:pPr>
                    <w:pStyle w:val="Compact"/>
                    <w:jc w:val="right"/>
                    <w:jc w:val="center"/>
                  </w:pPr>
                  <w:r>
                    <w:t xml:space="preserve">5.869</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0.202</w:t>
                  </w:r>
                </w:p>
              </w:tc>
              <w:tc>
                <w:tcPr/>
                <w:p>
                  <w:pPr>
                    <w:pStyle w:val="Compact"/>
                    <w:jc w:val="right"/>
                    <w:jc w:val="center"/>
                  </w:pPr>
                  <w:r>
                    <w:t xml:space="preserve">4.319</w:t>
                  </w:r>
                </w:p>
              </w:tc>
              <w:tc>
                <w:tcPr/>
                <w:p>
                  <w:pPr>
                    <w:pStyle w:val="Compact"/>
                    <w:jc w:val="right"/>
                    <w:jc w:val="center"/>
                  </w:pPr>
                  <w:r>
                    <w:t xml:space="preserve">0.047</w:t>
                  </w:r>
                </w:p>
              </w:tc>
              <w:tc>
                <w:tcPr/>
                <w:p>
                  <w:pPr>
                    <w:pStyle w:val="Compact"/>
                    <w:jc w:val="right"/>
                    <w:jc w:val="center"/>
                  </w:pPr>
                  <w:r>
                    <w:t xml:space="preserve">0.963</w:t>
                  </w:r>
                </w:p>
              </w:tc>
              <w:tc>
                <w:tcPr/>
                <w:p>
                  <w:pPr>
                    <w:pStyle w:val="Compact"/>
                    <w:jc w:val="right"/>
                    <w:jc w:val="center"/>
                  </w:pPr>
                  <w:r>
                    <w:t xml:space="preserve">NA</w:t>
                  </w:r>
                </w:p>
              </w:tc>
              <w:tc>
                <w:tcPr/>
                <w:p>
                  <w:pPr>
                    <w:pStyle w:val="Compact"/>
                    <w:jc w:val="right"/>
                    <w:jc w:val="center"/>
                  </w:pPr>
                  <w:r>
                    <w:t xml:space="preserve">-8.262</w:t>
                  </w:r>
                </w:p>
              </w:tc>
              <w:tc>
                <w:tcPr/>
                <w:p>
                  <w:pPr>
                    <w:pStyle w:val="Compact"/>
                    <w:jc w:val="right"/>
                    <w:jc w:val="center"/>
                  </w:pPr>
                  <w:r>
                    <w:t xml:space="preserve">8.667</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-0.340</w:t>
                  </w:r>
                </w:p>
              </w:tc>
              <w:tc>
                <w:tcPr/>
                <w:p>
                  <w:pPr>
                    <w:pStyle w:val="Compact"/>
                    <w:jc w:val="right"/>
                    <w:jc w:val="center"/>
                  </w:pPr>
                  <w:r>
                    <w:t xml:space="preserve">2.404</w:t>
                  </w:r>
                </w:p>
              </w:tc>
              <w:tc>
                <w:tcPr/>
                <w:p>
                  <w:pPr>
                    <w:pStyle w:val="Compact"/>
                    <w:jc w:val="right"/>
                    <w:jc w:val="center"/>
                  </w:pPr>
                  <w:r>
                    <w:t xml:space="preserve">-0.141</w:t>
                  </w:r>
                </w:p>
              </w:tc>
              <w:tc>
                <w:tcPr/>
                <w:p>
                  <w:pPr>
                    <w:pStyle w:val="Compact"/>
                    <w:jc w:val="right"/>
                    <w:jc w:val="center"/>
                  </w:pPr>
                  <w:r>
                    <w:t xml:space="preserve">0.888</w:t>
                  </w:r>
                </w:p>
              </w:tc>
              <w:tc>
                <w:tcPr/>
                <w:p>
                  <w:pPr>
                    <w:pStyle w:val="Compact"/>
                    <w:jc w:val="right"/>
                    <w:jc w:val="center"/>
                  </w:pPr>
                  <w:r>
                    <w:t xml:space="preserve">NA</w:t>
                  </w:r>
                </w:p>
              </w:tc>
              <w:tc>
                <w:tcPr/>
                <w:p>
                  <w:pPr>
                    <w:pStyle w:val="Compact"/>
                    <w:jc w:val="right"/>
                    <w:jc w:val="center"/>
                  </w:pPr>
                  <w:r>
                    <w:t xml:space="preserve">-5.052</w:t>
                  </w:r>
                </w:p>
              </w:tc>
              <w:tc>
                <w:tcPr/>
                <w:p>
                  <w:pPr>
                    <w:pStyle w:val="Compact"/>
                    <w:jc w:val="right"/>
                    <w:jc w:val="center"/>
                  </w:pPr>
                  <w:r>
                    <w:t xml:space="preserve">4.372</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-5.574</w:t>
                  </w:r>
                </w:p>
              </w:tc>
              <w:tc>
                <w:tcPr/>
                <w:p>
                  <w:pPr>
                    <w:pStyle w:val="Compact"/>
                    <w:jc w:val="right"/>
                    <w:jc w:val="center"/>
                  </w:pPr>
                  <w:r>
                    <w:t xml:space="preserve">7.158</w:t>
                  </w:r>
                </w:p>
              </w:tc>
              <w:tc>
                <w:tcPr/>
                <w:p>
                  <w:pPr>
                    <w:pStyle w:val="Compact"/>
                    <w:jc w:val="right"/>
                    <w:jc w:val="center"/>
                  </w:pPr>
                  <w:r>
                    <w:t xml:space="preserve">-0.779</w:t>
                  </w:r>
                </w:p>
              </w:tc>
              <w:tc>
                <w:tcPr/>
                <w:p>
                  <w:pPr>
                    <w:pStyle w:val="Compact"/>
                    <w:jc w:val="right"/>
                    <w:jc w:val="center"/>
                  </w:pPr>
                  <w:r>
                    <w:t xml:space="preserve">0.436</w:t>
                  </w:r>
                </w:p>
              </w:tc>
              <w:tc>
                <w:tcPr/>
                <w:p>
                  <w:pPr>
                    <w:pStyle w:val="Compact"/>
                    <w:jc w:val="right"/>
                    <w:jc w:val="center"/>
                  </w:pPr>
                  <w:r>
                    <w:t xml:space="preserve">NA</w:t>
                  </w:r>
                </w:p>
              </w:tc>
              <w:tc>
                <w:tcPr/>
                <w:p>
                  <w:pPr>
                    <w:pStyle w:val="Compact"/>
                    <w:jc w:val="right"/>
                    <w:jc w:val="center"/>
                  </w:pPr>
                  <w:r>
                    <w:t xml:space="preserve">-19.604</w:t>
                  </w:r>
                </w:p>
              </w:tc>
              <w:tc>
                <w:tcPr/>
                <w:p>
                  <w:pPr>
                    <w:pStyle w:val="Compact"/>
                    <w:jc w:val="right"/>
                    <w:jc w:val="center"/>
                  </w:pPr>
                  <w:r>
                    <w:t xml:space="preserve">8.456</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-0.381</w:t>
                  </w:r>
                </w:p>
              </w:tc>
              <w:tc>
                <w:tcPr/>
                <w:p>
                  <w:pPr>
                    <w:pStyle w:val="Compact"/>
                    <w:jc w:val="right"/>
                    <w:jc w:val="center"/>
                  </w:pPr>
                  <w:r>
                    <w:t xml:space="preserve">0.523</w:t>
                  </w:r>
                </w:p>
              </w:tc>
              <w:tc>
                <w:tcPr/>
                <w:p>
                  <w:pPr>
                    <w:pStyle w:val="Compact"/>
                    <w:jc w:val="right"/>
                    <w:jc w:val="center"/>
                  </w:pPr>
                  <w:r>
                    <w:t xml:space="preserve">-0.728</w:t>
                  </w:r>
                </w:p>
              </w:tc>
              <w:tc>
                <w:tcPr/>
                <w:p>
                  <w:pPr>
                    <w:pStyle w:val="Compact"/>
                    <w:jc w:val="right"/>
                    <w:jc w:val="center"/>
                  </w:pPr>
                  <w:r>
                    <w:t xml:space="preserve">0.466</w:t>
                  </w:r>
                </w:p>
              </w:tc>
              <w:tc>
                <w:tcPr/>
                <w:p>
                  <w:pPr>
                    <w:pStyle w:val="Compact"/>
                    <w:jc w:val="right"/>
                    <w:jc w:val="center"/>
                  </w:pPr>
                  <w:r>
                    <w:t xml:space="preserve">NA</w:t>
                  </w:r>
                </w:p>
              </w:tc>
              <w:tc>
                <w:tcPr/>
                <w:p>
                  <w:pPr>
                    <w:pStyle w:val="Compact"/>
                    <w:jc w:val="right"/>
                    <w:jc w:val="center"/>
                  </w:pPr>
                  <w:r>
                    <w:t xml:space="preserve">-1.406</w:t>
                  </w:r>
                </w:p>
              </w:tc>
              <w:tc>
                <w:tcPr/>
                <w:p>
                  <w:pPr>
                    <w:pStyle w:val="Compact"/>
                    <w:jc w:val="right"/>
                    <w:jc w:val="center"/>
                  </w:pPr>
                  <w:r>
                    <w:t xml:space="preserve">0.644</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fetch_z</w:t>
                  </w:r>
                </w:p>
              </w:tc>
              <w:tc>
                <w:tcPr/>
                <w:p>
                  <w:pPr>
                    <w:pStyle w:val="Compact"/>
                    <w:jc w:val="right"/>
                    <w:jc w:val="center"/>
                  </w:pPr>
                  <w:r>
                    <w:t xml:space="preserve">-1.675</w:t>
                  </w:r>
                </w:p>
              </w:tc>
              <w:tc>
                <w:tcPr/>
                <w:p>
                  <w:pPr>
                    <w:pStyle w:val="Compact"/>
                    <w:jc w:val="right"/>
                    <w:jc w:val="center"/>
                  </w:pPr>
                  <w:r>
                    <w:t xml:space="preserve">2.438</w:t>
                  </w:r>
                </w:p>
              </w:tc>
              <w:tc>
                <w:tcPr/>
                <w:p>
                  <w:pPr>
                    <w:pStyle w:val="Compact"/>
                    <w:jc w:val="right"/>
                    <w:jc w:val="center"/>
                  </w:pPr>
                  <w:r>
                    <w:t xml:space="preserve">-0.687</w:t>
                  </w:r>
                </w:p>
              </w:tc>
              <w:tc>
                <w:tcPr/>
                <w:p>
                  <w:pPr>
                    <w:pStyle w:val="Compact"/>
                    <w:jc w:val="right"/>
                    <w:jc w:val="center"/>
                  </w:pPr>
                  <w:r>
                    <w:t xml:space="preserve">0.492</w:t>
                  </w:r>
                </w:p>
              </w:tc>
              <w:tc>
                <w:tcPr/>
                <w:p>
                  <w:pPr>
                    <w:pStyle w:val="Compact"/>
                    <w:jc w:val="right"/>
                    <w:jc w:val="center"/>
                  </w:pPr>
                  <w:r>
                    <w:t xml:space="preserve">NA</w:t>
                  </w:r>
                </w:p>
              </w:tc>
              <w:tc>
                <w:tcPr/>
                <w:p>
                  <w:pPr>
                    <w:pStyle w:val="Compact"/>
                    <w:jc w:val="right"/>
                    <w:jc w:val="center"/>
                  </w:pPr>
                  <w:r>
                    <w:t xml:space="preserve">-6.454</w:t>
                  </w:r>
                </w:p>
              </w:tc>
              <w:tc>
                <w:tcPr/>
                <w:p>
                  <w:pPr>
                    <w:pStyle w:val="Compact"/>
                    <w:jc w:val="right"/>
                    <w:jc w:val="center"/>
                  </w:pPr>
                  <w:r>
                    <w:t xml:space="preserve">3.103</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5.436</w:t>
                  </w:r>
                </w:p>
              </w:tc>
              <w:tc>
                <w:tcPr/>
                <w:p>
                  <w:pPr>
                    <w:pStyle w:val="Compact"/>
                    <w:jc w:val="right"/>
                    <w:jc w:val="center"/>
                  </w:pPr>
                  <w:r>
                    <w:t xml:space="preserve">5.592</w:t>
                  </w:r>
                </w:p>
              </w:tc>
              <w:tc>
                <w:tcPr/>
                <w:p>
                  <w:pPr>
                    <w:pStyle w:val="Compact"/>
                    <w:jc w:val="right"/>
                    <w:jc w:val="center"/>
                  </w:pPr>
                  <w:r>
                    <w:t xml:space="preserve">0.972</w:t>
                  </w:r>
                </w:p>
              </w:tc>
              <w:tc>
                <w:tcPr/>
                <w:p>
                  <w:pPr>
                    <w:pStyle w:val="Compact"/>
                    <w:jc w:val="right"/>
                    <w:jc w:val="center"/>
                  </w:pPr>
                  <w:r>
                    <w:t xml:space="preserve">0.331</w:t>
                  </w:r>
                </w:p>
              </w:tc>
              <w:tc>
                <w:tcPr/>
                <w:p>
                  <w:pPr>
                    <w:pStyle w:val="Compact"/>
                    <w:jc w:val="right"/>
                    <w:jc w:val="center"/>
                  </w:pPr>
                  <w:r>
                    <w:t xml:space="preserve">0.858</w:t>
                  </w:r>
                </w:p>
              </w:tc>
              <w:tc>
                <w:tcPr/>
                <w:p>
                  <w:pPr>
                    <w:pStyle w:val="Compact"/>
                    <w:jc w:val="right"/>
                    <w:jc w:val="center"/>
                  </w:pPr>
                  <w:r>
                    <w:t xml:space="preserve">-5.524</w:t>
                  </w:r>
                </w:p>
              </w:tc>
              <w:tc>
                <w:tcPr/>
                <w:p>
                  <w:pPr>
                    <w:pStyle w:val="Compact"/>
                    <w:jc w:val="right"/>
                    <w:jc w:val="center"/>
                  </w:pPr>
                  <w:r>
                    <w:t xml:space="preserve">16.396</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-2.185</w:t>
                  </w:r>
                </w:p>
              </w:tc>
              <w:tc>
                <w:tcPr/>
                <w:p>
                  <w:pPr>
                    <w:pStyle w:val="Compact"/>
                    <w:jc w:val="right"/>
                    <w:jc w:val="center"/>
                  </w:pPr>
                  <w:r>
                    <w:t xml:space="preserve">1.887</w:t>
                  </w:r>
                </w:p>
              </w:tc>
              <w:tc>
                <w:tcPr/>
                <w:p>
                  <w:pPr>
                    <w:pStyle w:val="Compact"/>
                    <w:jc w:val="right"/>
                    <w:jc w:val="center"/>
                  </w:pPr>
                  <w:r>
                    <w:t xml:space="preserve">-1.158</w:t>
                  </w:r>
                </w:p>
              </w:tc>
              <w:tc>
                <w:tcPr/>
                <w:p>
                  <w:pPr>
                    <w:pStyle w:val="Compact"/>
                    <w:jc w:val="right"/>
                    <w:jc w:val="center"/>
                  </w:pPr>
                  <w:r>
                    <w:t xml:space="preserve">0.247</w:t>
                  </w:r>
                </w:p>
              </w:tc>
              <w:tc>
                <w:tcPr/>
                <w:p>
                  <w:pPr>
                    <w:pStyle w:val="Compact"/>
                    <w:jc w:val="right"/>
                    <w:jc w:val="center"/>
                  </w:pPr>
                  <w:r>
                    <w:t xml:space="preserve">NA</w:t>
                  </w:r>
                </w:p>
              </w:tc>
              <w:tc>
                <w:tcPr/>
                <w:p>
                  <w:pPr>
                    <w:pStyle w:val="Compact"/>
                    <w:jc w:val="right"/>
                    <w:jc w:val="center"/>
                  </w:pPr>
                  <w:r>
                    <w:t xml:space="preserve">-5.883</w:t>
                  </w:r>
                </w:p>
              </w:tc>
              <w:tc>
                <w:tcPr/>
                <w:p>
                  <w:pPr>
                    <w:pStyle w:val="Compact"/>
                    <w:jc w:val="right"/>
                    <w:jc w:val="center"/>
                  </w:pPr>
                  <w:r>
                    <w:t xml:space="preserve">1.513</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-0.161</w:t>
                  </w:r>
                </w:p>
              </w:tc>
              <w:tc>
                <w:tcPr/>
                <w:p>
                  <w:pPr>
                    <w:pStyle w:val="Compact"/>
                    <w:jc w:val="right"/>
                    <w:jc w:val="center"/>
                  </w:pPr>
                  <w:r>
                    <w:t xml:space="preserve">1.765</w:t>
                  </w:r>
                </w:p>
              </w:tc>
              <w:tc>
                <w:tcPr/>
                <w:p>
                  <w:pPr>
                    <w:pStyle w:val="Compact"/>
                    <w:jc w:val="right"/>
                    <w:jc w:val="center"/>
                  </w:pPr>
                  <w:r>
                    <w:t xml:space="preserve">-0.091</w:t>
                  </w:r>
                </w:p>
              </w:tc>
              <w:tc>
                <w:tcPr/>
                <w:p>
                  <w:pPr>
                    <w:pStyle w:val="Compact"/>
                    <w:jc w:val="right"/>
                    <w:jc w:val="center"/>
                  </w:pPr>
                  <w:r>
                    <w:t xml:space="preserve">0.927</w:t>
                  </w:r>
                </w:p>
              </w:tc>
              <w:tc>
                <w:tcPr/>
                <w:p>
                  <w:pPr>
                    <w:pStyle w:val="Compact"/>
                    <w:jc w:val="right"/>
                    <w:jc w:val="center"/>
                  </w:pPr>
                  <w:r>
                    <w:t xml:space="preserve">NA</w:t>
                  </w:r>
                </w:p>
              </w:tc>
              <w:tc>
                <w:tcPr/>
                <w:p>
                  <w:pPr>
                    <w:pStyle w:val="Compact"/>
                    <w:jc w:val="right"/>
                    <w:jc w:val="center"/>
                  </w:pPr>
                  <w:r>
                    <w:t xml:space="preserve">-3.621</w:t>
                  </w:r>
                </w:p>
              </w:tc>
              <w:tc>
                <w:tcPr/>
                <w:p>
                  <w:pPr>
                    <w:pStyle w:val="Compact"/>
                    <w:jc w:val="right"/>
                    <w:jc w:val="center"/>
                  </w:pPr>
                  <w:r>
                    <w:t xml:space="preserve">3.299</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0.024</w:t>
                  </w:r>
                </w:p>
              </w:tc>
              <w:tc>
                <w:tcPr/>
                <w:p>
                  <w:pPr>
                    <w:pStyle w:val="Compact"/>
                    <w:jc w:val="right"/>
                    <w:jc w:val="center"/>
                  </w:pPr>
                  <w:r>
                    <w:t xml:space="preserve">1.982</w:t>
                  </w:r>
                </w:p>
              </w:tc>
              <w:tc>
                <w:tcPr/>
                <w:p>
                  <w:pPr>
                    <w:pStyle w:val="Compact"/>
                    <w:jc w:val="right"/>
                    <w:jc w:val="center"/>
                  </w:pPr>
                  <w:r>
                    <w:t xml:space="preserve">0.012</w:t>
                  </w:r>
                </w:p>
              </w:tc>
              <w:tc>
                <w:tcPr/>
                <w:p>
                  <w:pPr>
                    <w:pStyle w:val="Compact"/>
                    <w:jc w:val="right"/>
                    <w:jc w:val="center"/>
                  </w:pPr>
                  <w:r>
                    <w:t xml:space="preserve">0.990</w:t>
                  </w:r>
                </w:p>
              </w:tc>
              <w:tc>
                <w:tcPr/>
                <w:p>
                  <w:pPr>
                    <w:pStyle w:val="Compact"/>
                    <w:jc w:val="right"/>
                    <w:jc w:val="center"/>
                  </w:pPr>
                  <w:r>
                    <w:t xml:space="preserve">NA</w:t>
                  </w:r>
                </w:p>
              </w:tc>
              <w:tc>
                <w:tcPr/>
                <w:p>
                  <w:pPr>
                    <w:pStyle w:val="Compact"/>
                    <w:jc w:val="right"/>
                    <w:jc w:val="center"/>
                  </w:pPr>
                  <w:r>
                    <w:t xml:space="preserve">-3.860</w:t>
                  </w:r>
                </w:p>
              </w:tc>
              <w:tc>
                <w:tcPr/>
                <w:p>
                  <w:pPr>
                    <w:pStyle w:val="Compact"/>
                    <w:jc w:val="right"/>
                    <w:jc w:val="center"/>
                  </w:pPr>
                  <w:r>
                    <w:t xml:space="preserve">3.909</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-0.165</w:t>
                  </w:r>
                </w:p>
              </w:tc>
              <w:tc>
                <w:tcPr/>
                <w:p>
                  <w:pPr>
                    <w:pStyle w:val="Compact"/>
                    <w:jc w:val="right"/>
                    <w:jc w:val="center"/>
                  </w:pPr>
                  <w:r>
                    <w:t xml:space="preserve">0.259</w:t>
                  </w:r>
                </w:p>
              </w:tc>
              <w:tc>
                <w:tcPr/>
                <w:p>
                  <w:pPr>
                    <w:pStyle w:val="Compact"/>
                    <w:jc w:val="right"/>
                    <w:jc w:val="center"/>
                  </w:pPr>
                  <w:r>
                    <w:t xml:space="preserve">-0.635</w:t>
                  </w:r>
                </w:p>
              </w:tc>
              <w:tc>
                <w:tcPr/>
                <w:p>
                  <w:pPr>
                    <w:pStyle w:val="Compact"/>
                    <w:jc w:val="right"/>
                    <w:jc w:val="center"/>
                  </w:pPr>
                  <w:r>
                    <w:t xml:space="preserve">0.525</w:t>
                  </w:r>
                </w:p>
              </w:tc>
              <w:tc>
                <w:tcPr/>
                <w:p>
                  <w:pPr>
                    <w:pStyle w:val="Compact"/>
                    <w:jc w:val="right"/>
                    <w:jc w:val="center"/>
                  </w:pPr>
                  <w:r>
                    <w:t xml:space="preserve">NA</w:t>
                  </w:r>
                </w:p>
              </w:tc>
              <w:tc>
                <w:tcPr/>
                <w:p>
                  <w:pPr>
                    <w:pStyle w:val="Compact"/>
                    <w:jc w:val="right"/>
                    <w:jc w:val="center"/>
                  </w:pPr>
                  <w:r>
                    <w:t xml:space="preserve">-0.673</w:t>
                  </w:r>
                </w:p>
              </w:tc>
              <w:tc>
                <w:tcPr/>
                <w:p>
                  <w:pPr>
                    <w:pStyle w:val="Compact"/>
                    <w:jc w:val="right"/>
                    <w:jc w:val="center"/>
                  </w:pPr>
                  <w:r>
                    <w:t xml:space="preserve">0.343</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fetch_z</w:t>
                  </w:r>
                </w:p>
              </w:tc>
              <w:tc>
                <w:tcPr/>
                <w:p>
                  <w:pPr>
                    <w:pStyle w:val="Compact"/>
                    <w:jc w:val="right"/>
                    <w:jc w:val="center"/>
                  </w:pPr>
                  <w:r>
                    <w:t xml:space="preserve">-0.960</w:t>
                  </w:r>
                </w:p>
              </w:tc>
              <w:tc>
                <w:tcPr/>
                <w:p>
                  <w:pPr>
                    <w:pStyle w:val="Compact"/>
                    <w:jc w:val="right"/>
                    <w:jc w:val="center"/>
                  </w:pPr>
                  <w:r>
                    <w:t xml:space="preserve">1.197</w:t>
                  </w:r>
                </w:p>
              </w:tc>
              <w:tc>
                <w:tcPr/>
                <w:p>
                  <w:pPr>
                    <w:pStyle w:val="Compact"/>
                    <w:jc w:val="right"/>
                    <w:jc w:val="center"/>
                  </w:pPr>
                  <w:r>
                    <w:t xml:space="preserve">-0.802</w:t>
                  </w:r>
                </w:p>
              </w:tc>
              <w:tc>
                <w:tcPr/>
                <w:p>
                  <w:pPr>
                    <w:pStyle w:val="Compact"/>
                    <w:jc w:val="right"/>
                    <w:jc w:val="center"/>
                  </w:pPr>
                  <w:r>
                    <w:t xml:space="preserve">0.423</w:t>
                  </w:r>
                </w:p>
              </w:tc>
              <w:tc>
                <w:tcPr/>
                <w:p>
                  <w:pPr>
                    <w:pStyle w:val="Compact"/>
                    <w:jc w:val="right"/>
                    <w:jc w:val="center"/>
                  </w:pPr>
                  <w:r>
                    <w:t xml:space="preserve">NA</w:t>
                  </w:r>
                </w:p>
              </w:tc>
              <w:tc>
                <w:tcPr/>
                <w:p>
                  <w:pPr>
                    <w:pStyle w:val="Compact"/>
                    <w:jc w:val="right"/>
                    <w:jc w:val="center"/>
                  </w:pPr>
                  <w:r>
                    <w:t xml:space="preserve">-3.306</w:t>
                  </w:r>
                </w:p>
              </w:tc>
              <w:tc>
                <w:tcPr/>
                <w:p>
                  <w:pPr>
                    <w:pStyle w:val="Compact"/>
                    <w:jc w:val="right"/>
                    <w:jc w:val="center"/>
                  </w:pPr>
                  <w:r>
                    <w:t xml:space="preserve">1.387</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0.387</w:t>
                  </w:r>
                </w:p>
              </w:tc>
              <w:tc>
                <w:tcPr/>
                <w:p>
                  <w:pPr>
                    <w:pStyle w:val="Compact"/>
                    <w:jc w:val="right"/>
                    <w:jc w:val="center"/>
                  </w:pPr>
                  <w:r>
                    <w:t xml:space="preserve">2.168</w:t>
                  </w:r>
                </w:p>
              </w:tc>
              <w:tc>
                <w:tcPr/>
                <w:p>
                  <w:pPr>
                    <w:pStyle w:val="Compact"/>
                    <w:jc w:val="right"/>
                    <w:jc w:val="center"/>
                  </w:pPr>
                  <w:r>
                    <w:t xml:space="preserve">0.179</w:t>
                  </w:r>
                </w:p>
              </w:tc>
              <w:tc>
                <w:tcPr/>
                <w:p>
                  <w:pPr>
                    <w:pStyle w:val="Compact"/>
                    <w:jc w:val="right"/>
                    <w:jc w:val="center"/>
                  </w:pPr>
                  <w:r>
                    <w:t xml:space="preserve">0.858</w:t>
                  </w:r>
                </w:p>
              </w:tc>
              <w:tc>
                <w:tcPr/>
                <w:p>
                  <w:pPr>
                    <w:pStyle w:val="Compact"/>
                    <w:jc w:val="right"/>
                    <w:jc w:val="center"/>
                  </w:pPr>
                  <w:r>
                    <w:t xml:space="preserve">0.858</w:t>
                  </w:r>
                </w:p>
              </w:tc>
              <w:tc>
                <w:tcPr/>
                <w:p>
                  <w:pPr>
                    <w:pStyle w:val="Compact"/>
                    <w:jc w:val="right"/>
                    <w:jc w:val="center"/>
                  </w:pPr>
                  <w:r>
                    <w:t xml:space="preserve">-3.863</w:t>
                  </w:r>
                </w:p>
              </w:tc>
              <w:tc>
                <w:tcPr/>
                <w:p>
                  <w:pPr>
                    <w:pStyle w:val="Compact"/>
                    <w:jc w:val="right"/>
                    <w:jc w:val="center"/>
                  </w:pPr>
                  <w:r>
                    <w:t xml:space="preserve">4.637</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-2.753</w:t>
                  </w:r>
                </w:p>
              </w:tc>
              <w:tc>
                <w:tcPr/>
                <w:p>
                  <w:pPr>
                    <w:pStyle w:val="Compact"/>
                    <w:jc w:val="right"/>
                    <w:jc w:val="center"/>
                  </w:pPr>
                  <w:r>
                    <w:t xml:space="preserve">1.183</w:t>
                  </w:r>
                </w:p>
              </w:tc>
              <w:tc>
                <w:tcPr/>
                <w:p>
                  <w:pPr>
                    <w:pStyle w:val="Compact"/>
                    <w:jc w:val="right"/>
                    <w:jc w:val="center"/>
                  </w:pPr>
                  <w:r>
                    <w:t xml:space="preserve">-2.327</w:t>
                  </w:r>
                </w:p>
              </w:tc>
              <w:tc>
                <w:tcPr/>
                <w:p>
                  <w:pPr>
                    <w:pStyle w:val="Compact"/>
                    <w:jc w:val="right"/>
                    <w:jc w:val="center"/>
                  </w:pPr>
                  <w:r>
                    <w:t xml:space="preserve">0.020</w:t>
                  </w:r>
                </w:p>
              </w:tc>
              <w:tc>
                <w:tcPr/>
                <w:p>
                  <w:pPr>
                    <w:pStyle w:val="Compact"/>
                    <w:jc w:val="right"/>
                    <w:jc w:val="center"/>
                  </w:pPr>
                  <w:r>
                    <w:t xml:space="preserve">NA</w:t>
                  </w:r>
                </w:p>
              </w:tc>
              <w:tc>
                <w:tcPr/>
                <w:p>
                  <w:pPr>
                    <w:pStyle w:val="Compact"/>
                    <w:jc w:val="right"/>
                    <w:jc w:val="center"/>
                  </w:pPr>
                  <w:r>
                    <w:t xml:space="preserve">-5.072</w:t>
                  </w:r>
                </w:p>
              </w:tc>
              <w:tc>
                <w:tcPr/>
                <w:p>
                  <w:pPr>
                    <w:pStyle w:val="Compact"/>
                    <w:jc w:val="right"/>
                    <w:jc w:val="center"/>
                  </w:pPr>
                  <w:r>
                    <w:t xml:space="preserve">-0.434</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2.374</w:t>
                  </w:r>
                </w:p>
              </w:tc>
              <w:tc>
                <w:tcPr/>
                <w:p>
                  <w:pPr>
                    <w:pStyle w:val="Compact"/>
                    <w:jc w:val="right"/>
                    <w:jc w:val="center"/>
                  </w:pPr>
                  <w:r>
                    <w:t xml:space="preserve">0.976</w:t>
                  </w:r>
                </w:p>
              </w:tc>
              <w:tc>
                <w:tcPr/>
                <w:p>
                  <w:pPr>
                    <w:pStyle w:val="Compact"/>
                    <w:jc w:val="right"/>
                    <w:jc w:val="center"/>
                  </w:pPr>
                  <w:r>
                    <w:t xml:space="preserve">2.432</w:t>
                  </w:r>
                </w:p>
              </w:tc>
              <w:tc>
                <w:tcPr/>
                <w:p>
                  <w:pPr>
                    <w:pStyle w:val="Compact"/>
                    <w:jc w:val="right"/>
                    <w:jc w:val="center"/>
                  </w:pPr>
                  <w:r>
                    <w:t xml:space="preserve">0.015</w:t>
                  </w:r>
                </w:p>
              </w:tc>
              <w:tc>
                <w:tcPr/>
                <w:p>
                  <w:pPr>
                    <w:pStyle w:val="Compact"/>
                    <w:jc w:val="right"/>
                    <w:jc w:val="center"/>
                  </w:pPr>
                  <w:r>
                    <w:t xml:space="preserve">NA</w:t>
                  </w:r>
                </w:p>
              </w:tc>
              <w:tc>
                <w:tcPr/>
                <w:p>
                  <w:pPr>
                    <w:pStyle w:val="Compact"/>
                    <w:jc w:val="right"/>
                    <w:jc w:val="center"/>
                  </w:pPr>
                  <w:r>
                    <w:t xml:space="preserve">0.461</w:t>
                  </w:r>
                </w:p>
              </w:tc>
              <w:tc>
                <w:tcPr/>
                <w:p>
                  <w:pPr>
                    <w:pStyle w:val="Compact"/>
                    <w:jc w:val="right"/>
                    <w:jc w:val="center"/>
                  </w:pPr>
                  <w:r>
                    <w:t xml:space="preserve">4.286</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0.751</w:t>
                  </w:r>
                </w:p>
              </w:tc>
              <w:tc>
                <w:tcPr/>
                <w:p>
                  <w:pPr>
                    <w:pStyle w:val="Compact"/>
                    <w:jc w:val="right"/>
                    <w:jc w:val="center"/>
                  </w:pPr>
                  <w:r>
                    <w:t xml:space="preserve">1.335</w:t>
                  </w:r>
                </w:p>
              </w:tc>
              <w:tc>
                <w:tcPr/>
                <w:p>
                  <w:pPr>
                    <w:pStyle w:val="Compact"/>
                    <w:jc w:val="right"/>
                    <w:jc w:val="center"/>
                  </w:pPr>
                  <w:r>
                    <w:t xml:space="preserve">0.563</w:t>
                  </w:r>
                </w:p>
              </w:tc>
              <w:tc>
                <w:tcPr/>
                <w:p>
                  <w:pPr>
                    <w:pStyle w:val="Compact"/>
                    <w:jc w:val="right"/>
                    <w:jc w:val="center"/>
                  </w:pPr>
                  <w:r>
                    <w:t xml:space="preserve">0.574</w:t>
                  </w:r>
                </w:p>
              </w:tc>
              <w:tc>
                <w:tcPr/>
                <w:p>
                  <w:pPr>
                    <w:pStyle w:val="Compact"/>
                    <w:jc w:val="right"/>
                    <w:jc w:val="center"/>
                  </w:pPr>
                  <w:r>
                    <w:t xml:space="preserve">NA</w:t>
                  </w:r>
                </w:p>
              </w:tc>
              <w:tc>
                <w:tcPr/>
                <w:p>
                  <w:pPr>
                    <w:pStyle w:val="Compact"/>
                    <w:jc w:val="right"/>
                    <w:jc w:val="center"/>
                  </w:pPr>
                  <w:r>
                    <w:t xml:space="preserve">-1.865</w:t>
                  </w:r>
                </w:p>
              </w:tc>
              <w:tc>
                <w:tcPr/>
                <w:p>
                  <w:pPr>
                    <w:pStyle w:val="Compact"/>
                    <w:jc w:val="right"/>
                    <w:jc w:val="center"/>
                  </w:pPr>
                  <w:r>
                    <w:t xml:space="preserve">3.368</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-0.253</w:t>
                  </w:r>
                </w:p>
              </w:tc>
              <w:tc>
                <w:tcPr/>
                <w:p>
                  <w:pPr>
                    <w:pStyle w:val="Compact"/>
                    <w:jc w:val="right"/>
                    <w:jc w:val="center"/>
                  </w:pPr>
                  <w:r>
                    <w:t xml:space="preserve">0.082</w:t>
                  </w:r>
                </w:p>
              </w:tc>
              <w:tc>
                <w:tcPr/>
                <w:p>
                  <w:pPr>
                    <w:pStyle w:val="Compact"/>
                    <w:jc w:val="right"/>
                    <w:jc w:val="center"/>
                  </w:pPr>
                  <w:r>
                    <w:t xml:space="preserve">-3.094</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-0.413</w:t>
                  </w:r>
                </w:p>
              </w:tc>
              <w:tc>
                <w:tcPr/>
                <w:p>
                  <w:pPr>
                    <w:pStyle w:val="Compact"/>
                    <w:jc w:val="right"/>
                    <w:jc w:val="center"/>
                  </w:pPr>
                  <w:r>
                    <w:t xml:space="preserve">-0.093</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0.311</w:t>
                  </w:r>
                </w:p>
              </w:tc>
              <w:tc>
                <w:tcPr/>
                <w:p>
                  <w:pPr>
                    <w:pStyle w:val="Compact"/>
                    <w:jc w:val="right"/>
                    <w:jc w:val="center"/>
                  </w:pPr>
                  <w:r>
                    <w:t xml:space="preserve">1.232</w:t>
                  </w:r>
                </w:p>
              </w:tc>
              <w:tc>
                <w:tcPr/>
                <w:p>
                  <w:pPr>
                    <w:pStyle w:val="Compact"/>
                    <w:jc w:val="right"/>
                    <w:jc w:val="center"/>
                  </w:pPr>
                  <w:r>
                    <w:t xml:space="preserve">0.253</w:t>
                  </w:r>
                </w:p>
              </w:tc>
              <w:tc>
                <w:tcPr/>
                <w:p>
                  <w:pPr>
                    <w:pStyle w:val="Compact"/>
                    <w:jc w:val="right"/>
                    <w:jc w:val="center"/>
                  </w:pPr>
                  <w:r>
                    <w:t xml:space="preserve">0.800</w:t>
                  </w:r>
                </w:p>
              </w:tc>
              <w:tc>
                <w:tcPr/>
                <w:p>
                  <w:pPr>
                    <w:pStyle w:val="Compact"/>
                    <w:jc w:val="right"/>
                    <w:jc w:val="center"/>
                  </w:pPr>
                  <w:r>
                    <w:t xml:space="preserve">0.858</w:t>
                  </w:r>
                </w:p>
              </w:tc>
              <w:tc>
                <w:tcPr/>
                <w:p>
                  <w:pPr>
                    <w:pStyle w:val="Compact"/>
                    <w:jc w:val="right"/>
                    <w:jc w:val="center"/>
                  </w:pPr>
                  <w:r>
                    <w:t xml:space="preserve">-2.104</w:t>
                  </w:r>
                </w:p>
              </w:tc>
              <w:tc>
                <w:tcPr/>
                <w:p>
                  <w:pPr>
                    <w:pStyle w:val="Compact"/>
                    <w:jc w:val="right"/>
                    <w:jc w:val="center"/>
                  </w:pPr>
                  <w:r>
                    <w:t xml:space="preserve">2.727</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0.315</w:t>
                  </w:r>
                </w:p>
              </w:tc>
              <w:tc>
                <w:tcPr/>
                <w:p>
                  <w:pPr>
                    <w:pStyle w:val="Compact"/>
                    <w:jc w:val="right"/>
                    <w:jc w:val="center"/>
                  </w:pPr>
                  <w:r>
                    <w:t xml:space="preserve">1.335</w:t>
                  </w:r>
                </w:p>
              </w:tc>
              <w:tc>
                <w:tcPr/>
                <w:p>
                  <w:pPr>
                    <w:pStyle w:val="Compact"/>
                    <w:jc w:val="right"/>
                    <w:jc w:val="center"/>
                  </w:pPr>
                  <w:r>
                    <w:t xml:space="preserve">0.236</w:t>
                  </w:r>
                </w:p>
              </w:tc>
              <w:tc>
                <w:tcPr/>
                <w:p>
                  <w:pPr>
                    <w:pStyle w:val="Compact"/>
                    <w:jc w:val="right"/>
                    <w:jc w:val="center"/>
                  </w:pPr>
                  <w:r>
                    <w:t xml:space="preserve">0.813</w:t>
                  </w:r>
                </w:p>
              </w:tc>
              <w:tc>
                <w:tcPr/>
                <w:p>
                  <w:pPr>
                    <w:pStyle w:val="Compact"/>
                    <w:jc w:val="right"/>
                    <w:jc w:val="center"/>
                  </w:pPr>
                  <w:r>
                    <w:t xml:space="preserve">NA</w:t>
                  </w:r>
                </w:p>
              </w:tc>
              <w:tc>
                <w:tcPr/>
                <w:p>
                  <w:pPr>
                    <w:pStyle w:val="Compact"/>
                    <w:jc w:val="right"/>
                    <w:jc w:val="center"/>
                  </w:pPr>
                  <w:r>
                    <w:t xml:space="preserve">-2.301</w:t>
                  </w:r>
                </w:p>
              </w:tc>
              <w:tc>
                <w:tcPr/>
                <w:p>
                  <w:pPr>
                    <w:pStyle w:val="Compact"/>
                    <w:jc w:val="right"/>
                    <w:jc w:val="center"/>
                  </w:pPr>
                  <w:r>
                    <w:t xml:space="preserve">2.931</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2.248</w:t>
                  </w:r>
                </w:p>
              </w:tc>
              <w:tc>
                <w:tcPr/>
                <w:p>
                  <w:pPr>
                    <w:pStyle w:val="Compact"/>
                    <w:jc w:val="right"/>
                    <w:jc w:val="center"/>
                  </w:pPr>
                  <w:r>
                    <w:t xml:space="preserve">1.246</w:t>
                  </w:r>
                </w:p>
              </w:tc>
              <w:tc>
                <w:tcPr/>
                <w:p>
                  <w:pPr>
                    <w:pStyle w:val="Compact"/>
                    <w:jc w:val="right"/>
                    <w:jc w:val="center"/>
                  </w:pPr>
                  <w:r>
                    <w:t xml:space="preserve">1.805</w:t>
                  </w:r>
                </w:p>
              </w:tc>
              <w:tc>
                <w:tcPr/>
                <w:p>
                  <w:pPr>
                    <w:pStyle w:val="Compact"/>
                    <w:jc w:val="right"/>
                    <w:jc w:val="center"/>
                  </w:pPr>
                  <w:r>
                    <w:t xml:space="preserve">0.071</w:t>
                  </w:r>
                </w:p>
              </w:tc>
              <w:tc>
                <w:tcPr/>
                <w:p>
                  <w:pPr>
                    <w:pStyle w:val="Compact"/>
                    <w:jc w:val="right"/>
                    <w:jc w:val="center"/>
                  </w:pPr>
                  <w:r>
                    <w:t xml:space="preserve">NA</w:t>
                  </w:r>
                </w:p>
              </w:tc>
              <w:tc>
                <w:tcPr/>
                <w:p>
                  <w:pPr>
                    <w:pStyle w:val="Compact"/>
                    <w:jc w:val="right"/>
                    <w:jc w:val="center"/>
                  </w:pPr>
                  <w:r>
                    <w:t xml:space="preserve">-0.193</w:t>
                  </w:r>
                </w:p>
              </w:tc>
              <w:tc>
                <w:tcPr/>
                <w:p>
                  <w:pPr>
                    <w:pStyle w:val="Compact"/>
                    <w:jc w:val="right"/>
                    <w:jc w:val="center"/>
                  </w:pPr>
                  <w:r>
                    <w:t xml:space="preserve">4.689</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1.410</w:t>
                  </w:r>
                </w:p>
              </w:tc>
              <w:tc>
                <w:tcPr/>
                <w:p>
                  <w:pPr>
                    <w:pStyle w:val="Compact"/>
                    <w:jc w:val="right"/>
                    <w:jc w:val="center"/>
                  </w:pPr>
                  <w:r>
                    <w:t xml:space="preserve">1.552</w:t>
                  </w:r>
                </w:p>
              </w:tc>
              <w:tc>
                <w:tcPr/>
                <w:p>
                  <w:pPr>
                    <w:pStyle w:val="Compact"/>
                    <w:jc w:val="right"/>
                    <w:jc w:val="center"/>
                  </w:pPr>
                  <w:r>
                    <w:t xml:space="preserve">0.909</w:t>
                  </w:r>
                </w:p>
              </w:tc>
              <w:tc>
                <w:tcPr/>
                <w:p>
                  <w:pPr>
                    <w:pStyle w:val="Compact"/>
                    <w:jc w:val="right"/>
                    <w:jc w:val="center"/>
                  </w:pPr>
                  <w:r>
                    <w:t xml:space="preserve">0.363</w:t>
                  </w:r>
                </w:p>
              </w:tc>
              <w:tc>
                <w:tcPr/>
                <w:p>
                  <w:pPr>
                    <w:pStyle w:val="Compact"/>
                    <w:jc w:val="right"/>
                    <w:jc w:val="center"/>
                  </w:pPr>
                  <w:r>
                    <w:t xml:space="preserve">NA</w:t>
                  </w:r>
                </w:p>
              </w:tc>
              <w:tc>
                <w:tcPr/>
                <w:p>
                  <w:pPr>
                    <w:pStyle w:val="Compact"/>
                    <w:jc w:val="right"/>
                    <w:jc w:val="center"/>
                  </w:pPr>
                  <w:r>
                    <w:t xml:space="preserve">-1.631</w:t>
                  </w:r>
                </w:p>
              </w:tc>
              <w:tc>
                <w:tcPr/>
                <w:p>
                  <w:pPr>
                    <w:pStyle w:val="Compact"/>
                    <w:jc w:val="right"/>
                    <w:jc w:val="center"/>
                  </w:pPr>
                  <w:r>
                    <w:t xml:space="preserve">4.451</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-0.196</w:t>
                  </w:r>
                </w:p>
              </w:tc>
              <w:tc>
                <w:tcPr/>
                <w:p>
                  <w:pPr>
                    <w:pStyle w:val="Compact"/>
                    <w:jc w:val="right"/>
                    <w:jc w:val="center"/>
                  </w:pPr>
                  <w:r>
                    <w:t xml:space="preserve">0.110</w:t>
                  </w:r>
                </w:p>
              </w:tc>
              <w:tc>
                <w:tcPr/>
                <w:p>
                  <w:pPr>
                    <w:pStyle w:val="Compact"/>
                    <w:jc w:val="right"/>
                    <w:jc w:val="center"/>
                  </w:pPr>
                  <w:r>
                    <w:t xml:space="preserve">-1.791</w:t>
                  </w:r>
                </w:p>
              </w:tc>
              <w:tc>
                <w:tcPr/>
                <w:p>
                  <w:pPr>
                    <w:pStyle w:val="Compact"/>
                    <w:jc w:val="right"/>
                    <w:jc w:val="center"/>
                  </w:pPr>
                  <w:r>
                    <w:t xml:space="preserve">0.073</w:t>
                  </w:r>
                </w:p>
              </w:tc>
              <w:tc>
                <w:tcPr/>
                <w:p>
                  <w:pPr>
                    <w:pStyle w:val="Compact"/>
                    <w:jc w:val="right"/>
                    <w:jc w:val="center"/>
                  </w:pPr>
                  <w:r>
                    <w:t xml:space="preserve">NA</w:t>
                  </w:r>
                </w:p>
              </w:tc>
              <w:tc>
                <w:tcPr/>
                <w:p>
                  <w:pPr>
                    <w:pStyle w:val="Compact"/>
                    <w:jc w:val="right"/>
                    <w:jc w:val="center"/>
                  </w:pPr>
                  <w:r>
                    <w:t xml:space="preserve">-0.412</w:t>
                  </w:r>
                </w:p>
              </w:tc>
              <w:tc>
                <w:tcPr/>
                <w:p>
                  <w:pPr>
                    <w:pStyle w:val="Compact"/>
                    <w:jc w:val="right"/>
                    <w:jc w:val="center"/>
                  </w:pPr>
                  <w:r>
                    <w:t xml:space="preserve">0.019</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-0.336</w:t>
                  </w:r>
                </w:p>
              </w:tc>
              <w:tc>
                <w:tcPr/>
                <w:p>
                  <w:pPr>
                    <w:pStyle w:val="Compact"/>
                    <w:jc w:val="right"/>
                    <w:jc w:val="center"/>
                  </w:pPr>
                  <w:r>
                    <w:t xml:space="preserve">1.471</w:t>
                  </w:r>
                </w:p>
              </w:tc>
              <w:tc>
                <w:tcPr/>
                <w:p>
                  <w:pPr>
                    <w:pStyle w:val="Compact"/>
                    <w:jc w:val="right"/>
                    <w:jc w:val="center"/>
                  </w:pPr>
                  <w:r>
                    <w:t xml:space="preserve">-0.228</w:t>
                  </w:r>
                </w:p>
              </w:tc>
              <w:tc>
                <w:tcPr/>
                <w:p>
                  <w:pPr>
                    <w:pStyle w:val="Compact"/>
                    <w:jc w:val="right"/>
                    <w:jc w:val="center"/>
                  </w:pPr>
                  <w:r>
                    <w:t xml:space="preserve">0.819</w:t>
                  </w:r>
                </w:p>
              </w:tc>
              <w:tc>
                <w:tcPr/>
                <w:p>
                  <w:pPr>
                    <w:pStyle w:val="Compact"/>
                    <w:jc w:val="right"/>
                    <w:jc w:val="center"/>
                  </w:pPr>
                  <w:r>
                    <w:t xml:space="preserve">0.858</w:t>
                  </w:r>
                </w:p>
              </w:tc>
              <w:tc>
                <w:tcPr/>
                <w:p>
                  <w:pPr>
                    <w:pStyle w:val="Compact"/>
                    <w:jc w:val="right"/>
                    <w:jc w:val="center"/>
                  </w:pPr>
                  <w:r>
                    <w:t xml:space="preserve">-3.220</w:t>
                  </w:r>
                </w:p>
              </w:tc>
              <w:tc>
                <w:tcPr/>
                <w:p>
                  <w:pPr>
                    <w:pStyle w:val="Compact"/>
                    <w:jc w:val="right"/>
                    <w:jc w:val="center"/>
                  </w:pPr>
                  <w:r>
                    <w:t xml:space="preserve">2.548</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-0.690</w:t>
                  </w:r>
                </w:p>
              </w:tc>
              <w:tc>
                <w:tcPr/>
                <w:p>
                  <w:pPr>
                    <w:pStyle w:val="Compact"/>
                    <w:jc w:val="right"/>
                    <w:jc w:val="center"/>
                  </w:pPr>
                  <w:r>
                    <w:t xml:space="preserve">1.643</w:t>
                  </w:r>
                </w:p>
              </w:tc>
              <w:tc>
                <w:tcPr/>
                <w:p>
                  <w:pPr>
                    <w:pStyle w:val="Compact"/>
                    <w:jc w:val="right"/>
                    <w:jc w:val="center"/>
                  </w:pPr>
                  <w:r>
                    <w:t xml:space="preserve">-0.420</w:t>
                  </w:r>
                </w:p>
              </w:tc>
              <w:tc>
                <w:tcPr/>
                <w:p>
                  <w:pPr>
                    <w:pStyle w:val="Compact"/>
                    <w:jc w:val="right"/>
                    <w:jc w:val="center"/>
                  </w:pPr>
                  <w:r>
                    <w:t xml:space="preserve">0.674</w:t>
                  </w:r>
                </w:p>
              </w:tc>
              <w:tc>
                <w:tcPr/>
                <w:p>
                  <w:pPr>
                    <w:pStyle w:val="Compact"/>
                    <w:jc w:val="right"/>
                    <w:jc w:val="center"/>
                  </w:pPr>
                  <w:r>
                    <w:t xml:space="preserve">NA</w:t>
                  </w:r>
                </w:p>
              </w:tc>
              <w:tc>
                <w:tcPr/>
                <w:p>
                  <w:pPr>
                    <w:pStyle w:val="Compact"/>
                    <w:jc w:val="right"/>
                    <w:jc w:val="center"/>
                  </w:pPr>
                  <w:r>
                    <w:t xml:space="preserve">-3.911</w:t>
                  </w:r>
                </w:p>
              </w:tc>
              <w:tc>
                <w:tcPr/>
                <w:p>
                  <w:pPr>
                    <w:pStyle w:val="Compact"/>
                    <w:jc w:val="right"/>
                    <w:jc w:val="center"/>
                  </w:pPr>
                  <w:r>
                    <w:t xml:space="preserve">2.530</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1.913</w:t>
                  </w:r>
                </w:p>
              </w:tc>
              <w:tc>
                <w:tcPr/>
                <w:p>
                  <w:pPr>
                    <w:pStyle w:val="Compact"/>
                    <w:jc w:val="right"/>
                    <w:jc w:val="center"/>
                  </w:pPr>
                  <w:r>
                    <w:t xml:space="preserve">1.556</w:t>
                  </w:r>
                </w:p>
              </w:tc>
              <w:tc>
                <w:tcPr/>
                <w:p>
                  <w:pPr>
                    <w:pStyle w:val="Compact"/>
                    <w:jc w:val="right"/>
                    <w:jc w:val="center"/>
                  </w:pPr>
                  <w:r>
                    <w:t xml:space="preserve">1.230</w:t>
                  </w:r>
                </w:p>
              </w:tc>
              <w:tc>
                <w:tcPr/>
                <w:p>
                  <w:pPr>
                    <w:pStyle w:val="Compact"/>
                    <w:jc w:val="right"/>
                    <w:jc w:val="center"/>
                  </w:pPr>
                  <w:r>
                    <w:t xml:space="preserve">0.219</w:t>
                  </w:r>
                </w:p>
              </w:tc>
              <w:tc>
                <w:tcPr/>
                <w:p>
                  <w:pPr>
                    <w:pStyle w:val="Compact"/>
                    <w:jc w:val="right"/>
                    <w:jc w:val="center"/>
                  </w:pPr>
                  <w:r>
                    <w:t xml:space="preserve">NA</w:t>
                  </w:r>
                </w:p>
              </w:tc>
              <w:tc>
                <w:tcPr/>
                <w:p>
                  <w:pPr>
                    <w:pStyle w:val="Compact"/>
                    <w:jc w:val="right"/>
                    <w:jc w:val="center"/>
                  </w:pPr>
                  <w:r>
                    <w:t xml:space="preserve">-1.136</w:t>
                  </w:r>
                </w:p>
              </w:tc>
              <w:tc>
                <w:tcPr/>
                <w:p>
                  <w:pPr>
                    <w:pStyle w:val="Compact"/>
                    <w:jc w:val="right"/>
                    <w:jc w:val="center"/>
                  </w:pPr>
                  <w:r>
                    <w:t xml:space="preserve">4.963</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0.013</w:t>
                  </w:r>
                </w:p>
              </w:tc>
              <w:tc>
                <w:tcPr/>
                <w:p>
                  <w:pPr>
                    <w:pStyle w:val="Compact"/>
                    <w:jc w:val="right"/>
                    <w:jc w:val="center"/>
                  </w:pPr>
                  <w:r>
                    <w:t xml:space="preserve">2.121</w:t>
                  </w:r>
                </w:p>
              </w:tc>
              <w:tc>
                <w:tcPr/>
                <w:p>
                  <w:pPr>
                    <w:pStyle w:val="Compact"/>
                    <w:jc w:val="right"/>
                    <w:jc w:val="center"/>
                  </w:pPr>
                  <w:r>
                    <w:t xml:space="preserve">0.006</w:t>
                  </w:r>
                </w:p>
              </w:tc>
              <w:tc>
                <w:tcPr/>
                <w:p>
                  <w:pPr>
                    <w:pStyle w:val="Compact"/>
                    <w:jc w:val="right"/>
                    <w:jc w:val="center"/>
                  </w:pPr>
                  <w:r>
                    <w:t xml:space="preserve">0.995</w:t>
                  </w:r>
                </w:p>
              </w:tc>
              <w:tc>
                <w:tcPr/>
                <w:p>
                  <w:pPr>
                    <w:pStyle w:val="Compact"/>
                    <w:jc w:val="right"/>
                    <w:jc w:val="center"/>
                  </w:pPr>
                  <w:r>
                    <w:t xml:space="preserve">NA</w:t>
                  </w:r>
                </w:p>
              </w:tc>
              <w:tc>
                <w:tcPr/>
                <w:p>
                  <w:pPr>
                    <w:pStyle w:val="Compact"/>
                    <w:jc w:val="right"/>
                    <w:jc w:val="center"/>
                  </w:pPr>
                  <w:r>
                    <w:t xml:space="preserve">-4.144</w:t>
                  </w:r>
                </w:p>
              </w:tc>
              <w:tc>
                <w:tcPr/>
                <w:p>
                  <w:pPr>
                    <w:pStyle w:val="Compact"/>
                    <w:jc w:val="right"/>
                    <w:jc w:val="center"/>
                  </w:pPr>
                  <w:r>
                    <w:t xml:space="preserve">4.171</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-0.286</w:t>
                  </w:r>
                </w:p>
              </w:tc>
              <w:tc>
                <w:tcPr/>
                <w:p>
                  <w:pPr>
                    <w:pStyle w:val="Compact"/>
                    <w:jc w:val="right"/>
                    <w:jc w:val="center"/>
                  </w:pPr>
                  <w:r>
                    <w:t xml:space="preserve">0.215</w:t>
                  </w:r>
                </w:p>
              </w:tc>
              <w:tc>
                <w:tcPr/>
                <w:p>
                  <w:pPr>
                    <w:pStyle w:val="Compact"/>
                    <w:jc w:val="right"/>
                    <w:jc w:val="center"/>
                  </w:pPr>
                  <w:r>
                    <w:t xml:space="preserve">-1.333</w:t>
                  </w:r>
                </w:p>
              </w:tc>
              <w:tc>
                <w:tcPr/>
                <w:p>
                  <w:pPr>
                    <w:pStyle w:val="Compact"/>
                    <w:jc w:val="right"/>
                    <w:jc w:val="center"/>
                  </w:pPr>
                  <w:r>
                    <w:t xml:space="preserve">0.183</w:t>
                  </w:r>
                </w:p>
              </w:tc>
              <w:tc>
                <w:tcPr/>
                <w:p>
                  <w:pPr>
                    <w:pStyle w:val="Compact"/>
                    <w:jc w:val="right"/>
                    <w:jc w:val="center"/>
                  </w:pPr>
                  <w:r>
                    <w:t xml:space="preserve">NA</w:t>
                  </w:r>
                </w:p>
              </w:tc>
              <w:tc>
                <w:tcPr/>
                <w:p>
                  <w:pPr>
                    <w:pStyle w:val="Compact"/>
                    <w:jc w:val="right"/>
                    <w:jc w:val="center"/>
                  </w:pPr>
                  <w:r>
                    <w:t xml:space="preserve">-0.708</w:t>
                  </w:r>
                </w:p>
              </w:tc>
              <w:tc>
                <w:tcPr/>
                <w:p>
                  <w:pPr>
                    <w:pStyle w:val="Compact"/>
                    <w:jc w:val="right"/>
                    <w:jc w:val="center"/>
                  </w:pPr>
                  <w:r>
                    <w:t xml:space="preserve">0.135</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1.013</w:t>
                  </w:r>
                </w:p>
              </w:tc>
              <w:tc>
                <w:tcPr/>
                <w:p>
                  <w:pPr>
                    <w:pStyle w:val="Compact"/>
                    <w:jc w:val="right"/>
                    <w:jc w:val="center"/>
                  </w:pPr>
                  <w:r>
                    <w:t xml:space="preserve">1.762</w:t>
                  </w:r>
                </w:p>
              </w:tc>
              <w:tc>
                <w:tcPr/>
                <w:p>
                  <w:pPr>
                    <w:pStyle w:val="Compact"/>
                    <w:jc w:val="right"/>
                    <w:jc w:val="center"/>
                  </w:pPr>
                  <w:r>
                    <w:t xml:space="preserve">0.575</w:t>
                  </w:r>
                </w:p>
              </w:tc>
              <w:tc>
                <w:tcPr/>
                <w:p>
                  <w:pPr>
                    <w:pStyle w:val="Compact"/>
                    <w:jc w:val="right"/>
                    <w:jc w:val="center"/>
                  </w:pPr>
                  <w:r>
                    <w:t xml:space="preserve">0.565</w:t>
                  </w:r>
                </w:p>
              </w:tc>
              <w:tc>
                <w:tcPr/>
                <w:p>
                  <w:pPr>
                    <w:pStyle w:val="Compact"/>
                    <w:jc w:val="right"/>
                    <w:jc w:val="center"/>
                  </w:pPr>
                  <w:r>
                    <w:t xml:space="preserve">0.858</w:t>
                  </w:r>
                </w:p>
              </w:tc>
              <w:tc>
                <w:tcPr/>
                <w:p>
                  <w:pPr>
                    <w:pStyle w:val="Compact"/>
                    <w:jc w:val="right"/>
                    <w:jc w:val="center"/>
                  </w:pPr>
                  <w:r>
                    <w:t xml:space="preserve">-2.440</w:t>
                  </w:r>
                </w:p>
              </w:tc>
              <w:tc>
                <w:tcPr/>
                <w:p>
                  <w:pPr>
                    <w:pStyle w:val="Compact"/>
                    <w:jc w:val="right"/>
                    <w:jc w:val="center"/>
                  </w:pPr>
                  <w:r>
                    <w:t xml:space="preserve">4.466</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-2.150</w:t>
                  </w:r>
                </w:p>
              </w:tc>
              <w:tc>
                <w:tcPr/>
                <w:p>
                  <w:pPr>
                    <w:pStyle w:val="Compact"/>
                    <w:jc w:val="right"/>
                    <w:jc w:val="center"/>
                  </w:pPr>
                  <w:r>
                    <w:t xml:space="preserve">1.519</w:t>
                  </w:r>
                </w:p>
              </w:tc>
              <w:tc>
                <w:tcPr/>
                <w:p>
                  <w:pPr>
                    <w:pStyle w:val="Compact"/>
                    <w:jc w:val="right"/>
                    <w:jc w:val="center"/>
                  </w:pPr>
                  <w:r>
                    <w:t xml:space="preserve">-1.416</w:t>
                  </w:r>
                </w:p>
              </w:tc>
              <w:tc>
                <w:tcPr/>
                <w:p>
                  <w:pPr>
                    <w:pStyle w:val="Compact"/>
                    <w:jc w:val="right"/>
                    <w:jc w:val="center"/>
                  </w:pPr>
                  <w:r>
                    <w:t xml:space="preserve">0.157</w:t>
                  </w:r>
                </w:p>
              </w:tc>
              <w:tc>
                <w:tcPr/>
                <w:p>
                  <w:pPr>
                    <w:pStyle w:val="Compact"/>
                    <w:jc w:val="right"/>
                    <w:jc w:val="center"/>
                  </w:pPr>
                  <w:r>
                    <w:t xml:space="preserve">NA</w:t>
                  </w:r>
                </w:p>
              </w:tc>
              <w:tc>
                <w:tcPr/>
                <w:p>
                  <w:pPr>
                    <w:pStyle w:val="Compact"/>
                    <w:jc w:val="right"/>
                    <w:jc w:val="center"/>
                  </w:pPr>
                  <w:r>
                    <w:t xml:space="preserve">-5.127</w:t>
                  </w:r>
                </w:p>
              </w:tc>
              <w:tc>
                <w:tcPr/>
                <w:p>
                  <w:pPr>
                    <w:pStyle w:val="Compact"/>
                    <w:jc w:val="right"/>
                    <w:jc w:val="center"/>
                  </w:pPr>
                  <w:r>
                    <w:t xml:space="preserve">0.826</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-1.392</w:t>
                  </w:r>
                </w:p>
              </w:tc>
              <w:tc>
                <w:tcPr/>
                <w:p>
                  <w:pPr>
                    <w:pStyle w:val="Compact"/>
                    <w:jc w:val="right"/>
                    <w:jc w:val="center"/>
                  </w:pPr>
                  <w:r>
                    <w:t xml:space="preserve">1.832</w:t>
                  </w:r>
                </w:p>
              </w:tc>
              <w:tc>
                <w:tcPr/>
                <w:p>
                  <w:pPr>
                    <w:pStyle w:val="Compact"/>
                    <w:jc w:val="right"/>
                    <w:jc w:val="center"/>
                  </w:pPr>
                  <w:r>
                    <w:t xml:space="preserve">-0.760</w:t>
                  </w:r>
                </w:p>
              </w:tc>
              <w:tc>
                <w:tcPr/>
                <w:p>
                  <w:pPr>
                    <w:pStyle w:val="Compact"/>
                    <w:jc w:val="right"/>
                    <w:jc w:val="center"/>
                  </w:pPr>
                  <w:r>
                    <w:t xml:space="preserve">0.447</w:t>
                  </w:r>
                </w:p>
              </w:tc>
              <w:tc>
                <w:tcPr/>
                <w:p>
                  <w:pPr>
                    <w:pStyle w:val="Compact"/>
                    <w:jc w:val="right"/>
                    <w:jc w:val="center"/>
                  </w:pPr>
                  <w:r>
                    <w:t xml:space="preserve">NA</w:t>
                  </w:r>
                </w:p>
              </w:tc>
              <w:tc>
                <w:tcPr/>
                <w:p>
                  <w:pPr>
                    <w:pStyle w:val="Compact"/>
                    <w:jc w:val="right"/>
                    <w:jc w:val="center"/>
                  </w:pPr>
                  <w:r>
                    <w:t xml:space="preserve">-4.983</w:t>
                  </w:r>
                </w:p>
              </w:tc>
              <w:tc>
                <w:tcPr/>
                <w:p>
                  <w:pPr>
                    <w:pStyle w:val="Compact"/>
                    <w:jc w:val="right"/>
                    <w:jc w:val="center"/>
                  </w:pPr>
                  <w:r>
                    <w:t xml:space="preserve">2.199</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-0.634</w:t>
                  </w:r>
                </w:p>
              </w:tc>
              <w:tc>
                <w:tcPr/>
                <w:p>
                  <w:pPr>
                    <w:pStyle w:val="Compact"/>
                    <w:jc w:val="right"/>
                    <w:jc w:val="center"/>
                  </w:pPr>
                  <w:r>
                    <w:t xml:space="preserve">0.406</w:t>
                  </w:r>
                </w:p>
              </w:tc>
              <w:tc>
                <w:tcPr/>
                <w:p>
                  <w:pPr>
                    <w:pStyle w:val="Compact"/>
                    <w:jc w:val="right"/>
                    <w:jc w:val="center"/>
                  </w:pPr>
                  <w:r>
                    <w:t xml:space="preserve">-1.562</w:t>
                  </w:r>
                </w:p>
              </w:tc>
              <w:tc>
                <w:tcPr/>
                <w:p>
                  <w:pPr>
                    <w:pStyle w:val="Compact"/>
                    <w:jc w:val="right"/>
                    <w:jc w:val="center"/>
                  </w:pPr>
                  <w:r>
                    <w:t xml:space="preserve">0.118</w:t>
                  </w:r>
                </w:p>
              </w:tc>
              <w:tc>
                <w:tcPr/>
                <w:p>
                  <w:pPr>
                    <w:pStyle w:val="Compact"/>
                    <w:jc w:val="right"/>
                    <w:jc w:val="center"/>
                  </w:pPr>
                  <w:r>
                    <w:t xml:space="preserve">NA</w:t>
                  </w:r>
                </w:p>
              </w:tc>
              <w:tc>
                <w:tcPr/>
                <w:p>
                  <w:pPr>
                    <w:pStyle w:val="Compact"/>
                    <w:jc w:val="right"/>
                    <w:jc w:val="center"/>
                  </w:pPr>
                  <w:r>
                    <w:t xml:space="preserve">-1.430</w:t>
                  </w:r>
                </w:p>
              </w:tc>
              <w:tc>
                <w:tcPr/>
                <w:p>
                  <w:pPr>
                    <w:pStyle w:val="Compact"/>
                    <w:jc w:val="right"/>
                    <w:jc w:val="center"/>
                  </w:pPr>
                  <w:r>
                    <w:t xml:space="preserve">0.162</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fetch_z</w:t>
                  </w:r>
                </w:p>
              </w:tc>
              <w:tc>
                <w:tcPr/>
                <w:p>
                  <w:pPr>
                    <w:pStyle w:val="Compact"/>
                    <w:jc w:val="right"/>
                    <w:jc w:val="center"/>
                  </w:pPr>
                  <w:r>
                    <w:t xml:space="preserve">-1.097</w:t>
                  </w:r>
                </w:p>
              </w:tc>
              <w:tc>
                <w:tcPr/>
                <w:p>
                  <w:pPr>
                    <w:pStyle w:val="Compact"/>
                    <w:jc w:val="right"/>
                    <w:jc w:val="center"/>
                  </w:pPr>
                  <w:r>
                    <w:t xml:space="preserve">0.976</w:t>
                  </w:r>
                </w:p>
              </w:tc>
              <w:tc>
                <w:tcPr/>
                <w:p>
                  <w:pPr>
                    <w:pStyle w:val="Compact"/>
                    <w:jc w:val="right"/>
                    <w:jc w:val="center"/>
                  </w:pPr>
                  <w:r>
                    <w:t xml:space="preserve">-1.124</w:t>
                  </w:r>
                </w:p>
              </w:tc>
              <w:tc>
                <w:tcPr/>
                <w:p>
                  <w:pPr>
                    <w:pStyle w:val="Compact"/>
                    <w:jc w:val="right"/>
                    <w:jc w:val="center"/>
                  </w:pPr>
                  <w:r>
                    <w:t xml:space="preserve">0.261</w:t>
                  </w:r>
                </w:p>
              </w:tc>
              <w:tc>
                <w:tcPr/>
                <w:p>
                  <w:pPr>
                    <w:pStyle w:val="Compact"/>
                    <w:jc w:val="right"/>
                    <w:jc w:val="center"/>
                  </w:pPr>
                  <w:r>
                    <w:t xml:space="preserve">NA</w:t>
                  </w:r>
                </w:p>
              </w:tc>
              <w:tc>
                <w:tcPr/>
                <w:p>
                  <w:pPr>
                    <w:pStyle w:val="Compact"/>
                    <w:jc w:val="right"/>
                    <w:jc w:val="center"/>
                  </w:pPr>
                  <w:r>
                    <w:t xml:space="preserve">-3.010</w:t>
                  </w:r>
                </w:p>
              </w:tc>
              <w:tc>
                <w:tcPr/>
                <w:p>
                  <w:pPr>
                    <w:pStyle w:val="Compact"/>
                    <w:jc w:val="right"/>
                    <w:jc w:val="center"/>
                  </w:pPr>
                  <w:r>
                    <w:t xml:space="preserve">0.816</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0.831</w:t>
                  </w:r>
                </w:p>
              </w:tc>
              <w:tc>
                <w:tcPr/>
                <w:p>
                  <w:pPr>
                    <w:pStyle w:val="Compact"/>
                    <w:jc w:val="right"/>
                    <w:jc w:val="center"/>
                  </w:pPr>
                  <w:r>
                    <w:t xml:space="preserve">0.557</w:t>
                  </w:r>
                </w:p>
              </w:tc>
              <w:tc>
                <w:tcPr/>
                <w:p>
                  <w:pPr>
                    <w:pStyle w:val="Compact"/>
                    <w:jc w:val="right"/>
                    <w:jc w:val="center"/>
                  </w:pPr>
                  <w:r>
                    <w:t xml:space="preserve">1.492</w:t>
                  </w:r>
                </w:p>
              </w:tc>
              <w:tc>
                <w:tcPr/>
                <w:p>
                  <w:pPr>
                    <w:pStyle w:val="Compact"/>
                    <w:jc w:val="right"/>
                    <w:jc w:val="center"/>
                  </w:pPr>
                  <w:r>
                    <w:t xml:space="preserve">0.136</w:t>
                  </w:r>
                </w:p>
              </w:tc>
              <w:tc>
                <w:tcPr/>
                <w:p>
                  <w:pPr>
                    <w:pStyle w:val="Compact"/>
                    <w:jc w:val="right"/>
                    <w:jc w:val="center"/>
                  </w:pPr>
                  <w:r>
                    <w:t xml:space="preserve">0.215</w:t>
                  </w:r>
                </w:p>
              </w:tc>
              <w:tc>
                <w:tcPr/>
                <w:p>
                  <w:pPr>
                    <w:pStyle w:val="Compact"/>
                    <w:jc w:val="right"/>
                    <w:jc w:val="center"/>
                  </w:pPr>
                  <w:r>
                    <w:t xml:space="preserve">-0.261</w:t>
                  </w:r>
                </w:p>
              </w:tc>
              <w:tc>
                <w:tcPr/>
                <w:p>
                  <w:pPr>
                    <w:pStyle w:val="Compact"/>
                    <w:jc w:val="right"/>
                    <w:jc w:val="center"/>
                  </w:pPr>
                  <w:r>
                    <w:t xml:space="preserve">1.922</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2.964</w:t>
                  </w:r>
                </w:p>
              </w:tc>
              <w:tc>
                <w:tcPr/>
                <w:p>
                  <w:pPr>
                    <w:pStyle w:val="Compact"/>
                    <w:jc w:val="right"/>
                    <w:jc w:val="center"/>
                  </w:pPr>
                  <w:r>
                    <w:t xml:space="preserve">2.725</w:t>
                  </w:r>
                </w:p>
              </w:tc>
              <w:tc>
                <w:tcPr/>
                <w:p>
                  <w:pPr>
                    <w:pStyle w:val="Compact"/>
                    <w:jc w:val="right"/>
                    <w:jc w:val="center"/>
                  </w:pPr>
                  <w:r>
                    <w:t xml:space="preserve">1.088</w:t>
                  </w:r>
                </w:p>
              </w:tc>
              <w:tc>
                <w:tcPr/>
                <w:p>
                  <w:pPr>
                    <w:pStyle w:val="Compact"/>
                    <w:jc w:val="right"/>
                    <w:jc w:val="center"/>
                  </w:pPr>
                  <w:r>
                    <w:t xml:space="preserve">0.277</w:t>
                  </w:r>
                </w:p>
              </w:tc>
              <w:tc>
                <w:tcPr/>
                <w:p>
                  <w:pPr>
                    <w:pStyle w:val="Compact"/>
                    <w:jc w:val="right"/>
                    <w:jc w:val="center"/>
                  </w:pPr>
                  <w:r>
                    <w:t xml:space="preserve">NA</w:t>
                  </w:r>
                </w:p>
              </w:tc>
              <w:tc>
                <w:tcPr/>
                <w:p>
                  <w:pPr>
                    <w:pStyle w:val="Compact"/>
                    <w:jc w:val="right"/>
                    <w:jc w:val="center"/>
                  </w:pPr>
                  <w:r>
                    <w:t xml:space="preserve">-2.377</w:t>
                  </w:r>
                </w:p>
              </w:tc>
              <w:tc>
                <w:tcPr/>
                <w:p>
                  <w:pPr>
                    <w:pStyle w:val="Compact"/>
                    <w:jc w:val="right"/>
                    <w:jc w:val="center"/>
                  </w:pPr>
                  <w:r>
                    <w:t xml:space="preserve">8.304</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-4.522</w:t>
                  </w:r>
                </w:p>
              </w:tc>
              <w:tc>
                <w:tcPr/>
                <w:p>
                  <w:pPr>
                    <w:pStyle w:val="Compact"/>
                    <w:jc w:val="right"/>
                    <w:jc w:val="center"/>
                  </w:pPr>
                  <w:r>
                    <w:t xml:space="preserve">4.240</w:t>
                  </w:r>
                </w:p>
              </w:tc>
              <w:tc>
                <w:tcPr/>
                <w:p>
                  <w:pPr>
                    <w:pStyle w:val="Compact"/>
                    <w:jc w:val="right"/>
                    <w:jc w:val="center"/>
                  </w:pPr>
                  <w:r>
                    <w:t xml:space="preserve">-1.066</w:t>
                  </w:r>
                </w:p>
              </w:tc>
              <w:tc>
                <w:tcPr/>
                <w:p>
                  <w:pPr>
                    <w:pStyle w:val="Compact"/>
                    <w:jc w:val="right"/>
                    <w:jc w:val="center"/>
                  </w:pPr>
                  <w:r>
                    <w:t xml:space="preserve">0.286</w:t>
                  </w:r>
                </w:p>
              </w:tc>
              <w:tc>
                <w:tcPr/>
                <w:p>
                  <w:pPr>
                    <w:pStyle w:val="Compact"/>
                    <w:jc w:val="right"/>
                    <w:jc w:val="center"/>
                  </w:pPr>
                  <w:r>
                    <w:t xml:space="preserve">NA</w:t>
                  </w:r>
                </w:p>
              </w:tc>
              <w:tc>
                <w:tcPr/>
                <w:p>
                  <w:pPr>
                    <w:pStyle w:val="Compact"/>
                    <w:jc w:val="right"/>
                    <w:jc w:val="center"/>
                  </w:pPr>
                  <w:r>
                    <w:t xml:space="preserve">-12.833</w:t>
                  </w:r>
                </w:p>
              </w:tc>
              <w:tc>
                <w:tcPr/>
                <w:p>
                  <w:pPr>
                    <w:pStyle w:val="Compact"/>
                    <w:jc w:val="right"/>
                    <w:jc w:val="center"/>
                  </w:pPr>
                  <w:r>
                    <w:t xml:space="preserve">3.789</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-0.974</w:t>
                  </w:r>
                </w:p>
              </w:tc>
              <w:tc>
                <w:tcPr/>
                <w:p>
                  <w:pPr>
                    <w:pStyle w:val="Compact"/>
                    <w:jc w:val="right"/>
                    <w:jc w:val="center"/>
                  </w:pPr>
                  <w:r>
                    <w:t xml:space="preserve">0.688</w:t>
                  </w:r>
                </w:p>
              </w:tc>
              <w:tc>
                <w:tcPr/>
                <w:p>
                  <w:pPr>
                    <w:pStyle w:val="Compact"/>
                    <w:jc w:val="right"/>
                    <w:jc w:val="center"/>
                  </w:pPr>
                  <w:r>
                    <w:t xml:space="preserve">-1.416</w:t>
                  </w:r>
                </w:p>
              </w:tc>
              <w:tc>
                <w:tcPr/>
                <w:p>
                  <w:pPr>
                    <w:pStyle w:val="Compact"/>
                    <w:jc w:val="right"/>
                    <w:jc w:val="center"/>
                  </w:pPr>
                  <w:r>
                    <w:t xml:space="preserve">0.157</w:t>
                  </w:r>
                </w:p>
              </w:tc>
              <w:tc>
                <w:tcPr/>
                <w:p>
                  <w:pPr>
                    <w:pStyle w:val="Compact"/>
                    <w:jc w:val="right"/>
                    <w:jc w:val="center"/>
                  </w:pPr>
                  <w:r>
                    <w:t xml:space="preserve">NA</w:t>
                  </w:r>
                </w:p>
              </w:tc>
              <w:tc>
                <w:tcPr/>
                <w:p>
                  <w:pPr>
                    <w:pStyle w:val="Compact"/>
                    <w:jc w:val="right"/>
                    <w:jc w:val="center"/>
                  </w:pPr>
                  <w:r>
                    <w:t xml:space="preserve">-2.323</w:t>
                  </w:r>
                </w:p>
              </w:tc>
              <w:tc>
                <w:tcPr/>
                <w:p>
                  <w:pPr>
                    <w:pStyle w:val="Compact"/>
                    <w:jc w:val="right"/>
                    <w:jc w:val="center"/>
                  </w:pPr>
                  <w:r>
                    <w:t xml:space="preserve">0.374</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fetch_z</w:t>
                  </w:r>
                </w:p>
              </w:tc>
              <w:tc>
                <w:tcPr/>
                <w:p>
                  <w:pPr>
                    <w:pStyle w:val="Compact"/>
                    <w:jc w:val="right"/>
                    <w:jc w:val="center"/>
                  </w:pPr>
                  <w:r>
                    <w:t xml:space="preserve">-0.886</w:t>
                  </w:r>
                </w:p>
              </w:tc>
              <w:tc>
                <w:tcPr/>
                <w:p>
                  <w:pPr>
                    <w:pStyle w:val="Compact"/>
                    <w:jc w:val="right"/>
                    <w:jc w:val="center"/>
                  </w:pPr>
                  <w:r>
                    <w:t xml:space="preserve">1.390</w:t>
                  </w:r>
                </w:p>
              </w:tc>
              <w:tc>
                <w:tcPr/>
                <w:p>
                  <w:pPr>
                    <w:pStyle w:val="Compact"/>
                    <w:jc w:val="right"/>
                    <w:jc w:val="center"/>
                  </w:pPr>
                  <w:r>
                    <w:t xml:space="preserve">-0.638</w:t>
                  </w:r>
                </w:p>
              </w:tc>
              <w:tc>
                <w:tcPr/>
                <w:p>
                  <w:pPr>
                    <w:pStyle w:val="Compact"/>
                    <w:jc w:val="right"/>
                    <w:jc w:val="center"/>
                  </w:pPr>
                  <w:r>
                    <w:t xml:space="preserve">0.524</w:t>
                  </w:r>
                </w:p>
              </w:tc>
              <w:tc>
                <w:tcPr/>
                <w:p>
                  <w:pPr>
                    <w:pStyle w:val="Compact"/>
                    <w:jc w:val="right"/>
                    <w:jc w:val="center"/>
                  </w:pPr>
                  <w:r>
                    <w:t xml:space="preserve">NA</w:t>
                  </w:r>
                </w:p>
              </w:tc>
              <w:tc>
                <w:tcPr/>
                <w:p>
                  <w:pPr>
                    <w:pStyle w:val="Compact"/>
                    <w:jc w:val="right"/>
                    <w:jc w:val="center"/>
                  </w:pPr>
                  <w:r>
                    <w:t xml:space="preserve">-3.610</w:t>
                  </w:r>
                </w:p>
              </w:tc>
              <w:tc>
                <w:tcPr/>
                <w:p>
                  <w:pPr>
                    <w:pStyle w:val="Compact"/>
                    <w:jc w:val="right"/>
                    <w:jc w:val="center"/>
                  </w:pPr>
                  <w:r>
                    <w:t xml:space="preserve">1.837</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1.357</w:t>
                  </w:r>
                </w:p>
              </w:tc>
              <w:tc>
                <w:tcPr/>
                <w:p>
                  <w:pPr>
                    <w:pStyle w:val="Compact"/>
                    <w:jc w:val="right"/>
                    <w:jc w:val="center"/>
                  </w:pPr>
                  <w:r>
                    <w:t xml:space="preserve">0.974</w:t>
                  </w:r>
                </w:p>
              </w:tc>
              <w:tc>
                <w:tcPr/>
                <w:p>
                  <w:pPr>
                    <w:pStyle w:val="Compact"/>
                    <w:jc w:val="right"/>
                    <w:jc w:val="center"/>
                  </w:pPr>
                  <w:r>
                    <w:t xml:space="preserve">1.393</w:t>
                  </w:r>
                </w:p>
              </w:tc>
              <w:tc>
                <w:tcPr/>
                <w:p>
                  <w:pPr>
                    <w:pStyle w:val="Compact"/>
                    <w:jc w:val="right"/>
                    <w:jc w:val="center"/>
                  </w:pPr>
                  <w:r>
                    <w:t xml:space="preserve">0.164</w:t>
                  </w:r>
                </w:p>
              </w:tc>
              <w:tc>
                <w:tcPr/>
                <w:p>
                  <w:pPr>
                    <w:pStyle w:val="Compact"/>
                    <w:jc w:val="right"/>
                    <w:jc w:val="center"/>
                  </w:pPr>
                  <w:r>
                    <w:t xml:space="preserve">0.215</w:t>
                  </w:r>
                </w:p>
              </w:tc>
              <w:tc>
                <w:tcPr/>
                <w:p>
                  <w:pPr>
                    <w:pStyle w:val="Compact"/>
                    <w:jc w:val="right"/>
                    <w:jc w:val="center"/>
                  </w:pPr>
                  <w:r>
                    <w:t xml:space="preserve">-0.552</w:t>
                  </w:r>
                </w:p>
              </w:tc>
              <w:tc>
                <w:tcPr/>
                <w:p>
                  <w:pPr>
                    <w:pStyle w:val="Compact"/>
                    <w:jc w:val="right"/>
                    <w:jc w:val="center"/>
                  </w:pPr>
                  <w:r>
                    <w:t xml:space="preserve">3.266</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-0.952</w:t>
                  </w:r>
                </w:p>
              </w:tc>
              <w:tc>
                <w:tcPr/>
                <w:p>
                  <w:pPr>
                    <w:pStyle w:val="Compact"/>
                    <w:jc w:val="right"/>
                    <w:jc w:val="center"/>
                  </w:pPr>
                  <w:r>
                    <w:t xml:space="preserve">1.737</w:t>
                  </w:r>
                </w:p>
              </w:tc>
              <w:tc>
                <w:tcPr/>
                <w:p>
                  <w:pPr>
                    <w:pStyle w:val="Compact"/>
                    <w:jc w:val="right"/>
                    <w:jc w:val="center"/>
                  </w:pPr>
                  <w:r>
                    <w:t xml:space="preserve">-0.548</w:t>
                  </w:r>
                </w:p>
              </w:tc>
              <w:tc>
                <w:tcPr/>
                <w:p>
                  <w:pPr>
                    <w:pStyle w:val="Compact"/>
                    <w:jc w:val="right"/>
                    <w:jc w:val="center"/>
                  </w:pPr>
                  <w:r>
                    <w:t xml:space="preserve">0.584</w:t>
                  </w:r>
                </w:p>
              </w:tc>
              <w:tc>
                <w:tcPr/>
                <w:p>
                  <w:pPr>
                    <w:pStyle w:val="Compact"/>
                    <w:jc w:val="right"/>
                    <w:jc w:val="center"/>
                  </w:pPr>
                  <w:r>
                    <w:t xml:space="preserve">NA</w:t>
                  </w:r>
                </w:p>
              </w:tc>
              <w:tc>
                <w:tcPr/>
                <w:p>
                  <w:pPr>
                    <w:pStyle w:val="Compact"/>
                    <w:jc w:val="right"/>
                    <w:jc w:val="center"/>
                  </w:pPr>
                  <w:r>
                    <w:t xml:space="preserve">-4.357</w:t>
                  </w:r>
                </w:p>
              </w:tc>
              <w:tc>
                <w:tcPr/>
                <w:p>
                  <w:pPr>
                    <w:pStyle w:val="Compact"/>
                    <w:jc w:val="right"/>
                    <w:jc w:val="center"/>
                  </w:pPr>
                  <w:r>
                    <w:t xml:space="preserve">2.453</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-2.013</w:t>
                  </w:r>
                </w:p>
              </w:tc>
              <w:tc>
                <w:tcPr/>
                <w:p>
                  <w:pPr>
                    <w:pStyle w:val="Compact"/>
                    <w:jc w:val="right"/>
                    <w:jc w:val="center"/>
                  </w:pPr>
                  <w:r>
                    <w:t xml:space="preserve">1.936</w:t>
                  </w:r>
                </w:p>
              </w:tc>
              <w:tc>
                <w:tcPr/>
                <w:p>
                  <w:pPr>
                    <w:pStyle w:val="Compact"/>
                    <w:jc w:val="right"/>
                    <w:jc w:val="center"/>
                  </w:pPr>
                  <w:r>
                    <w:t xml:space="preserve">-1.040</w:t>
                  </w:r>
                </w:p>
              </w:tc>
              <w:tc>
                <w:tcPr/>
                <w:p>
                  <w:pPr>
                    <w:pStyle w:val="Compact"/>
                    <w:jc w:val="right"/>
                    <w:jc w:val="center"/>
                  </w:pPr>
                  <w:r>
                    <w:t xml:space="preserve">0.298</w:t>
                  </w:r>
                </w:p>
              </w:tc>
              <w:tc>
                <w:tcPr/>
                <w:p>
                  <w:pPr>
                    <w:pStyle w:val="Compact"/>
                    <w:jc w:val="right"/>
                    <w:jc w:val="center"/>
                  </w:pPr>
                  <w:r>
                    <w:t xml:space="preserve">NA</w:t>
                  </w:r>
                </w:p>
              </w:tc>
              <w:tc>
                <w:tcPr/>
                <w:p>
                  <w:pPr>
                    <w:pStyle w:val="Compact"/>
                    <w:jc w:val="right"/>
                    <w:jc w:val="center"/>
                  </w:pPr>
                  <w:r>
                    <w:t xml:space="preserve">-5.808</w:t>
                  </w:r>
                </w:p>
              </w:tc>
              <w:tc>
                <w:tcPr/>
                <w:p>
                  <w:pPr>
                    <w:pStyle w:val="Compact"/>
                    <w:jc w:val="right"/>
                    <w:jc w:val="center"/>
                  </w:pPr>
                  <w:r>
                    <w:t xml:space="preserve">1.781</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-0.565</w:t>
                  </w:r>
                </w:p>
              </w:tc>
              <w:tc>
                <w:tcPr/>
                <w:p>
                  <w:pPr>
                    <w:pStyle w:val="Compact"/>
                    <w:jc w:val="right"/>
                    <w:jc w:val="center"/>
                  </w:pPr>
                  <w:r>
                    <w:t xml:space="preserve">0.420</w:t>
                  </w:r>
                </w:p>
              </w:tc>
              <w:tc>
                <w:tcPr/>
                <w:p>
                  <w:pPr>
                    <w:pStyle w:val="Compact"/>
                    <w:jc w:val="right"/>
                    <w:jc w:val="center"/>
                  </w:pPr>
                  <w:r>
                    <w:t xml:space="preserve">-1.345</w:t>
                  </w:r>
                </w:p>
              </w:tc>
              <w:tc>
                <w:tcPr/>
                <w:p>
                  <w:pPr>
                    <w:pStyle w:val="Compact"/>
                    <w:jc w:val="right"/>
                    <w:jc w:val="center"/>
                  </w:pPr>
                  <w:r>
                    <w:t xml:space="preserve">0.179</w:t>
                  </w:r>
                </w:p>
              </w:tc>
              <w:tc>
                <w:tcPr/>
                <w:p>
                  <w:pPr>
                    <w:pStyle w:val="Compact"/>
                    <w:jc w:val="right"/>
                    <w:jc w:val="center"/>
                  </w:pPr>
                  <w:r>
                    <w:t xml:space="preserve">NA</w:t>
                  </w:r>
                </w:p>
              </w:tc>
              <w:tc>
                <w:tcPr/>
                <w:p>
                  <w:pPr>
                    <w:pStyle w:val="Compact"/>
                    <w:jc w:val="right"/>
                    <w:jc w:val="center"/>
                  </w:pPr>
                  <w:r>
                    <w:t xml:space="preserve">-1.388</w:t>
                  </w:r>
                </w:p>
              </w:tc>
              <w:tc>
                <w:tcPr/>
                <w:p>
                  <w:pPr>
                    <w:pStyle w:val="Compact"/>
                    <w:jc w:val="right"/>
                    <w:jc w:val="center"/>
                  </w:pPr>
                  <w:r>
                    <w:t xml:space="preserve">0.258</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fetch_z</w:t>
                  </w:r>
                </w:p>
              </w:tc>
              <w:tc>
                <w:tcPr/>
                <w:p>
                  <w:pPr>
                    <w:pStyle w:val="Compact"/>
                    <w:jc w:val="right"/>
                    <w:jc w:val="center"/>
                  </w:pPr>
                  <w:r>
                    <w:t xml:space="preserve">-0.858</w:t>
                  </w:r>
                </w:p>
              </w:tc>
              <w:tc>
                <w:tcPr/>
                <w:p>
                  <w:pPr>
                    <w:pStyle w:val="Compact"/>
                    <w:jc w:val="right"/>
                    <w:jc w:val="center"/>
                  </w:pPr>
                  <w:r>
                    <w:t xml:space="preserve">1.121</w:t>
                  </w:r>
                </w:p>
              </w:tc>
              <w:tc>
                <w:tcPr/>
                <w:p>
                  <w:pPr>
                    <w:pStyle w:val="Compact"/>
                    <w:jc w:val="right"/>
                    <w:jc w:val="center"/>
                  </w:pPr>
                  <w:r>
                    <w:t xml:space="preserve">-0.766</w:t>
                  </w:r>
                </w:p>
              </w:tc>
              <w:tc>
                <w:tcPr/>
                <w:p>
                  <w:pPr>
                    <w:pStyle w:val="Compact"/>
                    <w:jc w:val="right"/>
                    <w:jc w:val="center"/>
                  </w:pPr>
                  <w:r>
                    <w:t xml:space="preserve">0.444</w:t>
                  </w:r>
                </w:p>
              </w:tc>
              <w:tc>
                <w:tcPr/>
                <w:p>
                  <w:pPr>
                    <w:pStyle w:val="Compact"/>
                    <w:jc w:val="right"/>
                    <w:jc w:val="center"/>
                  </w:pPr>
                  <w:r>
                    <w:t xml:space="preserve">NA</w:t>
                  </w:r>
                </w:p>
              </w:tc>
              <w:tc>
                <w:tcPr/>
                <w:p>
                  <w:pPr>
                    <w:pStyle w:val="Compact"/>
                    <w:jc w:val="right"/>
                    <w:jc w:val="center"/>
                  </w:pPr>
                  <w:r>
                    <w:t xml:space="preserve">-3.055</w:t>
                  </w:r>
                </w:p>
              </w:tc>
              <w:tc>
                <w:tcPr/>
                <w:p>
                  <w:pPr>
                    <w:pStyle w:val="Compact"/>
                    <w:jc w:val="right"/>
                    <w:jc w:val="center"/>
                  </w:pPr>
                  <w:r>
                    <w:t xml:space="preserve">1.339</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0.735</w:t>
                  </w:r>
                </w:p>
              </w:tc>
              <w:tc>
                <w:tcPr/>
                <w:p>
                  <w:pPr>
                    <w:pStyle w:val="Compact"/>
                    <w:jc w:val="right"/>
                    <w:jc w:val="center"/>
                  </w:pPr>
                  <w:r>
                    <w:t xml:space="preserve">0.546</w:t>
                  </w:r>
                </w:p>
              </w:tc>
              <w:tc>
                <w:tcPr/>
                <w:p>
                  <w:pPr>
                    <w:pStyle w:val="Compact"/>
                    <w:jc w:val="right"/>
                    <w:jc w:val="center"/>
                  </w:pPr>
                  <w:r>
                    <w:t xml:space="preserve">1.344</w:t>
                  </w:r>
                </w:p>
              </w:tc>
              <w:tc>
                <w:tcPr/>
                <w:p>
                  <w:pPr>
                    <w:pStyle w:val="Compact"/>
                    <w:jc w:val="right"/>
                    <w:jc w:val="center"/>
                  </w:pPr>
                  <w:r>
                    <w:t xml:space="preserve">0.179</w:t>
                  </w:r>
                </w:p>
              </w:tc>
              <w:tc>
                <w:tcPr/>
                <w:p>
                  <w:pPr>
                    <w:pStyle w:val="Compact"/>
                    <w:jc w:val="right"/>
                    <w:jc w:val="center"/>
                  </w:pPr>
                  <w:r>
                    <w:t xml:space="preserve">0.215</w:t>
                  </w:r>
                </w:p>
              </w:tc>
              <w:tc>
                <w:tcPr/>
                <w:p>
                  <w:pPr>
                    <w:pStyle w:val="Compact"/>
                    <w:jc w:val="right"/>
                    <w:jc w:val="center"/>
                  </w:pPr>
                  <w:r>
                    <w:t xml:space="preserve">-0.336</w:t>
                  </w:r>
                </w:p>
              </w:tc>
              <w:tc>
                <w:tcPr/>
                <w:p>
                  <w:pPr>
                    <w:pStyle w:val="Compact"/>
                    <w:jc w:val="right"/>
                    <w:jc w:val="center"/>
                  </w:pPr>
                  <w:r>
                    <w:t xml:space="preserve">1.806</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0.084</w:t>
                  </w:r>
                </w:p>
              </w:tc>
              <w:tc>
                <w:tcPr/>
                <w:p>
                  <w:pPr>
                    <w:pStyle w:val="Compact"/>
                    <w:jc w:val="right"/>
                    <w:jc w:val="center"/>
                  </w:pPr>
                  <w:r>
                    <w:t xml:space="preserve">0.846</w:t>
                  </w:r>
                </w:p>
              </w:tc>
              <w:tc>
                <w:tcPr/>
                <w:p>
                  <w:pPr>
                    <w:pStyle w:val="Compact"/>
                    <w:jc w:val="right"/>
                    <w:jc w:val="center"/>
                  </w:pPr>
                  <w:r>
                    <w:t xml:space="preserve">0.099</w:t>
                  </w:r>
                </w:p>
              </w:tc>
              <w:tc>
                <w:tcPr/>
                <w:p>
                  <w:pPr>
                    <w:pStyle w:val="Compact"/>
                    <w:jc w:val="right"/>
                    <w:jc w:val="center"/>
                  </w:pPr>
                  <w:r>
                    <w:t xml:space="preserve">0.921</w:t>
                  </w:r>
                </w:p>
              </w:tc>
              <w:tc>
                <w:tcPr/>
                <w:p>
                  <w:pPr>
                    <w:pStyle w:val="Compact"/>
                    <w:jc w:val="right"/>
                    <w:jc w:val="center"/>
                  </w:pPr>
                  <w:r>
                    <w:t xml:space="preserve">NA</w:t>
                  </w:r>
                </w:p>
              </w:tc>
              <w:tc>
                <w:tcPr/>
                <w:p>
                  <w:pPr>
                    <w:pStyle w:val="Compact"/>
                    <w:jc w:val="right"/>
                    <w:jc w:val="center"/>
                  </w:pPr>
                  <w:r>
                    <w:t xml:space="preserve">-1.573</w:t>
                  </w:r>
                </w:p>
              </w:tc>
              <w:tc>
                <w:tcPr/>
                <w:p>
                  <w:pPr>
                    <w:pStyle w:val="Compact"/>
                    <w:jc w:val="right"/>
                    <w:jc w:val="center"/>
                  </w:pPr>
                  <w:r>
                    <w:t xml:space="preserve">1.741</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0.323</w:t>
                  </w:r>
                </w:p>
              </w:tc>
              <w:tc>
                <w:tcPr/>
                <w:p>
                  <w:pPr>
                    <w:pStyle w:val="Compact"/>
                    <w:jc w:val="right"/>
                    <w:jc w:val="center"/>
                  </w:pPr>
                  <w:r>
                    <w:t xml:space="preserve">0.808</w:t>
                  </w:r>
                </w:p>
              </w:tc>
              <w:tc>
                <w:tcPr/>
                <w:p>
                  <w:pPr>
                    <w:pStyle w:val="Compact"/>
                    <w:jc w:val="right"/>
                    <w:jc w:val="center"/>
                  </w:pPr>
                  <w:r>
                    <w:t xml:space="preserve">0.400</w:t>
                  </w:r>
                </w:p>
              </w:tc>
              <w:tc>
                <w:tcPr/>
                <w:p>
                  <w:pPr>
                    <w:pStyle w:val="Compact"/>
                    <w:jc w:val="right"/>
                    <w:jc w:val="center"/>
                  </w:pPr>
                  <w:r>
                    <w:t xml:space="preserve">0.689</w:t>
                  </w:r>
                </w:p>
              </w:tc>
              <w:tc>
                <w:tcPr/>
                <w:p>
                  <w:pPr>
                    <w:pStyle w:val="Compact"/>
                    <w:jc w:val="right"/>
                    <w:jc w:val="center"/>
                  </w:pPr>
                  <w:r>
                    <w:t xml:space="preserve">NA</w:t>
                  </w:r>
                </w:p>
              </w:tc>
              <w:tc>
                <w:tcPr/>
                <w:p>
                  <w:pPr>
                    <w:pStyle w:val="Compact"/>
                    <w:jc w:val="right"/>
                    <w:jc w:val="center"/>
                  </w:pPr>
                  <w:r>
                    <w:t xml:space="preserve">-1.261</w:t>
                  </w:r>
                </w:p>
              </w:tc>
              <w:tc>
                <w:tcPr/>
                <w:p>
                  <w:pPr>
                    <w:pStyle w:val="Compact"/>
                    <w:jc w:val="right"/>
                    <w:jc w:val="center"/>
                  </w:pPr>
                  <w:r>
                    <w:t xml:space="preserve">1.907</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-0.409</w:t>
                  </w:r>
                </w:p>
              </w:tc>
              <w:tc>
                <w:tcPr/>
                <w:p>
                  <w:pPr>
                    <w:pStyle w:val="Compact"/>
                    <w:jc w:val="right"/>
                    <w:jc w:val="center"/>
                  </w:pPr>
                  <w:r>
                    <w:t xml:space="preserve">0.143</w:t>
                  </w:r>
                </w:p>
              </w:tc>
              <w:tc>
                <w:tcPr/>
                <w:p>
                  <w:pPr>
                    <w:pStyle w:val="Compact"/>
                    <w:jc w:val="right"/>
                    <w:jc w:val="center"/>
                  </w:pPr>
                  <w:r>
                    <w:t xml:space="preserve">-2.861</w:t>
                  </w:r>
                </w:p>
              </w:tc>
              <w:tc>
                <w:tcPr/>
                <w:p>
                  <w:pPr>
                    <w:pStyle w:val="Compact"/>
                    <w:jc w:val="right"/>
                    <w:jc w:val="center"/>
                  </w:pPr>
                  <w:r>
                    <w:t xml:space="preserve">0.004</w:t>
                  </w:r>
                </w:p>
              </w:tc>
              <w:tc>
                <w:tcPr/>
                <w:p>
                  <w:pPr>
                    <w:pStyle w:val="Compact"/>
                    <w:jc w:val="right"/>
                    <w:jc w:val="center"/>
                  </w:pPr>
                  <w:r>
                    <w:t xml:space="preserve">NA</w:t>
                  </w:r>
                </w:p>
              </w:tc>
              <w:tc>
                <w:tcPr/>
                <w:p>
                  <w:pPr>
                    <w:pStyle w:val="Compact"/>
                    <w:jc w:val="right"/>
                    <w:jc w:val="center"/>
                  </w:pPr>
                  <w:r>
                    <w:t xml:space="preserve">-0.690</w:t>
                  </w:r>
                </w:p>
              </w:tc>
              <w:tc>
                <w:tcPr/>
                <w:p>
                  <w:pPr>
                    <w:pStyle w:val="Compact"/>
                    <w:jc w:val="right"/>
                    <w:jc w:val="center"/>
                  </w:pPr>
                  <w:r>
                    <w:t xml:space="preserve">-0.129</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0.243</w:t>
                  </w:r>
                </w:p>
              </w:tc>
              <w:tc>
                <w:tcPr/>
                <w:p>
                  <w:pPr>
                    <w:pStyle w:val="Compact"/>
                    <w:jc w:val="right"/>
                    <w:jc w:val="center"/>
                  </w:pPr>
                  <w:r>
                    <w:t xml:space="preserve">0.179</w:t>
                  </w:r>
                </w:p>
              </w:tc>
              <w:tc>
                <w:tcPr/>
                <w:p>
                  <w:pPr>
                    <w:pStyle w:val="Compact"/>
                    <w:jc w:val="right"/>
                    <w:jc w:val="center"/>
                  </w:pPr>
                  <w:r>
                    <w:t xml:space="preserve">1.359</w:t>
                  </w:r>
                </w:p>
              </w:tc>
              <w:tc>
                <w:tcPr/>
                <w:p>
                  <w:pPr>
                    <w:pStyle w:val="Compact"/>
                    <w:jc w:val="right"/>
                    <w:jc w:val="center"/>
                  </w:pPr>
                  <w:r>
                    <w:t xml:space="preserve">0.174</w:t>
                  </w:r>
                </w:p>
              </w:tc>
              <w:tc>
                <w:tcPr/>
                <w:p>
                  <w:pPr>
                    <w:pStyle w:val="Compact"/>
                    <w:jc w:val="right"/>
                    <w:jc w:val="center"/>
                  </w:pPr>
                  <w:r>
                    <w:t xml:space="preserve">0.215</w:t>
                  </w:r>
                </w:p>
              </w:tc>
              <w:tc>
                <w:tcPr/>
                <w:p>
                  <w:pPr>
                    <w:pStyle w:val="Compact"/>
                    <w:jc w:val="right"/>
                    <w:jc w:val="center"/>
                  </w:pPr>
                  <w:r>
                    <w:t xml:space="preserve">-0.107</w:t>
                  </w:r>
                </w:p>
              </w:tc>
              <w:tc>
                <w:tcPr/>
                <w:p>
                  <w:pPr>
                    <w:pStyle w:val="Compact"/>
                    <w:jc w:val="right"/>
                    <w:jc w:val="center"/>
                  </w:pPr>
                  <w:r>
                    <w:t xml:space="preserve">0.593</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3.270</w:t>
                  </w:r>
                </w:p>
              </w:tc>
              <w:tc>
                <w:tcPr/>
                <w:p>
                  <w:pPr>
                    <w:pStyle w:val="Compact"/>
                    <w:jc w:val="right"/>
                    <w:jc w:val="center"/>
                  </w:pPr>
                  <w:r>
                    <w:t xml:space="preserve">0.856</w:t>
                  </w:r>
                </w:p>
              </w:tc>
              <w:tc>
                <w:tcPr/>
                <w:p>
                  <w:pPr>
                    <w:pStyle w:val="Compact"/>
                    <w:jc w:val="right"/>
                    <w:jc w:val="center"/>
                  </w:pPr>
                  <w:r>
                    <w:t xml:space="preserve">3.821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1.593</w:t>
                  </w:r>
                </w:p>
              </w:tc>
              <w:tc>
                <w:tcPr/>
                <w:p>
                  <w:pPr>
                    <w:pStyle w:val="Compact"/>
                    <w:jc w:val="right"/>
                    <w:jc w:val="center"/>
                  </w:pPr>
                  <w:r>
                    <w:t xml:space="preserve">4.948</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-0.077</w:t>
                  </w:r>
                </w:p>
              </w:tc>
              <w:tc>
                <w:tcPr/>
                <w:p>
                  <w:pPr>
                    <w:pStyle w:val="Compact"/>
                    <w:jc w:val="right"/>
                    <w:jc w:val="center"/>
                  </w:pPr>
                  <w:r>
                    <w:t xml:space="preserve">0.986</w:t>
                  </w:r>
                </w:p>
              </w:tc>
              <w:tc>
                <w:tcPr/>
                <w:p>
                  <w:pPr>
                    <w:pStyle w:val="Compact"/>
                    <w:jc w:val="right"/>
                    <w:jc w:val="center"/>
                  </w:pPr>
                  <w:r>
                    <w:t xml:space="preserve">-0.078</w:t>
                  </w:r>
                </w:p>
              </w:tc>
              <w:tc>
                <w:tcPr/>
                <w:p>
                  <w:pPr>
                    <w:pStyle w:val="Compact"/>
                    <w:jc w:val="right"/>
                    <w:jc w:val="center"/>
                  </w:pPr>
                  <w:r>
                    <w:t xml:space="preserve">0.938</w:t>
                  </w:r>
                </w:p>
              </w:tc>
              <w:tc>
                <w:tcPr/>
                <w:p>
                  <w:pPr>
                    <w:pStyle w:val="Compact"/>
                    <w:jc w:val="right"/>
                    <w:jc w:val="center"/>
                  </w:pPr>
                  <w:r>
                    <w:t xml:space="preserve">NA</w:t>
                  </w:r>
                </w:p>
              </w:tc>
              <w:tc>
                <w:tcPr/>
                <w:p>
                  <w:pPr>
                    <w:pStyle w:val="Compact"/>
                    <w:jc w:val="right"/>
                    <w:jc w:val="center"/>
                  </w:pPr>
                  <w:r>
                    <w:t xml:space="preserve">-2.010</w:t>
                  </w:r>
                </w:p>
              </w:tc>
              <w:tc>
                <w:tcPr/>
                <w:p>
                  <w:pPr>
                    <w:pStyle w:val="Compact"/>
                    <w:jc w:val="right"/>
                    <w:jc w:val="center"/>
                  </w:pPr>
                  <w:r>
                    <w:t xml:space="preserve">1.856</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-0.427</w:t>
                  </w:r>
                </w:p>
              </w:tc>
              <w:tc>
                <w:tcPr/>
                <w:p>
                  <w:pPr>
                    <w:pStyle w:val="Compact"/>
                    <w:jc w:val="right"/>
                    <w:jc w:val="center"/>
                  </w:pPr>
                  <w:r>
                    <w:t xml:space="preserve">0.191</w:t>
                  </w:r>
                </w:p>
              </w:tc>
              <w:tc>
                <w:tcPr/>
                <w:p>
                  <w:pPr>
                    <w:pStyle w:val="Compact"/>
                    <w:jc w:val="right"/>
                    <w:jc w:val="center"/>
                  </w:pPr>
                  <w:r>
                    <w:t xml:space="preserve">-2.240</w:t>
                  </w:r>
                </w:p>
              </w:tc>
              <w:tc>
                <w:tcPr/>
                <w:p>
                  <w:pPr>
                    <w:pStyle w:val="Compact"/>
                    <w:jc w:val="right"/>
                    <w:jc w:val="center"/>
                  </w:pPr>
                  <w:r>
                    <w:t xml:space="preserve">0.025</w:t>
                  </w:r>
                </w:p>
              </w:tc>
              <w:tc>
                <w:tcPr/>
                <w:p>
                  <w:pPr>
                    <w:pStyle w:val="Compact"/>
                    <w:jc w:val="right"/>
                    <w:jc w:val="center"/>
                  </w:pPr>
                  <w:r>
                    <w:t xml:space="preserve">NA</w:t>
                  </w:r>
                </w:p>
              </w:tc>
              <w:tc>
                <w:tcPr/>
                <w:p>
                  <w:pPr>
                    <w:pStyle w:val="Compact"/>
                    <w:jc w:val="right"/>
                    <w:jc w:val="center"/>
                  </w:pPr>
                  <w:r>
                    <w:t xml:space="preserve">-0.800</w:t>
                  </w:r>
                </w:p>
              </w:tc>
              <w:tc>
                <w:tcPr/>
                <w:p>
                  <w:pPr>
                    <w:pStyle w:val="Compact"/>
                    <w:jc w:val="right"/>
                    <w:jc w:val="center"/>
                  </w:pPr>
                  <w:r>
                    <w:t xml:space="preserve">-0.053</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0.366</w:t>
                  </w:r>
                </w:p>
              </w:tc>
              <w:tc>
                <w:tcPr/>
                <w:p>
                  <w:pPr>
                    <w:pStyle w:val="Compact"/>
                    <w:jc w:val="right"/>
                    <w:jc w:val="center"/>
                  </w:pPr>
                  <w:r>
                    <w:t xml:space="preserve">0.239</w:t>
                  </w:r>
                </w:p>
              </w:tc>
              <w:tc>
                <w:tcPr/>
                <w:p>
                  <w:pPr>
                    <w:pStyle w:val="Compact"/>
                    <w:jc w:val="right"/>
                    <w:jc w:val="center"/>
                  </w:pPr>
                  <w:r>
                    <w:t xml:space="preserve">1.531</w:t>
                  </w:r>
                </w:p>
              </w:tc>
              <w:tc>
                <w:tcPr/>
                <w:p>
                  <w:pPr>
                    <w:pStyle w:val="Compact"/>
                    <w:jc w:val="right"/>
                    <w:jc w:val="center"/>
                  </w:pPr>
                  <w:r>
                    <w:t xml:space="preserve">0.126</w:t>
                  </w:r>
                </w:p>
              </w:tc>
              <w:tc>
                <w:tcPr/>
                <w:p>
                  <w:pPr>
                    <w:pStyle w:val="Compact"/>
                    <w:jc w:val="right"/>
                    <w:jc w:val="center"/>
                  </w:pPr>
                  <w:r>
                    <w:t xml:space="preserve">0.215</w:t>
                  </w:r>
                </w:p>
              </w:tc>
              <w:tc>
                <w:tcPr/>
                <w:p>
                  <w:pPr>
                    <w:pStyle w:val="Compact"/>
                    <w:jc w:val="right"/>
                    <w:jc w:val="center"/>
                  </w:pPr>
                  <w:r>
                    <w:t xml:space="preserve">-0.103</w:t>
                  </w:r>
                </w:p>
              </w:tc>
              <w:tc>
                <w:tcPr/>
                <w:p>
                  <w:pPr>
                    <w:pStyle w:val="Compact"/>
                    <w:jc w:val="right"/>
                    <w:jc w:val="center"/>
                  </w:pPr>
                  <w:r>
                    <w:t xml:space="preserve">0.834</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1.585</w:t>
                  </w:r>
                </w:p>
              </w:tc>
              <w:tc>
                <w:tcPr/>
                <w:p>
                  <w:pPr>
                    <w:pStyle w:val="Compact"/>
                    <w:jc w:val="right"/>
                    <w:jc w:val="center"/>
                  </w:pPr>
                  <w:r>
                    <w:t xml:space="preserve">1.885</w:t>
                  </w:r>
                </w:p>
              </w:tc>
              <w:tc>
                <w:tcPr/>
                <w:p>
                  <w:pPr>
                    <w:pStyle w:val="Compact"/>
                    <w:jc w:val="right"/>
                    <w:jc w:val="center"/>
                  </w:pPr>
                  <w:r>
                    <w:t xml:space="preserve">0.841</w:t>
                  </w:r>
                </w:p>
              </w:tc>
              <w:tc>
                <w:tcPr/>
                <w:p>
                  <w:pPr>
                    <w:pStyle w:val="Compact"/>
                    <w:jc w:val="right"/>
                    <w:jc w:val="center"/>
                  </w:pPr>
                  <w:r>
                    <w:t xml:space="preserve">0.400</w:t>
                  </w:r>
                </w:p>
              </w:tc>
              <w:tc>
                <w:tcPr/>
                <w:p>
                  <w:pPr>
                    <w:pStyle w:val="Compact"/>
                    <w:jc w:val="right"/>
                    <w:jc w:val="center"/>
                  </w:pPr>
                  <w:r>
                    <w:t xml:space="preserve">NA</w:t>
                  </w:r>
                </w:p>
              </w:tc>
              <w:tc>
                <w:tcPr/>
                <w:p>
                  <w:pPr>
                    <w:pStyle w:val="Compact"/>
                    <w:jc w:val="right"/>
                    <w:jc w:val="center"/>
                  </w:pPr>
                  <w:r>
                    <w:t xml:space="preserve">-2.109</w:t>
                  </w:r>
                </w:p>
              </w:tc>
              <w:tc>
                <w:tcPr/>
                <w:p>
                  <w:pPr>
                    <w:pStyle w:val="Compact"/>
                    <w:jc w:val="right"/>
                    <w:jc w:val="center"/>
                  </w:pPr>
                  <w:r>
                    <w:t xml:space="preserve">5.280</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0.563</w:t>
                  </w:r>
                </w:p>
              </w:tc>
              <w:tc>
                <w:tcPr/>
                <w:p>
                  <w:pPr>
                    <w:pStyle w:val="Compact"/>
                    <w:jc w:val="right"/>
                    <w:jc w:val="center"/>
                  </w:pPr>
                  <w:r>
                    <w:t xml:space="preserve">2.660</w:t>
                  </w:r>
                </w:p>
              </w:tc>
              <w:tc>
                <w:tcPr/>
                <w:p>
                  <w:pPr>
                    <w:pStyle w:val="Compact"/>
                    <w:jc w:val="right"/>
                    <w:jc w:val="center"/>
                  </w:pPr>
                  <w:r>
                    <w:t xml:space="preserve">0.212</w:t>
                  </w:r>
                </w:p>
              </w:tc>
              <w:tc>
                <w:tcPr/>
                <w:p>
                  <w:pPr>
                    <w:pStyle w:val="Compact"/>
                    <w:jc w:val="right"/>
                    <w:jc w:val="center"/>
                  </w:pPr>
                  <w:r>
                    <w:t xml:space="preserve">0.832</w:t>
                  </w:r>
                </w:p>
              </w:tc>
              <w:tc>
                <w:tcPr/>
                <w:p>
                  <w:pPr>
                    <w:pStyle w:val="Compact"/>
                    <w:jc w:val="right"/>
                    <w:jc w:val="center"/>
                  </w:pPr>
                  <w:r>
                    <w:t xml:space="preserve">NA</w:t>
                  </w:r>
                </w:p>
              </w:tc>
              <w:tc>
                <w:tcPr/>
                <w:p>
                  <w:pPr>
                    <w:pStyle w:val="Compact"/>
                    <w:jc w:val="right"/>
                    <w:jc w:val="center"/>
                  </w:pPr>
                  <w:r>
                    <w:t xml:space="preserve">-4.651</w:t>
                  </w:r>
                </w:p>
              </w:tc>
              <w:tc>
                <w:tcPr/>
                <w:p>
                  <w:pPr>
                    <w:pStyle w:val="Compact"/>
                    <w:jc w:val="right"/>
                    <w:jc w:val="center"/>
                  </w:pPr>
                  <w:r>
                    <w:t xml:space="preserve">5.776</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-0.403</w:t>
                  </w:r>
                </w:p>
              </w:tc>
              <w:tc>
                <w:tcPr/>
                <w:p>
                  <w:pPr>
                    <w:pStyle w:val="Compact"/>
                    <w:jc w:val="right"/>
                    <w:jc w:val="center"/>
                  </w:pPr>
                  <w:r>
                    <w:t xml:space="preserve">0.311</w:t>
                  </w:r>
                </w:p>
              </w:tc>
              <w:tc>
                <w:tcPr/>
                <w:p>
                  <w:pPr>
                    <w:pStyle w:val="Compact"/>
                    <w:jc w:val="right"/>
                    <w:jc w:val="center"/>
                  </w:pPr>
                  <w:r>
                    <w:t xml:space="preserve">-1.296</w:t>
                  </w:r>
                </w:p>
              </w:tc>
              <w:tc>
                <w:tcPr/>
                <w:p>
                  <w:pPr>
                    <w:pStyle w:val="Compact"/>
                    <w:jc w:val="right"/>
                    <w:jc w:val="center"/>
                  </w:pPr>
                  <w:r>
                    <w:t xml:space="preserve">0.195</w:t>
                  </w:r>
                </w:p>
              </w:tc>
              <w:tc>
                <w:tcPr/>
                <w:p>
                  <w:pPr>
                    <w:pStyle w:val="Compact"/>
                    <w:jc w:val="right"/>
                    <w:jc w:val="center"/>
                  </w:pPr>
                  <w:r>
                    <w:t xml:space="preserve">NA</w:t>
                  </w:r>
                </w:p>
              </w:tc>
              <w:tc>
                <w:tcPr/>
                <w:p>
                  <w:pPr>
                    <w:pStyle w:val="Compact"/>
                    <w:jc w:val="right"/>
                    <w:jc w:val="center"/>
                  </w:pPr>
                  <w:r>
                    <w:t xml:space="preserve">-1.014</w:t>
                  </w:r>
                </w:p>
              </w:tc>
              <w:tc>
                <w:tcPr/>
                <w:p>
                  <w:pPr>
                    <w:pStyle w:val="Compact"/>
                    <w:jc w:val="right"/>
                    <w:jc w:val="center"/>
                  </w:pPr>
                  <w:r>
                    <w:t xml:space="preserve">0.207</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0.229</w:t>
                  </w:r>
                </w:p>
              </w:tc>
              <w:tc>
                <w:tcPr/>
                <w:p>
                  <w:pPr>
                    <w:pStyle w:val="Compact"/>
                    <w:jc w:val="right"/>
                    <w:jc w:val="center"/>
                  </w:pPr>
                  <w:r>
                    <w:t xml:space="preserve">0.441</w:t>
                  </w:r>
                </w:p>
              </w:tc>
              <w:tc>
                <w:tcPr/>
                <w:p>
                  <w:pPr>
                    <w:pStyle w:val="Compact"/>
                    <w:jc w:val="right"/>
                    <w:jc w:val="center"/>
                  </w:pPr>
                  <w:r>
                    <w:t xml:space="preserve">0.519</w:t>
                  </w:r>
                </w:p>
              </w:tc>
              <w:tc>
                <w:tcPr/>
                <w:p>
                  <w:pPr>
                    <w:pStyle w:val="Compact"/>
                    <w:jc w:val="right"/>
                    <w:jc w:val="center"/>
                  </w:pPr>
                  <w:r>
                    <w:t xml:space="preserve">0.604</w:t>
                  </w:r>
                </w:p>
              </w:tc>
              <w:tc>
                <w:tcPr/>
                <w:p>
                  <w:pPr>
                    <w:pStyle w:val="Compact"/>
                    <w:jc w:val="right"/>
                    <w:jc w:val="center"/>
                  </w:pPr>
                  <w:r>
                    <w:t xml:space="preserve">0.604</w:t>
                  </w:r>
                </w:p>
              </w:tc>
              <w:tc>
                <w:tcPr/>
                <w:p>
                  <w:pPr>
                    <w:pStyle w:val="Compact"/>
                    <w:jc w:val="right"/>
                    <w:jc w:val="center"/>
                  </w:pPr>
                  <w:r>
                    <w:t xml:space="preserve">-0.636</w:t>
                  </w:r>
                </w:p>
              </w:tc>
              <w:tc>
                <w:tcPr/>
                <w:p>
                  <w:pPr>
                    <w:pStyle w:val="Compact"/>
                    <w:jc w:val="right"/>
                    <w:jc w:val="center"/>
                  </w:pPr>
                  <w:r>
                    <w:t xml:space="preserve">1.094</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-7.151</w:t>
                  </w:r>
                </w:p>
              </w:tc>
              <w:tc>
                <w:tcPr/>
                <w:p>
                  <w:pPr>
                    <w:pStyle w:val="Compact"/>
                    <w:jc w:val="right"/>
                    <w:jc w:val="center"/>
                  </w:pPr>
                  <w:r>
                    <w:t xml:space="preserve">1.282</w:t>
                  </w:r>
                </w:p>
              </w:tc>
              <w:tc>
                <w:tcPr/>
                <w:p>
                  <w:pPr>
                    <w:pStyle w:val="Compact"/>
                    <w:jc w:val="right"/>
                    <w:jc w:val="center"/>
                  </w:pPr>
                  <w:r>
                    <w:t xml:space="preserve">-5.577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-9.664</w:t>
                  </w:r>
                </w:p>
              </w:tc>
              <w:tc>
                <w:tcPr/>
                <w:p>
                  <w:pPr>
                    <w:pStyle w:val="Compact"/>
                    <w:jc w:val="right"/>
                    <w:jc w:val="center"/>
                  </w:pPr>
                  <w:r>
                    <w:t xml:space="preserve">-4.638</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-2.471</w:t>
                  </w:r>
                </w:p>
              </w:tc>
              <w:tc>
                <w:tcPr/>
                <w:p>
                  <w:pPr>
                    <w:pStyle w:val="Compact"/>
                    <w:jc w:val="right"/>
                    <w:jc w:val="center"/>
                  </w:pPr>
                  <w:r>
                    <w:t xml:space="preserve">1.940</w:t>
                  </w:r>
                </w:p>
              </w:tc>
              <w:tc>
                <w:tcPr/>
                <w:p>
                  <w:pPr>
                    <w:pStyle w:val="Compact"/>
                    <w:jc w:val="right"/>
                    <w:jc w:val="center"/>
                  </w:pPr>
                  <w:r>
                    <w:t xml:space="preserve">-1.274</w:t>
                  </w:r>
                </w:p>
              </w:tc>
              <w:tc>
                <w:tcPr/>
                <w:p>
                  <w:pPr>
                    <w:pStyle w:val="Compact"/>
                    <w:jc w:val="right"/>
                    <w:jc w:val="center"/>
                  </w:pPr>
                  <w:r>
                    <w:t xml:space="preserve">0.203</w:t>
                  </w:r>
                </w:p>
              </w:tc>
              <w:tc>
                <w:tcPr/>
                <w:p>
                  <w:pPr>
                    <w:pStyle w:val="Compact"/>
                    <w:jc w:val="right"/>
                    <w:jc w:val="center"/>
                  </w:pPr>
                  <w:r>
                    <w:t xml:space="preserve">NA</w:t>
                  </w:r>
                </w:p>
              </w:tc>
              <w:tc>
                <w:tcPr/>
                <w:p>
                  <w:pPr>
                    <w:pStyle w:val="Compact"/>
                    <w:jc w:val="right"/>
                    <w:jc w:val="center"/>
                  </w:pPr>
                  <w:r>
                    <w:t xml:space="preserve">-6.273</w:t>
                  </w:r>
                </w:p>
              </w:tc>
              <w:tc>
                <w:tcPr/>
                <w:p>
                  <w:pPr>
                    <w:pStyle w:val="Compact"/>
                    <w:jc w:val="right"/>
                    <w:jc w:val="center"/>
                  </w:pPr>
                  <w:r>
                    <w:t xml:space="preserve">1.331</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-0.215</w:t>
                  </w:r>
                </w:p>
              </w:tc>
              <w:tc>
                <w:tcPr/>
                <w:p>
                  <w:pPr>
                    <w:pStyle w:val="Compact"/>
                    <w:jc w:val="right"/>
                    <w:jc w:val="center"/>
                  </w:pPr>
                  <w:r>
                    <w:t xml:space="preserve">0.147</w:t>
                  </w:r>
                </w:p>
              </w:tc>
              <w:tc>
                <w:tcPr/>
                <w:p>
                  <w:pPr>
                    <w:pStyle w:val="Compact"/>
                    <w:jc w:val="right"/>
                    <w:jc w:val="center"/>
                  </w:pPr>
                  <w:r>
                    <w:t xml:space="preserve">-1.462</w:t>
                  </w:r>
                </w:p>
              </w:tc>
              <w:tc>
                <w:tcPr/>
                <w:p>
                  <w:pPr>
                    <w:pStyle w:val="Compact"/>
                    <w:jc w:val="right"/>
                    <w:jc w:val="center"/>
                  </w:pPr>
                  <w:r>
                    <w:t xml:space="preserve">0.144</w:t>
                  </w:r>
                </w:p>
              </w:tc>
              <w:tc>
                <w:tcPr/>
                <w:p>
                  <w:pPr>
                    <w:pStyle w:val="Compact"/>
                    <w:jc w:val="right"/>
                    <w:jc w:val="center"/>
                  </w:pPr>
                  <w:r>
                    <w:t xml:space="preserve">NA</w:t>
                  </w:r>
                </w:p>
              </w:tc>
              <w:tc>
                <w:tcPr/>
                <w:p>
                  <w:pPr>
                    <w:pStyle w:val="Compact"/>
                    <w:jc w:val="right"/>
                    <w:jc w:val="center"/>
                  </w:pPr>
                  <w:r>
                    <w:t xml:space="preserve">-0.504</w:t>
                  </w:r>
                </w:p>
              </w:tc>
              <w:tc>
                <w:tcPr/>
                <w:p>
                  <w:pPr>
                    <w:pStyle w:val="Compact"/>
                    <w:jc w:val="right"/>
                    <w:jc w:val="center"/>
                  </w:pPr>
                  <w:r>
                    <w:t xml:space="preserve">0.073</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0.315</w:t>
                  </w:r>
                </w:p>
              </w:tc>
              <w:tc>
                <w:tcPr/>
                <w:p>
                  <w:pPr>
                    <w:pStyle w:val="Compact"/>
                    <w:jc w:val="right"/>
                    <w:jc w:val="center"/>
                  </w:pPr>
                  <w:r>
                    <w:t xml:space="preserve">0.058</w:t>
                  </w:r>
                </w:p>
              </w:tc>
              <w:tc>
                <w:tcPr/>
                <w:p>
                  <w:pPr>
                    <w:pStyle w:val="Compact"/>
                    <w:jc w:val="right"/>
                    <w:jc w:val="center"/>
                  </w:pPr>
                  <w:r>
                    <w:t xml:space="preserve">5.414</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0.201</w:t>
                  </w:r>
                </w:p>
              </w:tc>
              <w:tc>
                <w:tcPr/>
                <w:p>
                  <w:pPr>
                    <w:pStyle w:val="Compact"/>
                    <w:jc w:val="right"/>
                    <w:jc w:val="center"/>
                  </w:pPr>
                  <w:r>
                    <w:t xml:space="preserve">0.429</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0.510</w:t>
                  </w:r>
                </w:p>
              </w:tc>
              <w:tc>
                <w:tcPr/>
                <w:p>
                  <w:pPr>
                    <w:pStyle w:val="Compact"/>
                    <w:jc w:val="right"/>
                    <w:jc w:val="center"/>
                  </w:pPr>
                  <w:r>
                    <w:t xml:space="preserve">0.398</w:t>
                  </w:r>
                </w:p>
              </w:tc>
              <w:tc>
                <w:tcPr/>
                <w:p>
                  <w:pPr>
                    <w:pStyle w:val="Compact"/>
                    <w:jc w:val="right"/>
                    <w:jc w:val="center"/>
                  </w:pPr>
                  <w:r>
                    <w:t xml:space="preserve">1.283</w:t>
                  </w:r>
                </w:p>
              </w:tc>
              <w:tc>
                <w:tcPr/>
                <w:p>
                  <w:pPr>
                    <w:pStyle w:val="Compact"/>
                    <w:jc w:val="right"/>
                    <w:jc w:val="center"/>
                  </w:pPr>
                  <w:r>
                    <w:t xml:space="preserve">0.199</w:t>
                  </w:r>
                </w:p>
              </w:tc>
              <w:tc>
                <w:tcPr/>
                <w:p>
                  <w:pPr>
                    <w:pStyle w:val="Compact"/>
                    <w:jc w:val="right"/>
                    <w:jc w:val="center"/>
                  </w:pPr>
                  <w:r>
                    <w:t xml:space="preserve">0.559</w:t>
                  </w:r>
                </w:p>
              </w:tc>
              <w:tc>
                <w:tcPr/>
                <w:p>
                  <w:pPr>
                    <w:pStyle w:val="Compact"/>
                    <w:jc w:val="right"/>
                    <w:jc w:val="center"/>
                  </w:pPr>
                  <w:r>
                    <w:t xml:space="preserve">-0.269</w:t>
                  </w:r>
                </w:p>
              </w:tc>
              <w:tc>
                <w:tcPr/>
                <w:p>
                  <w:pPr>
                    <w:pStyle w:val="Compact"/>
                    <w:jc w:val="right"/>
                    <w:jc w:val="center"/>
                  </w:pPr>
                  <w:r>
                    <w:t xml:space="preserve">1.290</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3.011</w:t>
                  </w:r>
                </w:p>
              </w:tc>
              <w:tc>
                <w:tcPr/>
                <w:p>
                  <w:pPr>
                    <w:pStyle w:val="Compact"/>
                    <w:jc w:val="right"/>
                    <w:jc w:val="center"/>
                  </w:pPr>
                  <w:r>
                    <w:t xml:space="preserve">1.189</w:t>
                  </w:r>
                </w:p>
              </w:tc>
              <w:tc>
                <w:tcPr/>
                <w:p>
                  <w:pPr>
                    <w:pStyle w:val="Compact"/>
                    <w:jc w:val="right"/>
                    <w:jc w:val="center"/>
                  </w:pPr>
                  <w:r>
                    <w:t xml:space="preserve">2.532</w:t>
                  </w:r>
                </w:p>
              </w:tc>
              <w:tc>
                <w:tcPr/>
                <w:p>
                  <w:pPr>
                    <w:pStyle w:val="Compact"/>
                    <w:jc w:val="right"/>
                    <w:jc w:val="center"/>
                  </w:pPr>
                  <w:r>
                    <w:t xml:space="preserve">0.011</w:t>
                  </w:r>
                </w:p>
              </w:tc>
              <w:tc>
                <w:tcPr/>
                <w:p>
                  <w:pPr>
                    <w:pStyle w:val="Compact"/>
                    <w:jc w:val="right"/>
                    <w:jc w:val="center"/>
                  </w:pPr>
                  <w:r>
                    <w:t xml:space="preserve">NA</w:t>
                  </w:r>
                </w:p>
              </w:tc>
              <w:tc>
                <w:tcPr/>
                <w:p>
                  <w:pPr>
                    <w:pStyle w:val="Compact"/>
                    <w:jc w:val="right"/>
                    <w:jc w:val="center"/>
                  </w:pPr>
                  <w:r>
                    <w:t xml:space="preserve">0.681</w:t>
                  </w:r>
                </w:p>
              </w:tc>
              <w:tc>
                <w:tcPr/>
                <w:p>
                  <w:pPr>
                    <w:pStyle w:val="Compact"/>
                    <w:jc w:val="right"/>
                    <w:jc w:val="center"/>
                  </w:pPr>
                  <w:r>
                    <w:t xml:space="preserve">5.342</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-4.370</w:t>
                  </w:r>
                </w:p>
              </w:tc>
              <w:tc>
                <w:tcPr/>
                <w:p>
                  <w:pPr>
                    <w:pStyle w:val="Compact"/>
                    <w:jc w:val="right"/>
                    <w:jc w:val="center"/>
                  </w:pPr>
                  <w:r>
                    <w:t xml:space="preserve">3.059</w:t>
                  </w:r>
                </w:p>
              </w:tc>
              <w:tc>
                <w:tcPr/>
                <w:p>
                  <w:pPr>
                    <w:pStyle w:val="Compact"/>
                    <w:jc w:val="right"/>
                    <w:jc w:val="center"/>
                  </w:pPr>
                  <w:r>
                    <w:t xml:space="preserve">-1.429</w:t>
                  </w:r>
                </w:p>
              </w:tc>
              <w:tc>
                <w:tcPr/>
                <w:p>
                  <w:pPr>
                    <w:pStyle w:val="Compact"/>
                    <w:jc w:val="right"/>
                    <w:jc w:val="center"/>
                  </w:pPr>
                  <w:r>
                    <w:t xml:space="preserve">0.153</w:t>
                  </w:r>
                </w:p>
              </w:tc>
              <w:tc>
                <w:tcPr/>
                <w:p>
                  <w:pPr>
                    <w:pStyle w:val="Compact"/>
                    <w:jc w:val="right"/>
                    <w:jc w:val="center"/>
                  </w:pPr>
                  <w:r>
                    <w:t xml:space="preserve">NA</w:t>
                  </w:r>
                </w:p>
              </w:tc>
              <w:tc>
                <w:tcPr/>
                <w:p>
                  <w:pPr>
                    <w:pStyle w:val="Compact"/>
                    <w:jc w:val="right"/>
                    <w:jc w:val="center"/>
                  </w:pPr>
                  <w:r>
                    <w:t xml:space="preserve">-10.366</w:t>
                  </w:r>
                </w:p>
              </w:tc>
              <w:tc>
                <w:tcPr/>
                <w:p>
                  <w:pPr>
                    <w:pStyle w:val="Compact"/>
                    <w:jc w:val="right"/>
                    <w:jc w:val="center"/>
                  </w:pPr>
                  <w:r>
                    <w:t xml:space="preserve">1.626</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-0.250</w:t>
                  </w:r>
                </w:p>
              </w:tc>
              <w:tc>
                <w:tcPr/>
                <w:p>
                  <w:pPr>
                    <w:pStyle w:val="Compact"/>
                    <w:jc w:val="right"/>
                    <w:jc w:val="center"/>
                  </w:pPr>
                  <w:r>
                    <w:t xml:space="preserve">0.209</w:t>
                  </w:r>
                </w:p>
              </w:tc>
              <w:tc>
                <w:tcPr/>
                <w:p>
                  <w:pPr>
                    <w:pStyle w:val="Compact"/>
                    <w:jc w:val="right"/>
                    <w:jc w:val="center"/>
                  </w:pPr>
                  <w:r>
                    <w:t xml:space="preserve">-1.196</w:t>
                  </w:r>
                </w:p>
              </w:tc>
              <w:tc>
                <w:tcPr/>
                <w:p>
                  <w:pPr>
                    <w:pStyle w:val="Compact"/>
                    <w:jc w:val="right"/>
                    <w:jc w:val="center"/>
                  </w:pPr>
                  <w:r>
                    <w:t xml:space="preserve">0.232</w:t>
                  </w:r>
                </w:p>
              </w:tc>
              <w:tc>
                <w:tcPr/>
                <w:p>
                  <w:pPr>
                    <w:pStyle w:val="Compact"/>
                    <w:jc w:val="right"/>
                    <w:jc w:val="center"/>
                  </w:pPr>
                  <w:r>
                    <w:t xml:space="preserve">NA</w:t>
                  </w:r>
                </w:p>
              </w:tc>
              <w:tc>
                <w:tcPr/>
                <w:p>
                  <w:pPr>
                    <w:pStyle w:val="Compact"/>
                    <w:jc w:val="right"/>
                    <w:jc w:val="center"/>
                  </w:pPr>
                  <w:r>
                    <w:t xml:space="preserve">-0.660</w:t>
                  </w:r>
                </w:p>
              </w:tc>
              <w:tc>
                <w:tcPr/>
                <w:p>
                  <w:pPr>
                    <w:pStyle w:val="Compact"/>
                    <w:jc w:val="right"/>
                    <w:jc w:val="center"/>
                  </w:pPr>
                  <w:r>
                    <w:t xml:space="preserve">0.160</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0.689</w:t>
                  </w:r>
                </w:p>
              </w:tc>
              <w:tc>
                <w:tcPr/>
                <w:p>
                  <w:pPr>
                    <w:pStyle w:val="Compact"/>
                    <w:jc w:val="right"/>
                    <w:jc w:val="center"/>
                  </w:pPr>
                  <w:r>
                    <w:t xml:space="preserve">0.638</w:t>
                  </w:r>
                </w:p>
              </w:tc>
              <w:tc>
                <w:tcPr/>
                <w:p>
                  <w:pPr>
                    <w:pStyle w:val="Compact"/>
                    <w:jc w:val="right"/>
                    <w:jc w:val="center"/>
                  </w:pPr>
                  <w:r>
                    <w:t xml:space="preserve">1.081</w:t>
                  </w:r>
                </w:p>
              </w:tc>
              <w:tc>
                <w:tcPr/>
                <w:p>
                  <w:pPr>
                    <w:pStyle w:val="Compact"/>
                    <w:jc w:val="right"/>
                    <w:jc w:val="center"/>
                  </w:pPr>
                  <w:r>
                    <w:t xml:space="preserve">0.280</w:t>
                  </w:r>
                </w:p>
              </w:tc>
              <w:tc>
                <w:tcPr/>
                <w:p>
                  <w:pPr>
                    <w:pStyle w:val="Compact"/>
                    <w:jc w:val="right"/>
                    <w:jc w:val="center"/>
                  </w:pPr>
                  <w:r>
                    <w:t xml:space="preserve">0.559</w:t>
                  </w:r>
                </w:p>
              </w:tc>
              <w:tc>
                <w:tcPr/>
                <w:p>
                  <w:pPr>
                    <w:pStyle w:val="Compact"/>
                    <w:jc w:val="right"/>
                    <w:jc w:val="center"/>
                  </w:pPr>
                  <w:r>
                    <w:t xml:space="preserve">-0.560</w:t>
                  </w:r>
                </w:p>
              </w:tc>
              <w:tc>
                <w:tcPr/>
                <w:p>
                  <w:pPr>
                    <w:pStyle w:val="Compact"/>
                    <w:jc w:val="right"/>
                    <w:jc w:val="center"/>
                  </w:pPr>
                  <w:r>
                    <w:t xml:space="preserve">1.939</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0.229</w:t>
                  </w:r>
                </w:p>
              </w:tc>
              <w:tc>
                <w:tcPr/>
                <w:p>
                  <w:pPr>
                    <w:pStyle w:val="Compact"/>
                    <w:jc w:val="right"/>
                    <w:jc w:val="center"/>
                  </w:pPr>
                  <w:r>
                    <w:t xml:space="preserve">0.519</w:t>
                  </w:r>
                </w:p>
              </w:tc>
              <w:tc>
                <w:tcPr/>
                <w:p>
                  <w:pPr>
                    <w:pStyle w:val="Compact"/>
                    <w:jc w:val="right"/>
                    <w:jc w:val="center"/>
                  </w:pPr>
                  <w:r>
                    <w:t xml:space="preserve">0.440</w:t>
                  </w:r>
                </w:p>
              </w:tc>
              <w:tc>
                <w:tcPr/>
                <w:p>
                  <w:pPr>
                    <w:pStyle w:val="Compact"/>
                    <w:jc w:val="right"/>
                    <w:jc w:val="center"/>
                  </w:pPr>
                  <w:r>
                    <w:t xml:space="preserve">0.660</w:t>
                  </w:r>
                </w:p>
              </w:tc>
              <w:tc>
                <w:tcPr/>
                <w:p>
                  <w:pPr>
                    <w:pStyle w:val="Compact"/>
                    <w:jc w:val="right"/>
                    <w:jc w:val="center"/>
                  </w:pPr>
                  <w:r>
                    <w:t xml:space="preserve">NA</w:t>
                  </w:r>
                </w:p>
              </w:tc>
              <w:tc>
                <w:tcPr/>
                <w:p>
                  <w:pPr>
                    <w:pStyle w:val="Compact"/>
                    <w:jc w:val="right"/>
                    <w:jc w:val="center"/>
                  </w:pPr>
                  <w:r>
                    <w:t xml:space="preserve">-0.789</w:t>
                  </w:r>
                </w:p>
              </w:tc>
              <w:tc>
                <w:tcPr/>
                <w:p>
                  <w:pPr>
                    <w:pStyle w:val="Compact"/>
                    <w:jc w:val="right"/>
                    <w:jc w:val="center"/>
                  </w:pPr>
                  <w:r>
                    <w:t xml:space="preserve">1.247</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0.217</w:t>
                  </w:r>
                </w:p>
              </w:tc>
              <w:tc>
                <w:tcPr/>
                <w:p>
                  <w:pPr>
                    <w:pStyle w:val="Compact"/>
                    <w:jc w:val="right"/>
                    <w:jc w:val="center"/>
                  </w:pPr>
                  <w:r>
                    <w:t xml:space="preserve">0.901</w:t>
                  </w:r>
                </w:p>
              </w:tc>
              <w:tc>
                <w:tcPr/>
                <w:p>
                  <w:pPr>
                    <w:pStyle w:val="Compact"/>
                    <w:jc w:val="right"/>
                    <w:jc w:val="center"/>
                  </w:pPr>
                  <w:r>
                    <w:t xml:space="preserve">0.240</w:t>
                  </w:r>
                </w:p>
              </w:tc>
              <w:tc>
                <w:tcPr/>
                <w:p>
                  <w:pPr>
                    <w:pStyle w:val="Compact"/>
                    <w:jc w:val="right"/>
                    <w:jc w:val="center"/>
                  </w:pPr>
                  <w:r>
                    <w:t xml:space="preserve">0.810</w:t>
                  </w:r>
                </w:p>
              </w:tc>
              <w:tc>
                <w:tcPr/>
                <w:p>
                  <w:pPr>
                    <w:pStyle w:val="Compact"/>
                    <w:jc w:val="right"/>
                    <w:jc w:val="center"/>
                  </w:pPr>
                  <w:r>
                    <w:t xml:space="preserve">NA</w:t>
                  </w:r>
                </w:p>
              </w:tc>
              <w:tc>
                <w:tcPr/>
                <w:p>
                  <w:pPr>
                    <w:pStyle w:val="Compact"/>
                    <w:jc w:val="right"/>
                    <w:jc w:val="center"/>
                  </w:pPr>
                  <w:r>
                    <w:t xml:space="preserve">-1.550</w:t>
                  </w:r>
                </w:p>
              </w:tc>
              <w:tc>
                <w:tcPr/>
                <w:p>
                  <w:pPr>
                    <w:pStyle w:val="Compact"/>
                    <w:jc w:val="right"/>
                    <w:jc w:val="center"/>
                  </w:pPr>
                  <w:r>
                    <w:t xml:space="preserve">1.984</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-0.090</w:t>
                  </w:r>
                </w:p>
              </w:tc>
              <w:tc>
                <w:tcPr/>
                <w:p>
                  <w:pPr>
                    <w:pStyle w:val="Compact"/>
                    <w:jc w:val="right"/>
                    <w:jc w:val="center"/>
                  </w:pPr>
                  <w:r>
                    <w:t xml:space="preserve">0.056</w:t>
                  </w:r>
                </w:p>
              </w:tc>
              <w:tc>
                <w:tcPr/>
                <w:p>
                  <w:pPr>
                    <w:pStyle w:val="Compact"/>
                    <w:jc w:val="right"/>
                    <w:jc w:val="center"/>
                  </w:pPr>
                  <w:r>
                    <w:t xml:space="preserve">-1.612</w:t>
                  </w:r>
                </w:p>
              </w:tc>
              <w:tc>
                <w:tcPr/>
                <w:p>
                  <w:pPr>
                    <w:pStyle w:val="Compact"/>
                    <w:jc w:val="right"/>
                    <w:jc w:val="center"/>
                  </w:pPr>
                  <w:r>
                    <w:t xml:space="preserve">0.107</w:t>
                  </w:r>
                </w:p>
              </w:tc>
              <w:tc>
                <w:tcPr/>
                <w:p>
                  <w:pPr>
                    <w:pStyle w:val="Compact"/>
                    <w:jc w:val="right"/>
                    <w:jc w:val="center"/>
                  </w:pPr>
                  <w:r>
                    <w:t xml:space="preserve">NA</w:t>
                  </w:r>
                </w:p>
              </w:tc>
              <w:tc>
                <w:tcPr/>
                <w:p>
                  <w:pPr>
                    <w:pStyle w:val="Compact"/>
                    <w:jc w:val="right"/>
                    <w:jc w:val="center"/>
                  </w:pPr>
                  <w:r>
                    <w:t xml:space="preserve">-0.199</w:t>
                  </w:r>
                </w:p>
              </w:tc>
              <w:tc>
                <w:tcPr/>
                <w:p>
                  <w:pPr>
                    <w:pStyle w:val="Compact"/>
                    <w:jc w:val="right"/>
                    <w:jc w:val="center"/>
                  </w:pPr>
                  <w:r>
                    <w:t xml:space="preserve">0.019</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-0.086</w:t>
                  </w:r>
                </w:p>
              </w:tc>
              <w:tc>
                <w:tcPr/>
                <w:p>
                  <w:pPr>
                    <w:pStyle w:val="Compact"/>
                    <w:jc w:val="right"/>
                    <w:jc w:val="center"/>
                  </w:pPr>
                  <w:r>
                    <w:t xml:space="preserve">0.109</w:t>
                  </w:r>
                </w:p>
              </w:tc>
              <w:tc>
                <w:tcPr/>
                <w:p>
                  <w:pPr>
                    <w:pStyle w:val="Compact"/>
                    <w:jc w:val="right"/>
                    <w:jc w:val="center"/>
                  </w:pPr>
                  <w:r>
                    <w:t xml:space="preserve">-0.791</w:t>
                  </w:r>
                </w:p>
              </w:tc>
              <w:tc>
                <w:tcPr/>
                <w:p>
                  <w:pPr>
                    <w:pStyle w:val="Compact"/>
                    <w:jc w:val="right"/>
                    <w:jc w:val="center"/>
                  </w:pPr>
                  <w:r>
                    <w:t xml:space="preserve">0.429</w:t>
                  </w:r>
                </w:p>
              </w:tc>
              <w:tc>
                <w:tcPr/>
                <w:p>
                  <w:pPr>
                    <w:pStyle w:val="Compact"/>
                    <w:jc w:val="right"/>
                    <w:jc w:val="center"/>
                  </w:pPr>
                  <w:r>
                    <w:t xml:space="preserve">0.572</w:t>
                  </w:r>
                </w:p>
              </w:tc>
              <w:tc>
                <w:tcPr/>
                <w:p>
                  <w:pPr>
                    <w:pStyle w:val="Compact"/>
                    <w:jc w:val="right"/>
                    <w:jc w:val="center"/>
                  </w:pPr>
                  <w:r>
                    <w:t xml:space="preserve">-0.299</w:t>
                  </w:r>
                </w:p>
              </w:tc>
              <w:tc>
                <w:tcPr/>
                <w:p>
                  <w:pPr>
                    <w:pStyle w:val="Compact"/>
                    <w:jc w:val="right"/>
                    <w:jc w:val="center"/>
                  </w:pPr>
                  <w:r>
                    <w:t xml:space="preserve">0.127</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3.369</w:t>
                  </w:r>
                </w:p>
              </w:tc>
              <w:tc>
                <w:tcPr/>
                <w:p>
                  <w:pPr>
                    <w:pStyle w:val="Compact"/>
                    <w:jc w:val="right"/>
                    <w:jc w:val="center"/>
                  </w:pPr>
                  <w:r>
                    <w:t xml:space="preserve">0.506</w:t>
                  </w:r>
                </w:p>
              </w:tc>
              <w:tc>
                <w:tcPr/>
                <w:p>
                  <w:pPr>
                    <w:pStyle w:val="Compact"/>
                    <w:jc w:val="right"/>
                    <w:jc w:val="center"/>
                  </w:pPr>
                  <w:r>
                    <w:t xml:space="preserve">6.655</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2.377</w:t>
                  </w:r>
                </w:p>
              </w:tc>
              <w:tc>
                <w:tcPr/>
                <w:p>
                  <w:pPr>
                    <w:pStyle w:val="Compact"/>
                    <w:jc w:val="right"/>
                    <w:jc w:val="center"/>
                  </w:pPr>
                  <w:r>
                    <w:t xml:space="preserve">4.361</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-0.149</w:t>
                  </w:r>
                </w:p>
              </w:tc>
              <w:tc>
                <w:tcPr/>
                <w:p>
                  <w:pPr>
                    <w:pStyle w:val="Compact"/>
                    <w:jc w:val="right"/>
                    <w:jc w:val="center"/>
                  </w:pPr>
                  <w:r>
                    <w:t xml:space="preserve">0.885</w:t>
                  </w:r>
                </w:p>
              </w:tc>
              <w:tc>
                <w:tcPr/>
                <w:p>
                  <w:pPr>
                    <w:pStyle w:val="Compact"/>
                    <w:jc w:val="right"/>
                    <w:jc w:val="center"/>
                  </w:pPr>
                  <w:r>
                    <w:t xml:space="preserve">-0.168</w:t>
                  </w:r>
                </w:p>
              </w:tc>
              <w:tc>
                <w:tcPr/>
                <w:p>
                  <w:pPr>
                    <w:pStyle w:val="Compact"/>
                    <w:jc w:val="right"/>
                    <w:jc w:val="center"/>
                  </w:pPr>
                  <w:r>
                    <w:t xml:space="preserve">0.866</w:t>
                  </w:r>
                </w:p>
              </w:tc>
              <w:tc>
                <w:tcPr/>
                <w:p>
                  <w:pPr>
                    <w:pStyle w:val="Compact"/>
                    <w:jc w:val="right"/>
                    <w:jc w:val="center"/>
                  </w:pPr>
                  <w:r>
                    <w:t xml:space="preserve">NA</w:t>
                  </w:r>
                </w:p>
              </w:tc>
              <w:tc>
                <w:tcPr/>
                <w:p>
                  <w:pPr>
                    <w:pStyle w:val="Compact"/>
                    <w:jc w:val="right"/>
                    <w:jc w:val="center"/>
                  </w:pPr>
                  <w:r>
                    <w:t xml:space="preserve">-1.884</w:t>
                  </w:r>
                </w:p>
              </w:tc>
              <w:tc>
                <w:tcPr/>
                <w:p>
                  <w:pPr>
                    <w:pStyle w:val="Compact"/>
                    <w:jc w:val="right"/>
                    <w:jc w:val="center"/>
                  </w:pPr>
                  <w:r>
                    <w:t xml:space="preserve">1.586</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-0.088</w:t>
                  </w:r>
                </w:p>
              </w:tc>
              <w:tc>
                <w:tcPr/>
                <w:p>
                  <w:pPr>
                    <w:pStyle w:val="Compact"/>
                    <w:jc w:val="right"/>
                    <w:jc w:val="center"/>
                  </w:pPr>
                  <w:r>
                    <w:t xml:space="preserve">0.074</w:t>
                  </w:r>
                </w:p>
              </w:tc>
              <w:tc>
                <w:tcPr/>
                <w:p>
                  <w:pPr>
                    <w:pStyle w:val="Compact"/>
                    <w:jc w:val="right"/>
                    <w:jc w:val="center"/>
                  </w:pPr>
                  <w:r>
                    <w:t xml:space="preserve">-1.177</w:t>
                  </w:r>
                </w:p>
              </w:tc>
              <w:tc>
                <w:tcPr/>
                <w:p>
                  <w:pPr>
                    <w:pStyle w:val="Compact"/>
                    <w:jc w:val="right"/>
                    <w:jc w:val="center"/>
                  </w:pPr>
                  <w:r>
                    <w:t xml:space="preserve">0.239</w:t>
                  </w:r>
                </w:p>
              </w:tc>
              <w:tc>
                <w:tcPr/>
                <w:p>
                  <w:pPr>
                    <w:pStyle w:val="Compact"/>
                    <w:jc w:val="right"/>
                    <w:jc w:val="center"/>
                  </w:pPr>
                  <w:r>
                    <w:t xml:space="preserve">NA</w:t>
                  </w:r>
                </w:p>
              </w:tc>
              <w:tc>
                <w:tcPr/>
                <w:p>
                  <w:pPr>
                    <w:pStyle w:val="Compact"/>
                    <w:jc w:val="right"/>
                    <w:jc w:val="center"/>
                  </w:pPr>
                  <w:r>
                    <w:t xml:space="preserve">-0.234</w:t>
                  </w:r>
                </w:p>
              </w:tc>
              <w:tc>
                <w:tcPr/>
                <w:p>
                  <w:pPr>
                    <w:pStyle w:val="Compact"/>
                    <w:jc w:val="right"/>
                    <w:jc w:val="center"/>
                  </w:pPr>
                  <w:r>
                    <w:t xml:space="preserve">0.058</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0.016</w:t>
                  </w:r>
                </w:p>
              </w:tc>
              <w:tc>
                <w:tcPr/>
                <w:p>
                  <w:pPr>
                    <w:pStyle w:val="Compact"/>
                    <w:jc w:val="right"/>
                    <w:jc w:val="center"/>
                  </w:pPr>
                  <w:r>
                    <w:t xml:space="preserve">0.142</w:t>
                  </w:r>
                </w:p>
              </w:tc>
              <w:tc>
                <w:tcPr/>
                <w:p>
                  <w:pPr>
                    <w:pStyle w:val="Compact"/>
                    <w:jc w:val="right"/>
                    <w:jc w:val="center"/>
                  </w:pPr>
                  <w:r>
                    <w:t xml:space="preserve">0.112</w:t>
                  </w:r>
                </w:p>
              </w:tc>
              <w:tc>
                <w:tcPr/>
                <w:p>
                  <w:pPr>
                    <w:pStyle w:val="Compact"/>
                    <w:jc w:val="right"/>
                    <w:jc w:val="center"/>
                  </w:pPr>
                  <w:r>
                    <w:t xml:space="preserve">0.911</w:t>
                  </w:r>
                </w:p>
              </w:tc>
              <w:tc>
                <w:tcPr/>
                <w:p>
                  <w:pPr>
                    <w:pStyle w:val="Compact"/>
                    <w:jc w:val="right"/>
                    <w:jc w:val="center"/>
                  </w:pPr>
                  <w:r>
                    <w:t xml:space="preserve">0.911</w:t>
                  </w:r>
                </w:p>
              </w:tc>
              <w:tc>
                <w:tcPr/>
                <w:p>
                  <w:pPr>
                    <w:pStyle w:val="Compact"/>
                    <w:jc w:val="right"/>
                    <w:jc w:val="center"/>
                  </w:pPr>
                  <w:r>
                    <w:t xml:space="preserve">-0.262</w:t>
                  </w:r>
                </w:p>
              </w:tc>
              <w:tc>
                <w:tcPr/>
                <w:p>
                  <w:pPr>
                    <w:pStyle w:val="Compact"/>
                    <w:jc w:val="right"/>
                    <w:jc w:val="center"/>
                  </w:pPr>
                  <w:r>
                    <w:t xml:space="preserve">0.294</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-7.372</w:t>
                  </w:r>
                </w:p>
              </w:tc>
              <w:tc>
                <w:tcPr/>
                <w:p>
                  <w:pPr>
                    <w:pStyle w:val="Compact"/>
                    <w:jc w:val="right"/>
                    <w:jc w:val="center"/>
                  </w:pPr>
                  <w:r>
                    <w:t xml:space="preserve">1.705</w:t>
                  </w:r>
                </w:p>
              </w:tc>
              <w:tc>
                <w:tcPr/>
                <w:p>
                  <w:pPr>
                    <w:pStyle w:val="Compact"/>
                    <w:jc w:val="right"/>
                    <w:jc w:val="center"/>
                  </w:pPr>
                  <w:r>
                    <w:t xml:space="preserve">-4.324</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-10.713</w:t>
                  </w:r>
                </w:p>
              </w:tc>
              <w:tc>
                <w:tcPr/>
                <w:p>
                  <w:pPr>
                    <w:pStyle w:val="Compact"/>
                    <w:jc w:val="right"/>
                    <w:jc w:val="center"/>
                  </w:pPr>
                  <w:r>
                    <w:t xml:space="preserve">-4.031</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0.753</w:t>
                  </w:r>
                </w:p>
              </w:tc>
              <w:tc>
                <w:tcPr/>
                <w:p>
                  <w:pPr>
                    <w:pStyle w:val="Compact"/>
                    <w:jc w:val="right"/>
                    <w:jc w:val="center"/>
                  </w:pPr>
                  <w:r>
                    <w:t xml:space="preserve">1.007</w:t>
                  </w:r>
                </w:p>
              </w:tc>
              <w:tc>
                <w:tcPr/>
                <w:p>
                  <w:pPr>
                    <w:pStyle w:val="Compact"/>
                    <w:jc w:val="right"/>
                    <w:jc w:val="center"/>
                  </w:pPr>
                  <w:r>
                    <w:t xml:space="preserve">0.747</w:t>
                  </w:r>
                </w:p>
              </w:tc>
              <w:tc>
                <w:tcPr/>
                <w:p>
                  <w:pPr>
                    <w:pStyle w:val="Compact"/>
                    <w:jc w:val="right"/>
                    <w:jc w:val="center"/>
                  </w:pPr>
                  <w:r>
                    <w:t xml:space="preserve">0.455</w:t>
                  </w:r>
                </w:p>
              </w:tc>
              <w:tc>
                <w:tcPr/>
                <w:p>
                  <w:pPr>
                    <w:pStyle w:val="Compact"/>
                    <w:jc w:val="right"/>
                    <w:jc w:val="center"/>
                  </w:pPr>
                  <w:r>
                    <w:t xml:space="preserve">NA</w:t>
                  </w:r>
                </w:p>
              </w:tc>
              <w:tc>
                <w:tcPr/>
                <w:p>
                  <w:pPr>
                    <w:pStyle w:val="Compact"/>
                    <w:jc w:val="right"/>
                    <w:jc w:val="center"/>
                  </w:pPr>
                  <w:r>
                    <w:t xml:space="preserve">-1.221</w:t>
                  </w:r>
                </w:p>
              </w:tc>
              <w:tc>
                <w:tcPr/>
                <w:p>
                  <w:pPr>
                    <w:pStyle w:val="Compact"/>
                    <w:jc w:val="right"/>
                    <w:jc w:val="center"/>
                  </w:pPr>
                  <w:r>
                    <w:t xml:space="preserve">2.726</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-0.130</w:t>
                  </w:r>
                </w:p>
              </w:tc>
              <w:tc>
                <w:tcPr/>
                <w:p>
                  <w:pPr>
                    <w:pStyle w:val="Compact"/>
                    <w:jc w:val="right"/>
                    <w:jc w:val="center"/>
                  </w:pPr>
                  <w:r>
                    <w:t xml:space="preserve">0.220</w:t>
                  </w:r>
                </w:p>
              </w:tc>
              <w:tc>
                <w:tcPr/>
                <w:p>
                  <w:pPr>
                    <w:pStyle w:val="Compact"/>
                    <w:jc w:val="right"/>
                    <w:jc w:val="center"/>
                  </w:pPr>
                  <w:r>
                    <w:t xml:space="preserve">-0.591</w:t>
                  </w:r>
                </w:p>
              </w:tc>
              <w:tc>
                <w:tcPr/>
                <w:p>
                  <w:pPr>
                    <w:pStyle w:val="Compact"/>
                    <w:jc w:val="right"/>
                    <w:jc w:val="center"/>
                  </w:pPr>
                  <w:r>
                    <w:t xml:space="preserve">0.555</w:t>
                  </w:r>
                </w:p>
              </w:tc>
              <w:tc>
                <w:tcPr/>
                <w:p>
                  <w:pPr>
                    <w:pStyle w:val="Compact"/>
                    <w:jc w:val="right"/>
                    <w:jc w:val="center"/>
                  </w:pPr>
                  <w:r>
                    <w:t xml:space="preserve">NA</w:t>
                  </w:r>
                </w:p>
              </w:tc>
              <w:tc>
                <w:tcPr/>
                <w:p>
                  <w:pPr>
                    <w:pStyle w:val="Compact"/>
                    <w:jc w:val="right"/>
                    <w:jc w:val="center"/>
                  </w:pPr>
                  <w:r>
                    <w:t xml:space="preserve">-0.562</w:t>
                  </w:r>
                </w:p>
              </w:tc>
              <w:tc>
                <w:tcPr/>
                <w:p>
                  <w:pPr>
                    <w:pStyle w:val="Compact"/>
                    <w:jc w:val="right"/>
                    <w:jc w:val="center"/>
                  </w:pPr>
                  <w:r>
                    <w:t xml:space="preserve">0.301</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0.304</w:t>
                  </w:r>
                </w:p>
              </w:tc>
              <w:tc>
                <w:tcPr/>
                <w:p>
                  <w:pPr>
                    <w:pStyle w:val="Compact"/>
                    <w:jc w:val="right"/>
                    <w:jc w:val="center"/>
                  </w:pPr>
                  <w:r>
                    <w:t xml:space="preserve">0.073</w:t>
                  </w:r>
                </w:p>
              </w:tc>
              <w:tc>
                <w:tcPr/>
                <w:p>
                  <w:pPr>
                    <w:pStyle w:val="Compact"/>
                    <w:jc w:val="right"/>
                    <w:jc w:val="center"/>
                  </w:pPr>
                  <w:r>
                    <w:t xml:space="preserve">4.183</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0.161</w:t>
                  </w:r>
                </w:p>
              </w:tc>
              <w:tc>
                <w:tcPr/>
                <w:p>
                  <w:pPr>
                    <w:pStyle w:val="Compact"/>
                    <w:jc w:val="right"/>
                    <w:jc w:val="center"/>
                  </w:pPr>
                  <w:r>
                    <w:t xml:space="preserve">0.446</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-0.151</w:t>
                  </w:r>
                </w:p>
              </w:tc>
              <w:tc>
                <w:tcPr/>
                <w:p>
                  <w:pPr>
                    <w:pStyle w:val="Compact"/>
                    <w:jc w:val="right"/>
                    <w:jc w:val="center"/>
                  </w:pPr>
                  <w:r>
                    <w:t xml:space="preserve">0.287</w:t>
                  </w:r>
                </w:p>
              </w:tc>
              <w:tc>
                <w:tcPr/>
                <w:p>
                  <w:pPr>
                    <w:pStyle w:val="Compact"/>
                    <w:jc w:val="right"/>
                    <w:jc w:val="center"/>
                  </w:pPr>
                  <w:r>
                    <w:t xml:space="preserve">-0.527</w:t>
                  </w:r>
                </w:p>
              </w:tc>
              <w:tc>
                <w:tcPr/>
                <w:p>
                  <w:pPr>
                    <w:pStyle w:val="Compact"/>
                    <w:jc w:val="right"/>
                    <w:jc w:val="center"/>
                  </w:pPr>
                  <w:r>
                    <w:t xml:space="preserve">0.598</w:t>
                  </w:r>
                </w:p>
              </w:tc>
              <w:tc>
                <w:tcPr/>
                <w:p>
                  <w:pPr>
                    <w:pStyle w:val="Compact"/>
                    <w:jc w:val="right"/>
                    <w:jc w:val="center"/>
                  </w:pPr>
                  <w:r>
                    <w:t xml:space="preserve">0.797</w:t>
                  </w:r>
                </w:p>
              </w:tc>
              <w:tc>
                <w:tcPr/>
                <w:p>
                  <w:pPr>
                    <w:pStyle w:val="Compact"/>
                    <w:jc w:val="right"/>
                    <w:jc w:val="center"/>
                  </w:pPr>
                  <w:r>
                    <w:t xml:space="preserve">-0.714</w:t>
                  </w:r>
                </w:p>
              </w:tc>
              <w:tc>
                <w:tcPr/>
                <w:p>
                  <w:pPr>
                    <w:pStyle w:val="Compact"/>
                    <w:jc w:val="right"/>
                    <w:jc w:val="center"/>
                  </w:pPr>
                  <w:r>
                    <w:t xml:space="preserve">0.411</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2.726</w:t>
                  </w:r>
                </w:p>
              </w:tc>
              <w:tc>
                <w:tcPr/>
                <w:p>
                  <w:pPr>
                    <w:pStyle w:val="Compact"/>
                    <w:jc w:val="right"/>
                    <w:jc w:val="center"/>
                  </w:pPr>
                  <w:r>
                    <w:t xml:space="preserve">1.556</w:t>
                  </w:r>
                </w:p>
              </w:tc>
              <w:tc>
                <w:tcPr/>
                <w:p>
                  <w:pPr>
                    <w:pStyle w:val="Compact"/>
                    <w:jc w:val="right"/>
                    <w:jc w:val="center"/>
                  </w:pPr>
                  <w:r>
                    <w:t xml:space="preserve">1.752</w:t>
                  </w:r>
                </w:p>
              </w:tc>
              <w:tc>
                <w:tcPr/>
                <w:p>
                  <w:pPr>
                    <w:pStyle w:val="Compact"/>
                    <w:jc w:val="right"/>
                    <w:jc w:val="center"/>
                  </w:pPr>
                  <w:r>
                    <w:t xml:space="preserve">0.080</w:t>
                  </w:r>
                </w:p>
              </w:tc>
              <w:tc>
                <w:tcPr/>
                <w:p>
                  <w:pPr>
                    <w:pStyle w:val="Compact"/>
                    <w:jc w:val="right"/>
                    <w:jc w:val="center"/>
                  </w:pPr>
                  <w:r>
                    <w:t xml:space="preserve">NA</w:t>
                  </w:r>
                </w:p>
              </w:tc>
              <w:tc>
                <w:tcPr/>
                <w:p>
                  <w:pPr>
                    <w:pStyle w:val="Compact"/>
                    <w:jc w:val="right"/>
                    <w:jc w:val="center"/>
                  </w:pPr>
                  <w:r>
                    <w:t xml:space="preserve">-0.324</w:t>
                  </w:r>
                </w:p>
              </w:tc>
              <w:tc>
                <w:tcPr/>
                <w:p>
                  <w:pPr>
                    <w:pStyle w:val="Compact"/>
                    <w:jc w:val="right"/>
                    <w:jc w:val="center"/>
                  </w:pPr>
                  <w:r>
                    <w:t xml:space="preserve">5.775</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0.191</w:t>
                  </w:r>
                </w:p>
              </w:tc>
              <w:tc>
                <w:tcPr/>
                <w:p>
                  <w:pPr>
                    <w:pStyle w:val="Compact"/>
                    <w:jc w:val="right"/>
                    <w:jc w:val="center"/>
                  </w:pPr>
                  <w:r>
                    <w:t xml:space="preserve">1.640</w:t>
                  </w:r>
                </w:p>
              </w:tc>
              <w:tc>
                <w:tcPr/>
                <w:p>
                  <w:pPr>
                    <w:pStyle w:val="Compact"/>
                    <w:jc w:val="right"/>
                    <w:jc w:val="center"/>
                  </w:pPr>
                  <w:r>
                    <w:t xml:space="preserve">0.116</w:t>
                  </w:r>
                </w:p>
              </w:tc>
              <w:tc>
                <w:tcPr/>
                <w:p>
                  <w:pPr>
                    <w:pStyle w:val="Compact"/>
                    <w:jc w:val="right"/>
                    <w:jc w:val="center"/>
                  </w:pPr>
                  <w:r>
                    <w:t xml:space="preserve">0.907</w:t>
                  </w:r>
                </w:p>
              </w:tc>
              <w:tc>
                <w:tcPr/>
                <w:p>
                  <w:pPr>
                    <w:pStyle w:val="Compact"/>
                    <w:jc w:val="right"/>
                    <w:jc w:val="center"/>
                  </w:pPr>
                  <w:r>
                    <w:t xml:space="preserve">NA</w:t>
                  </w:r>
                </w:p>
              </w:tc>
              <w:tc>
                <w:tcPr/>
                <w:p>
                  <w:pPr>
                    <w:pStyle w:val="Compact"/>
                    <w:jc w:val="right"/>
                    <w:jc w:val="center"/>
                  </w:pPr>
                  <w:r>
                    <w:t xml:space="preserve">-3.024</w:t>
                  </w:r>
                </w:p>
              </w:tc>
              <w:tc>
                <w:tcPr/>
                <w:p>
                  <w:pPr>
                    <w:pStyle w:val="Compact"/>
                    <w:jc w:val="right"/>
                    <w:jc w:val="center"/>
                  </w:pPr>
                  <w:r>
                    <w:t xml:space="preserve">3.406</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-0.227</w:t>
                  </w:r>
                </w:p>
              </w:tc>
              <w:tc>
                <w:tcPr/>
                <w:p>
                  <w:pPr>
                    <w:pStyle w:val="Compact"/>
                    <w:jc w:val="right"/>
                    <w:jc w:val="center"/>
                  </w:pPr>
                  <w:r>
                    <w:t xml:space="preserve">0.301</w:t>
                  </w:r>
                </w:p>
              </w:tc>
              <w:tc>
                <w:tcPr/>
                <w:p>
                  <w:pPr>
                    <w:pStyle w:val="Compact"/>
                    <w:jc w:val="right"/>
                    <w:jc w:val="center"/>
                  </w:pPr>
                  <w:r>
                    <w:t xml:space="preserve">-0.754</w:t>
                  </w:r>
                </w:p>
              </w:tc>
              <w:tc>
                <w:tcPr/>
                <w:p>
                  <w:pPr>
                    <w:pStyle w:val="Compact"/>
                    <w:jc w:val="right"/>
                    <w:jc w:val="center"/>
                  </w:pPr>
                  <w:r>
                    <w:t xml:space="preserve">0.451</w:t>
                  </w:r>
                </w:p>
              </w:tc>
              <w:tc>
                <w:tcPr/>
                <w:p>
                  <w:pPr>
                    <w:pStyle w:val="Compact"/>
                    <w:jc w:val="right"/>
                    <w:jc w:val="center"/>
                  </w:pPr>
                  <w:r>
                    <w:t xml:space="preserve">NA</w:t>
                  </w:r>
                </w:p>
              </w:tc>
              <w:tc>
                <w:tcPr/>
                <w:p>
                  <w:pPr>
                    <w:pStyle w:val="Compact"/>
                    <w:jc w:val="right"/>
                    <w:jc w:val="center"/>
                  </w:pPr>
                  <w:r>
                    <w:t xml:space="preserve">-0.816</w:t>
                  </w:r>
                </w:p>
              </w:tc>
              <w:tc>
                <w:tcPr/>
                <w:p>
                  <w:pPr>
                    <w:pStyle w:val="Compact"/>
                    <w:jc w:val="right"/>
                    <w:jc w:val="center"/>
                  </w:pPr>
                  <w:r>
                    <w:t xml:space="preserve">0.363</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0.022</w:t>
                  </w:r>
                </w:p>
              </w:tc>
              <w:tc>
                <w:tcPr/>
                <w:p>
                  <w:pPr>
                    <w:pStyle w:val="Compact"/>
                    <w:jc w:val="right"/>
                    <w:jc w:val="center"/>
                  </w:pPr>
                  <w:r>
                    <w:t xml:space="preserve">0.419</w:t>
                  </w:r>
                </w:p>
              </w:tc>
              <w:tc>
                <w:tcPr/>
                <w:p>
                  <w:pPr>
                    <w:pStyle w:val="Compact"/>
                    <w:jc w:val="right"/>
                    <w:jc w:val="center"/>
                  </w:pPr>
                  <w:r>
                    <w:t xml:space="preserve">0.052</w:t>
                  </w:r>
                </w:p>
              </w:tc>
              <w:tc>
                <w:tcPr/>
                <w:p>
                  <w:pPr>
                    <w:pStyle w:val="Compact"/>
                    <w:jc w:val="right"/>
                    <w:jc w:val="center"/>
                  </w:pPr>
                  <w:r>
                    <w:t xml:space="preserve">0.959</w:t>
                  </w:r>
                </w:p>
              </w:tc>
              <w:tc>
                <w:tcPr/>
                <w:p>
                  <w:pPr>
                    <w:pStyle w:val="Compact"/>
                    <w:jc w:val="right"/>
                    <w:jc w:val="center"/>
                  </w:pPr>
                  <w:r>
                    <w:t xml:space="preserve">0.959</w:t>
                  </w:r>
                </w:p>
              </w:tc>
              <w:tc>
                <w:tcPr/>
                <w:p>
                  <w:pPr>
                    <w:pStyle w:val="Compact"/>
                    <w:jc w:val="right"/>
                    <w:jc w:val="center"/>
                  </w:pPr>
                  <w:r>
                    <w:t xml:space="preserve">-0.800</w:t>
                  </w:r>
                </w:p>
              </w:tc>
              <w:tc>
                <w:tcPr/>
                <w:p>
                  <w:pPr>
                    <w:pStyle w:val="Compact"/>
                    <w:jc w:val="right"/>
                    <w:jc w:val="center"/>
                  </w:pPr>
                  <w:r>
                    <w:t xml:space="preserve">0.843</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0.380</w:t>
                  </w:r>
                </w:p>
              </w:tc>
              <w:tc>
                <w:tcPr/>
                <w:p>
                  <w:pPr>
                    <w:pStyle w:val="Compact"/>
                    <w:jc w:val="right"/>
                    <w:jc w:val="center"/>
                  </w:pPr>
                  <w:r>
                    <w:t xml:space="preserve">0.790</w:t>
                  </w:r>
                </w:p>
              </w:tc>
              <w:tc>
                <w:tcPr/>
                <w:p>
                  <w:pPr>
                    <w:pStyle w:val="Compact"/>
                    <w:jc w:val="right"/>
                    <w:jc w:val="center"/>
                  </w:pPr>
                  <w:r>
                    <w:t xml:space="preserve">0.480</w:t>
                  </w:r>
                </w:p>
              </w:tc>
              <w:tc>
                <w:tcPr/>
                <w:p>
                  <w:pPr>
                    <w:pStyle w:val="Compact"/>
                    <w:jc w:val="right"/>
                    <w:jc w:val="center"/>
                  </w:pPr>
                  <w:r>
                    <w:t xml:space="preserve">0.631</w:t>
                  </w:r>
                </w:p>
              </w:tc>
              <w:tc>
                <w:tcPr/>
                <w:p>
                  <w:pPr>
                    <w:pStyle w:val="Compact"/>
                    <w:jc w:val="right"/>
                    <w:jc w:val="center"/>
                  </w:pPr>
                  <w:r>
                    <w:t xml:space="preserve">NA</w:t>
                  </w:r>
                </w:p>
              </w:tc>
              <w:tc>
                <w:tcPr/>
                <w:p>
                  <w:pPr>
                    <w:pStyle w:val="Compact"/>
                    <w:jc w:val="right"/>
                    <w:jc w:val="center"/>
                  </w:pPr>
                  <w:r>
                    <w:t xml:space="preserve">-1.169</w:t>
                  </w:r>
                </w:p>
              </w:tc>
              <w:tc>
                <w:tcPr/>
                <w:p>
                  <w:pPr>
                    <w:pStyle w:val="Compact"/>
                    <w:jc w:val="right"/>
                    <w:jc w:val="center"/>
                  </w:pPr>
                  <w:r>
                    <w:t xml:space="preserve">1.928</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-0.115</w:t>
                  </w:r>
                </w:p>
              </w:tc>
              <w:tc>
                <w:tcPr/>
                <w:p>
                  <w:pPr>
                    <w:pStyle w:val="Compact"/>
                    <w:jc w:val="right"/>
                    <w:jc w:val="center"/>
                  </w:pPr>
                  <w:r>
                    <w:t xml:space="preserve">0.570</w:t>
                  </w:r>
                </w:p>
              </w:tc>
              <w:tc>
                <w:tcPr/>
                <w:p>
                  <w:pPr>
                    <w:pStyle w:val="Compact"/>
                    <w:jc w:val="right"/>
                    <w:jc w:val="center"/>
                  </w:pPr>
                  <w:r>
                    <w:t xml:space="preserve">-0.202</w:t>
                  </w:r>
                </w:p>
              </w:tc>
              <w:tc>
                <w:tcPr/>
                <w:p>
                  <w:pPr>
                    <w:pStyle w:val="Compact"/>
                    <w:jc w:val="right"/>
                    <w:jc w:val="center"/>
                  </w:pPr>
                  <w:r>
                    <w:t xml:space="preserve">0.840</w:t>
                  </w:r>
                </w:p>
              </w:tc>
              <w:tc>
                <w:tcPr/>
                <w:p>
                  <w:pPr>
                    <w:pStyle w:val="Compact"/>
                    <w:jc w:val="right"/>
                    <w:jc w:val="center"/>
                  </w:pPr>
                  <w:r>
                    <w:t xml:space="preserve">NA</w:t>
                  </w:r>
                </w:p>
              </w:tc>
              <w:tc>
                <w:tcPr/>
                <w:p>
                  <w:pPr>
                    <w:pStyle w:val="Compact"/>
                    <w:jc w:val="right"/>
                    <w:jc w:val="center"/>
                  </w:pPr>
                  <w:r>
                    <w:t xml:space="preserve">-1.232</w:t>
                  </w:r>
                </w:p>
              </w:tc>
              <w:tc>
                <w:tcPr/>
                <w:p>
                  <w:pPr>
                    <w:pStyle w:val="Compact"/>
                    <w:jc w:val="right"/>
                    <w:jc w:val="center"/>
                  </w:pPr>
                  <w:r>
                    <w:t xml:space="preserve">1.002</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-0.019</w:t>
                  </w:r>
                </w:p>
              </w:tc>
              <w:tc>
                <w:tcPr/>
                <w:p>
                  <w:pPr>
                    <w:pStyle w:val="Compact"/>
                    <w:jc w:val="right"/>
                    <w:jc w:val="center"/>
                  </w:pPr>
                  <w:r>
                    <w:t xml:space="preserve">0.062</w:t>
                  </w:r>
                </w:p>
              </w:tc>
              <w:tc>
                <w:tcPr/>
                <w:p>
                  <w:pPr>
                    <w:pStyle w:val="Compact"/>
                    <w:jc w:val="right"/>
                    <w:jc w:val="center"/>
                  </w:pPr>
                  <w:r>
                    <w:t xml:space="preserve">-0.302</w:t>
                  </w:r>
                </w:p>
              </w:tc>
              <w:tc>
                <w:tcPr/>
                <w:p>
                  <w:pPr>
                    <w:pStyle w:val="Compact"/>
                    <w:jc w:val="right"/>
                    <w:jc w:val="center"/>
                  </w:pPr>
                  <w:r>
                    <w:t xml:space="preserve">0.763</w:t>
                  </w:r>
                </w:p>
              </w:tc>
              <w:tc>
                <w:tcPr/>
                <w:p>
                  <w:pPr>
                    <w:pStyle w:val="Compact"/>
                    <w:jc w:val="right"/>
                    <w:jc w:val="center"/>
                  </w:pPr>
                  <w:r>
                    <w:t xml:space="preserve">NA</w:t>
                  </w:r>
                </w:p>
              </w:tc>
              <w:tc>
                <w:tcPr/>
                <w:p>
                  <w:pPr>
                    <w:pStyle w:val="Compact"/>
                    <w:jc w:val="right"/>
                    <w:jc w:val="center"/>
                  </w:pPr>
                  <w:r>
                    <w:t xml:space="preserve">-0.141</w:t>
                  </w:r>
                </w:p>
              </w:tc>
              <w:tc>
                <w:tcPr/>
                <w:p>
                  <w:pPr>
                    <w:pStyle w:val="Compact"/>
                    <w:jc w:val="right"/>
                    <w:jc w:val="center"/>
                  </w:pPr>
                  <w:r>
                    <w:t xml:space="preserve">0.103</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SeasonSpring</w:t>
                  </w:r>
                </w:p>
              </w:tc>
              <w:tc>
                <w:tcPr/>
                <w:p>
                  <w:pPr>
                    <w:pStyle w:val="Compact"/>
                    <w:jc w:val="right"/>
                    <w:jc w:val="center"/>
                  </w:pPr>
                  <w:r>
                    <w:t xml:space="preserve">-0.386</w:t>
                  </w:r>
                </w:p>
              </w:tc>
              <w:tc>
                <w:tcPr/>
                <w:p>
                  <w:pPr>
                    <w:pStyle w:val="Compact"/>
                    <w:jc w:val="right"/>
                    <w:jc w:val="center"/>
                  </w:pPr>
                  <w:r>
                    <w:t xml:space="preserve">0.227</w:t>
                  </w:r>
                </w:p>
              </w:tc>
              <w:tc>
                <w:tcPr/>
                <w:p>
                  <w:pPr>
                    <w:pStyle w:val="Compact"/>
                    <w:jc w:val="right"/>
                    <w:jc w:val="center"/>
                  </w:pPr>
                  <w:r>
                    <w:t xml:space="preserve">-1.699</w:t>
                  </w:r>
                </w:p>
              </w:tc>
              <w:tc>
                <w:tcPr/>
                <w:p>
                  <w:pPr>
                    <w:pStyle w:val="Compact"/>
                    <w:jc w:val="right"/>
                    <w:jc w:val="center"/>
                  </w:pPr>
                  <w:r>
                    <w:t xml:space="preserve">0.089</w:t>
                  </w:r>
                </w:p>
              </w:tc>
              <w:tc>
                <w:tcPr/>
                <w:p>
                  <w:pPr>
                    <w:pStyle w:val="Compact"/>
                    <w:jc w:val="right"/>
                    <w:jc w:val="center"/>
                  </w:pPr>
                  <w:r>
                    <w:t xml:space="preserve">NA</w:t>
                  </w:r>
                </w:p>
              </w:tc>
              <w:tc>
                <w:tcPr/>
                <w:p>
                  <w:pPr>
                    <w:pStyle w:val="Compact"/>
                    <w:jc w:val="right"/>
                    <w:jc w:val="center"/>
                  </w:pPr>
                  <w:r>
                    <w:t xml:space="preserve">-0.831</w:t>
                  </w:r>
                </w:p>
              </w:tc>
              <w:tc>
                <w:tcPr/>
                <w:p>
                  <w:pPr>
                    <w:pStyle w:val="Compact"/>
                    <w:jc w:val="right"/>
                    <w:jc w:val="center"/>
                  </w:pPr>
                  <w:r>
                    <w:t xml:space="preserve">0.059</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SeasonSummer</w:t>
                  </w:r>
                </w:p>
              </w:tc>
              <w:tc>
                <w:tcPr/>
                <w:p>
                  <w:pPr>
                    <w:pStyle w:val="Compact"/>
                    <w:jc w:val="right"/>
                    <w:jc w:val="center"/>
                  </w:pPr>
                  <w:r>
                    <w:t xml:space="preserve">-0.330</w:t>
                  </w:r>
                </w:p>
              </w:tc>
              <w:tc>
                <w:tcPr/>
                <w:p>
                  <w:pPr>
                    <w:pStyle w:val="Compact"/>
                    <w:jc w:val="right"/>
                    <w:jc w:val="center"/>
                  </w:pPr>
                  <w:r>
                    <w:t xml:space="preserve">0.233</w:t>
                  </w:r>
                </w:p>
              </w:tc>
              <w:tc>
                <w:tcPr/>
                <w:p>
                  <w:pPr>
                    <w:pStyle w:val="Compact"/>
                    <w:jc w:val="right"/>
                    <w:jc w:val="center"/>
                  </w:pPr>
                  <w:r>
                    <w:t xml:space="preserve">-1.416</w:t>
                  </w:r>
                </w:p>
              </w:tc>
              <w:tc>
                <w:tcPr/>
                <w:p>
                  <w:pPr>
                    <w:pStyle w:val="Compact"/>
                    <w:jc w:val="right"/>
                    <w:jc w:val="center"/>
                  </w:pPr>
                  <w:r>
                    <w:t xml:space="preserve">0.157</w:t>
                  </w:r>
                </w:p>
              </w:tc>
              <w:tc>
                <w:tcPr/>
                <w:p>
                  <w:pPr>
                    <w:pStyle w:val="Compact"/>
                    <w:jc w:val="right"/>
                    <w:jc w:val="center"/>
                  </w:pPr>
                  <w:r>
                    <w:t xml:space="preserve">NA</w:t>
                  </w:r>
                </w:p>
              </w:tc>
              <w:tc>
                <w:tcPr/>
                <w:p>
                  <w:pPr>
                    <w:pStyle w:val="Compact"/>
                    <w:jc w:val="right"/>
                    <w:jc w:val="center"/>
                  </w:pPr>
                  <w:r>
                    <w:t xml:space="preserve">-0.787</w:t>
                  </w:r>
                </w:p>
              </w:tc>
              <w:tc>
                <w:tcPr/>
                <w:p>
                  <w:pPr>
                    <w:pStyle w:val="Compact"/>
                    <w:jc w:val="right"/>
                    <w:jc w:val="center"/>
                  </w:pPr>
                  <w:r>
                    <w:t xml:space="preserve">0.127</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SeasonWinter</w:t>
                  </w:r>
                </w:p>
              </w:tc>
              <w:tc>
                <w:tcPr/>
                <w:p>
                  <w:pPr>
                    <w:pStyle w:val="Compact"/>
                    <w:jc w:val="right"/>
                    <w:jc w:val="center"/>
                  </w:pPr>
                  <w:r>
                    <w:t xml:space="preserve">-0.546</w:t>
                  </w:r>
                </w:p>
              </w:tc>
              <w:tc>
                <w:tcPr/>
                <w:p>
                  <w:pPr>
                    <w:pStyle w:val="Compact"/>
                    <w:jc w:val="right"/>
                    <w:jc w:val="center"/>
                  </w:pPr>
                  <w:r>
                    <w:t xml:space="preserve">0.196</w:t>
                  </w:r>
                </w:p>
              </w:tc>
              <w:tc>
                <w:tcPr/>
                <w:p>
                  <w:pPr>
                    <w:pStyle w:val="Compact"/>
                    <w:jc w:val="right"/>
                    <w:jc w:val="center"/>
                  </w:pPr>
                  <w:r>
                    <w:t xml:space="preserve">-2.781</w:t>
                  </w:r>
                </w:p>
              </w:tc>
              <w:tc>
                <w:tcPr/>
                <w:p>
                  <w:pPr>
                    <w:pStyle w:val="Compact"/>
                    <w:jc w:val="right"/>
                    <w:jc w:val="center"/>
                  </w:pPr>
                  <w:r>
                    <w:t xml:space="preserve">0.005</w:t>
                  </w:r>
                </w:p>
              </w:tc>
              <w:tc>
                <w:tcPr/>
                <w:p>
                  <w:pPr>
                    <w:pStyle w:val="Compact"/>
                    <w:jc w:val="right"/>
                    <w:jc w:val="center"/>
                  </w:pPr>
                  <w:r>
                    <w:t xml:space="preserve">NA</w:t>
                  </w:r>
                </w:p>
              </w:tc>
              <w:tc>
                <w:tcPr/>
                <w:p>
                  <w:pPr>
                    <w:pStyle w:val="Compact"/>
                    <w:jc w:val="right"/>
                    <w:jc w:val="center"/>
                  </w:pPr>
                  <w:r>
                    <w:t xml:space="preserve">-0.932</w:t>
                  </w:r>
                </w:p>
              </w:tc>
              <w:tc>
                <w:tcPr/>
                <w:p>
                  <w:pPr>
                    <w:pStyle w:val="Compact"/>
                    <w:jc w:val="right"/>
                    <w:jc w:val="center"/>
                  </w:pPr>
                  <w:r>
                    <w:t xml:space="preserve">-0.161</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-0.069</w:t>
                  </w:r>
                </w:p>
              </w:tc>
              <w:tc>
                <w:tcPr/>
                <w:p>
                  <w:pPr>
                    <w:pStyle w:val="Compact"/>
                    <w:jc w:val="right"/>
                    <w:jc w:val="center"/>
                  </w:pPr>
                  <w:r>
                    <w:t xml:space="preserve">0.088</w:t>
                  </w:r>
                </w:p>
              </w:tc>
              <w:tc>
                <w:tcPr/>
                <w:p>
                  <w:pPr>
                    <w:pStyle w:val="Compact"/>
                    <w:jc w:val="right"/>
                    <w:jc w:val="center"/>
                  </w:pPr>
                  <w:r>
                    <w:t xml:space="preserve">-0.787</w:t>
                  </w:r>
                </w:p>
              </w:tc>
              <w:tc>
                <w:tcPr/>
                <w:p>
                  <w:pPr>
                    <w:pStyle w:val="Compact"/>
                    <w:jc w:val="right"/>
                    <w:jc w:val="center"/>
                  </w:pPr>
                  <w:r>
                    <w:t xml:space="preserve">0.431</w:t>
                  </w:r>
                </w:p>
              </w:tc>
              <w:tc>
                <w:tcPr/>
                <w:p>
                  <w:pPr>
                    <w:pStyle w:val="Compact"/>
                    <w:jc w:val="right"/>
                    <w:jc w:val="center"/>
                  </w:pPr>
                  <w:r>
                    <w:t xml:space="preserve">0.797</w:t>
                  </w:r>
                </w:p>
              </w:tc>
              <w:tc>
                <w:tcPr/>
                <w:p>
                  <w:pPr>
                    <w:pStyle w:val="Compact"/>
                    <w:jc w:val="right"/>
                    <w:jc w:val="center"/>
                  </w:pPr>
                  <w:r>
                    <w:t xml:space="preserve">-0.241</w:t>
                  </w:r>
                </w:p>
              </w:tc>
              <w:tc>
                <w:tcPr/>
                <w:p>
                  <w:pPr>
                    <w:pStyle w:val="Compact"/>
                    <w:jc w:val="right"/>
                    <w:jc w:val="center"/>
                  </w:pPr>
                  <w:r>
                    <w:t xml:space="preserve">0.103</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3.275</w:t>
                  </w:r>
                </w:p>
              </w:tc>
              <w:tc>
                <w:tcPr/>
                <w:p>
                  <w:pPr>
                    <w:pStyle w:val="Compact"/>
                    <w:jc w:val="right"/>
                    <w:jc w:val="center"/>
                  </w:pPr>
                  <w:r>
                    <w:t xml:space="preserve">0.800</w:t>
                  </w:r>
                </w:p>
              </w:tc>
              <w:tc>
                <w:tcPr/>
                <w:p>
                  <w:pPr>
                    <w:pStyle w:val="Compact"/>
                    <w:jc w:val="right"/>
                    <w:jc w:val="center"/>
                  </w:pPr>
                  <w:r>
                    <w:t xml:space="preserve">4.095</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1.707</w:t>
                  </w:r>
                </w:p>
              </w:tc>
              <w:tc>
                <w:tcPr/>
                <w:p>
                  <w:pPr>
                    <w:pStyle w:val="Compact"/>
                    <w:jc w:val="right"/>
                    <w:jc w:val="center"/>
                  </w:pPr>
                  <w:r>
                    <w:t xml:space="preserve">4.842</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-0.067</w:t>
                  </w:r>
                </w:p>
              </w:tc>
              <w:tc>
                <w:tcPr/>
                <w:p>
                  <w:pPr>
                    <w:pStyle w:val="Compact"/>
                    <w:jc w:val="right"/>
                    <w:jc w:val="center"/>
                  </w:pPr>
                  <w:r>
                    <w:t xml:space="preserve">0.670</w:t>
                  </w:r>
                </w:p>
              </w:tc>
              <w:tc>
                <w:tcPr/>
                <w:p>
                  <w:pPr>
                    <w:pStyle w:val="Compact"/>
                    <w:jc w:val="right"/>
                    <w:jc w:val="center"/>
                  </w:pPr>
                  <w:r>
                    <w:t xml:space="preserve">-0.100</w:t>
                  </w:r>
                </w:p>
              </w:tc>
              <w:tc>
                <w:tcPr/>
                <w:p>
                  <w:pPr>
                    <w:pStyle w:val="Compact"/>
                    <w:jc w:val="right"/>
                    <w:jc w:val="center"/>
                  </w:pPr>
                  <w:r>
                    <w:t xml:space="preserve">0.920</w:t>
                  </w:r>
                </w:p>
              </w:tc>
              <w:tc>
                <w:tcPr/>
                <w:p>
                  <w:pPr>
                    <w:pStyle w:val="Compact"/>
                    <w:jc w:val="right"/>
                    <w:jc w:val="center"/>
                  </w:pPr>
                  <w:r>
                    <w:t xml:space="preserve">NA</w:t>
                  </w:r>
                </w:p>
              </w:tc>
              <w:tc>
                <w:tcPr/>
                <w:p>
                  <w:pPr>
                    <w:pStyle w:val="Compact"/>
                    <w:jc w:val="right"/>
                    <w:jc w:val="center"/>
                  </w:pPr>
                  <w:r>
                    <w:t xml:space="preserve">-1.379</w:t>
                  </w:r>
                </w:p>
              </w:tc>
              <w:tc>
                <w:tcPr/>
                <w:p>
                  <w:pPr>
                    <w:pStyle w:val="Compact"/>
                    <w:jc w:val="right"/>
                    <w:jc w:val="center"/>
                  </w:pPr>
                  <w:r>
                    <w:t xml:space="preserve">1.245</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-0.047</w:t>
                  </w:r>
                </w:p>
              </w:tc>
              <w:tc>
                <w:tcPr/>
                <w:p>
                  <w:pPr>
                    <w:pStyle w:val="Compact"/>
                    <w:jc w:val="right"/>
                    <w:jc w:val="center"/>
                  </w:pPr>
                  <w:r>
                    <w:t xml:space="preserve">0.087</w:t>
                  </w:r>
                </w:p>
              </w:tc>
              <w:tc>
                <w:tcPr/>
                <w:p>
                  <w:pPr>
                    <w:pStyle w:val="Compact"/>
                    <w:jc w:val="right"/>
                    <w:jc w:val="center"/>
                  </w:pPr>
                  <w:r>
                    <w:t xml:space="preserve">-0.548</w:t>
                  </w:r>
                </w:p>
              </w:tc>
              <w:tc>
                <w:tcPr/>
                <w:p>
                  <w:pPr>
                    <w:pStyle w:val="Compact"/>
                    <w:jc w:val="right"/>
                    <w:jc w:val="center"/>
                  </w:pPr>
                  <w:r>
                    <w:t xml:space="preserve">0.584</w:t>
                  </w:r>
                </w:p>
              </w:tc>
              <w:tc>
                <w:tcPr/>
                <w:p>
                  <w:pPr>
                    <w:pStyle w:val="Compact"/>
                    <w:jc w:val="right"/>
                    <w:jc w:val="center"/>
                  </w:pPr>
                  <w:r>
                    <w:t xml:space="preserve">NA</w:t>
                  </w:r>
                </w:p>
              </w:tc>
              <w:tc>
                <w:tcPr/>
                <w:p>
                  <w:pPr>
                    <w:pStyle w:val="Compact"/>
                    <w:jc w:val="right"/>
                    <w:jc w:val="center"/>
                  </w:pPr>
                  <w:r>
                    <w:t xml:space="preserve">-0.217</w:t>
                  </w:r>
                </w:p>
              </w:tc>
              <w:tc>
                <w:tcPr/>
                <w:p>
                  <w:pPr>
                    <w:pStyle w:val="Compact"/>
                    <w:jc w:val="right"/>
                    <w:jc w:val="center"/>
                  </w:pPr>
                  <w:r>
                    <w:t xml:space="preserve">0.122</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-0.074</w:t>
                  </w:r>
                </w:p>
              </w:tc>
              <w:tc>
                <w:tcPr/>
                <w:p>
                  <w:pPr>
                    <w:pStyle w:val="Compact"/>
                    <w:jc w:val="right"/>
                    <w:jc w:val="center"/>
                  </w:pPr>
                  <w:r>
                    <w:t xml:space="preserve">0.125</w:t>
                  </w:r>
                </w:p>
              </w:tc>
              <w:tc>
                <w:tcPr/>
                <w:p>
                  <w:pPr>
                    <w:pStyle w:val="Compact"/>
                    <w:jc w:val="right"/>
                    <w:jc w:val="center"/>
                  </w:pPr>
                  <w:r>
                    <w:t xml:space="preserve">-0.591</w:t>
                  </w:r>
                </w:p>
              </w:tc>
              <w:tc>
                <w:tcPr/>
                <w:p>
                  <w:pPr>
                    <w:pStyle w:val="Compact"/>
                    <w:jc w:val="right"/>
                    <w:jc w:val="center"/>
                  </w:pPr>
                  <w:r>
                    <w:t xml:space="preserve">0.554</w:t>
                  </w:r>
                </w:p>
              </w:tc>
              <w:tc>
                <w:tcPr/>
                <w:p>
                  <w:pPr>
                    <w:pStyle w:val="Compact"/>
                    <w:jc w:val="right"/>
                    <w:jc w:val="center"/>
                  </w:pPr>
                  <w:r>
                    <w:t xml:space="preserve">0.797</w:t>
                  </w:r>
                </w:p>
              </w:tc>
              <w:tc>
                <w:tcPr/>
                <w:p>
                  <w:pPr>
                    <w:pStyle w:val="Compact"/>
                    <w:jc w:val="right"/>
                    <w:jc w:val="center"/>
                  </w:pPr>
                  <w:r>
                    <w:t xml:space="preserve">-0.319</w:t>
                  </w:r>
                </w:p>
              </w:tc>
              <w:tc>
                <w:tcPr/>
                <w:p>
                  <w:pPr>
                    <w:pStyle w:val="Compact"/>
                    <w:jc w:val="right"/>
                    <w:jc w:val="center"/>
                  </w:pPr>
                  <w:r>
                    <w:t xml:space="preserve">0.171</w:t>
                  </w:r>
                </w:p>
              </w:tc>
            </w:tr>
          </w:tbl>
          <w:bookmarkEnd w:id="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tbl-baseline-combined"/>
          <w:p>
            <w:pPr>
              <w:jc w:val="center"/>
            </w:pPr>
            <w:pPr>
              <w:jc w:val="left"/>
              <w:spacing w:before="200"/>
              <w:pStyle w:val="ImageCaption"/>
            </w:pPr>
            <w:r>
              <w:t xml:space="preserve">Table 3: Baseline (pre-construction) comparability of stone pile, control, and reference sites. Values are mean ± SD; p-values test Stone pile vs Control (paired Wilcoxon signed-rank test) and Stone pile vs Reference (unpaired Wilcoxon rank-sum test).</w:t>
            </w:r>
          </w:p>
          <w:tbl>
            <w:tblPr>
              <w:tblStyle w:val="Table"/>
              <w:tblW w:type="pct" w:w="5000"/>
              <w:tblLayout w:type="fixed"/>
              <w:tblLook w:firstRow="1" w:lastRow="0" w:firstColumn="0" w:lastColumn="0" w:noHBand="0" w:noVBand="0" w:val="0020"/>
            </w:tblPr>
            <w:tblGrid>
              <w:gridCol w:w="2329"/>
              <w:gridCol w:w="1164"/>
              <w:gridCol w:w="1087"/>
              <w:gridCol w:w="1164"/>
              <w:gridCol w:w="1009"/>
              <w:gridCol w:w="1164"/>
            </w:tblGrid>
            <w:tr>
              <w:trPr>
                <w:tblHeader w:val="on"/>
              </w:trPr>
              <w:tc>
                <w:tcPr/>
                <w:p>
                  <w:pPr>
                    <w:pStyle w:val="Compact"/>
                    <w:jc w:val="left"/>
                    <w:jc w:val="center"/>
                  </w:pPr>
                  <w:r>
                    <w:t xml:space="preserve">Variable</w:t>
                  </w:r>
                </w:p>
              </w:tc>
              <w:tc>
                <w:tcPr/>
                <w:p>
                  <w:pPr>
                    <w:pStyle w:val="Compact"/>
                    <w:jc w:val="left"/>
                    <w:jc w:val="center"/>
                  </w:pPr>
                  <w:r>
                    <w:t xml:space="preserve">Stone_pile</w:t>
                  </w:r>
                </w:p>
              </w:tc>
              <w:tc>
                <w:tcPr/>
                <w:p>
                  <w:pPr>
                    <w:pStyle w:val="Compact"/>
                    <w:jc w:val="left"/>
                    <w:jc w:val="center"/>
                  </w:pPr>
                  <w:r>
                    <w:t xml:space="preserve">Control</w:t>
                  </w:r>
                </w:p>
              </w:tc>
              <w:tc>
                <w:tcPr/>
                <w:p>
                  <w:pPr>
                    <w:pStyle w:val="Compact"/>
                    <w:jc w:val="left"/>
                    <w:jc w:val="center"/>
                  </w:pPr>
                  <w:r>
                    <w:t xml:space="preserve">Reference</w:t>
                  </w:r>
                </w:p>
              </w:tc>
              <w:tc>
                <w:tcPr/>
                <w:p>
                  <w:pPr>
                    <w:pStyle w:val="Compact"/>
                    <w:jc w:val="right"/>
                    <w:jc w:val="center"/>
                  </w:pPr>
                  <w:r>
                    <w:t xml:space="preserve">p_vs_Control</w:t>
                  </w:r>
                </w:p>
              </w:tc>
              <w:tc>
                <w:tcPr/>
                <w:p>
                  <w:pPr>
                    <w:pStyle w:val="Compact"/>
                    <w:jc w:val="right"/>
                    <w:jc w:val="center"/>
                  </w:pPr>
                  <w:r>
                    <w:t xml:space="preserve">p_vs_Reference</w:t>
                  </w:r>
                </w:p>
              </w:tc>
            </w:tr>
            <w:tr>
              <w:tc>
                <w:tcPr/>
                <w:p>
                  <w:pPr>
                    <w:pStyle w:val="Compact"/>
                    <w:jc w:val="left"/>
                    <w:jc w:val="center"/>
                  </w:pPr>
                  <w:r>
                    <w:t xml:space="preserve">Kōura CPUE</w:t>
                  </w:r>
                </w:p>
              </w:tc>
              <w:tc>
                <w:tcPr/>
                <w:p>
                  <w:pPr>
                    <w:pStyle w:val="Compact"/>
                    <w:jc w:val="left"/>
                    <w:jc w:val="center"/>
                  </w:pPr>
                  <w:r>
                    <w:t xml:space="preserve">0.2 ± 0.27</w:t>
                  </w:r>
                </w:p>
              </w:tc>
              <w:tc>
                <w:tcPr/>
                <w:p>
                  <w:pPr>
                    <w:pStyle w:val="Compact"/>
                    <w:jc w:val="left"/>
                    <w:jc w:val="center"/>
                  </w:pPr>
                  <w:r>
                    <w:t xml:space="preserve">0.15 ± 0.22</w:t>
                  </w:r>
                </w:p>
              </w:tc>
              <w:tc>
                <w:tcPr/>
                <w:p>
                  <w:pPr>
                    <w:pStyle w:val="Compact"/>
                    <w:jc w:val="left"/>
                    <w:jc w:val="center"/>
                  </w:pPr>
                  <w:r>
                    <w:t xml:space="preserve">2.13 ± 2.32</w:t>
                  </w:r>
                </w:p>
              </w:tc>
              <w:tc>
                <w:tcPr/>
                <w:p>
                  <w:pPr>
                    <w:pStyle w:val="Compact"/>
                    <w:jc w:val="right"/>
                    <w:jc w:val="center"/>
                  </w:pPr>
                  <w:r>
                    <w:t xml:space="preserve">1.000</w:t>
                  </w:r>
                </w:p>
              </w:tc>
              <w:tc>
                <w:tcPr/>
                <w:p>
                  <w:pPr>
                    <w:pStyle w:val="Compact"/>
                    <w:jc w:val="right"/>
                    <w:jc w:val="center"/>
                  </w:pPr>
                  <w:r>
                    <w:t xml:space="preserve">0.205</w:t>
                  </w:r>
                </w:p>
              </w:tc>
            </w:tr>
            <w:tr>
              <w:tc>
                <w:tcPr/>
                <w:p>
                  <w:pPr>
                    <w:pStyle w:val="Compact"/>
                    <w:jc w:val="left"/>
                    <w:jc w:val="center"/>
                  </w:pPr>
                  <w:r>
                    <w:t xml:space="preserve">Catfish CPUE</w:t>
                  </w:r>
                </w:p>
              </w:tc>
              <w:tc>
                <w:tcPr/>
                <w:p>
                  <w:pPr>
                    <w:pStyle w:val="Compact"/>
                    <w:jc w:val="left"/>
                    <w:jc w:val="center"/>
                  </w:pPr>
                  <w:r>
                    <w:t xml:space="preserve">0.05 ± 0.11</w:t>
                  </w:r>
                </w:p>
              </w:tc>
              <w:tc>
                <w:tcPr/>
                <w:p>
                  <w:pPr>
                    <w:pStyle w:val="Compact"/>
                    <w:jc w:val="left"/>
                    <w:jc w:val="center"/>
                  </w:pPr>
                  <w:r>
                    <w:t xml:space="preserve">0.1 ± 0.22</w:t>
                  </w:r>
                </w:p>
              </w:tc>
              <w:tc>
                <w:tcPr/>
                <w:p>
                  <w:pPr>
                    <w:pStyle w:val="Compact"/>
                    <w:jc w:val="left"/>
                    <w:jc w:val="center"/>
                  </w:pPr>
                  <w:r>
                    <w:t xml:space="preserve">0.3 ± 0.52</w:t>
                  </w:r>
                </w:p>
              </w:tc>
              <w:tc>
                <w:tcPr/>
                <w:p>
                  <w:pPr>
                    <w:pStyle w:val="Compact"/>
                    <w:jc w:val="right"/>
                    <w:jc w:val="center"/>
                  </w:pPr>
                  <w:r>
                    <w:t xml:space="preserve">1.000</w:t>
                  </w:r>
                </w:p>
              </w:tc>
              <w:tc>
                <w:tcPr/>
                <w:p>
                  <w:pPr>
                    <w:pStyle w:val="Compact"/>
                    <w:jc w:val="right"/>
                    <w:jc w:val="center"/>
                  </w:pPr>
                  <w:r>
                    <w:t xml:space="preserve">0.420</w:t>
                  </w:r>
                </w:p>
              </w:tc>
            </w:tr>
            <w:tr>
              <w:tc>
                <w:tcPr/>
                <w:p>
                  <w:pPr>
                    <w:pStyle w:val="Compact"/>
                    <w:jc w:val="left"/>
                    <w:jc w:val="center"/>
                  </w:pPr>
                  <w:r>
                    <w:t xml:space="preserve">Kōura BPUE</w:t>
                  </w:r>
                </w:p>
              </w:tc>
              <w:tc>
                <w:tcPr/>
                <w:p>
                  <w:pPr>
                    <w:pStyle w:val="Compact"/>
                    <w:jc w:val="left"/>
                    <w:jc w:val="center"/>
                  </w:pPr>
                  <w:r>
                    <w:t xml:space="preserve">7.95 ± 12.15</w:t>
                  </w:r>
                </w:p>
              </w:tc>
              <w:tc>
                <w:tcPr/>
                <w:p>
                  <w:pPr>
                    <w:pStyle w:val="Compact"/>
                    <w:jc w:val="left"/>
                    <w:jc w:val="center"/>
                  </w:pPr>
                  <w:r>
                    <w:t xml:space="preserve">2.8 ± 3.84</w:t>
                  </w:r>
                </w:p>
              </w:tc>
              <w:tc>
                <w:tcPr/>
                <w:p>
                  <w:pPr>
                    <w:pStyle w:val="Compact"/>
                    <w:jc w:val="left"/>
                    <w:jc w:val="center"/>
                  </w:pPr>
                  <w:r>
                    <w:t xml:space="preserve">36.69 ± 36.82</w:t>
                  </w:r>
                </w:p>
              </w:tc>
              <w:tc>
                <w:tcPr/>
                <w:p>
                  <w:pPr>
                    <w:pStyle w:val="Compact"/>
                    <w:jc w:val="right"/>
                    <w:jc w:val="center"/>
                  </w:pPr>
                  <w:r>
                    <w:t xml:space="preserve">0.789</w:t>
                  </w:r>
                </w:p>
              </w:tc>
              <w:tc>
                <w:tcPr/>
                <w:p>
                  <w:pPr>
                    <w:pStyle w:val="Compact"/>
                    <w:jc w:val="right"/>
                    <w:jc w:val="center"/>
                  </w:pPr>
                  <w:r>
                    <w:t xml:space="preserve">0.206</w:t>
                  </w:r>
                </w:p>
              </w:tc>
            </w:tr>
            <w:tr>
              <w:tc>
                <w:tcPr/>
                <w:p>
                  <w:pPr>
                    <w:pStyle w:val="Compact"/>
                    <w:jc w:val="left"/>
                    <w:jc w:val="center"/>
                  </w:pPr>
                  <w:r>
                    <w:t xml:space="preserve">Catfish BPUE</w:t>
                  </w:r>
                </w:p>
              </w:tc>
              <w:tc>
                <w:tcPr/>
                <w:p>
                  <w:pPr>
                    <w:pStyle w:val="Compact"/>
                    <w:jc w:val="left"/>
                    <w:jc w:val="center"/>
                  </w:pPr>
                  <w:r>
                    <w:t xml:space="preserve">0.15 ± 0.34</w:t>
                  </w:r>
                </w:p>
              </w:tc>
              <w:tc>
                <w:tcPr/>
                <w:p>
                  <w:pPr>
                    <w:pStyle w:val="Compact"/>
                    <w:jc w:val="left"/>
                    <w:jc w:val="center"/>
                  </w:pPr>
                  <w:r>
                    <w:t xml:space="preserve">24.6 ± 55.01</w:t>
                  </w:r>
                </w:p>
              </w:tc>
              <w:tc>
                <w:tcPr/>
                <w:p>
                  <w:pPr>
                    <w:pStyle w:val="Compact"/>
                    <w:jc w:val="left"/>
                    <w:jc w:val="center"/>
                  </w:pPr>
                  <w:r>
                    <w:t xml:space="preserve">97.28 ± 232.15</w:t>
                  </w:r>
                </w:p>
              </w:tc>
              <w:tc>
                <w:tcPr/>
                <w:p>
                  <w:pPr>
                    <w:pStyle w:val="Compact"/>
                    <w:jc w:val="right"/>
                    <w:jc w:val="center"/>
                  </w:pPr>
                  <w:r>
                    <w:t xml:space="preserve">1.000</w:t>
                  </w:r>
                </w:p>
              </w:tc>
              <w:tc>
                <w:tcPr/>
                <w:p>
                  <w:pPr>
                    <w:pStyle w:val="Compact"/>
                    <w:jc w:val="right"/>
                    <w:jc w:val="center"/>
                  </w:pPr>
                  <w:r>
                    <w:t xml:space="preserve">0.343</w:t>
                  </w:r>
                </w:p>
              </w:tc>
            </w:tr>
            <w:tr>
              <w:tc>
                <w:tcPr/>
                <w:p>
                  <w:pPr>
                    <w:pStyle w:val="Compact"/>
                    <w:jc w:val="left"/>
                    <w:jc w:val="center"/>
                  </w:pPr>
                  <w:r>
                    <w:t xml:space="preserve">Substrate index (before)</w:t>
                  </w:r>
                </w:p>
              </w:tc>
              <w:tc>
                <w:tcPr/>
                <w:p>
                  <w:pPr>
                    <w:pStyle w:val="Compact"/>
                    <w:jc w:val="left"/>
                    <w:jc w:val="center"/>
                  </w:pPr>
                  <w:r>
                    <w:t xml:space="preserve">3.39 ± 1.07</w:t>
                  </w:r>
                </w:p>
              </w:tc>
              <w:tc>
                <w:tcPr/>
                <w:p>
                  <w:pPr>
                    <w:pStyle w:val="Compact"/>
                    <w:jc w:val="left"/>
                    <w:jc w:val="center"/>
                  </w:pPr>
                  <w:r>
                    <w:t xml:space="preserve">3.68 ± 0.95</w:t>
                  </w:r>
                </w:p>
              </w:tc>
              <w:tc>
                <w:tcPr/>
                <w:p>
                  <w:pPr>
                    <w:pStyle w:val="Compact"/>
                    <w:jc w:val="left"/>
                    <w:jc w:val="center"/>
                  </w:pPr>
                  <w:r>
                    <w:t xml:space="preserve">5.29 ± 1.05</w:t>
                  </w:r>
                </w:p>
              </w:tc>
              <w:tc>
                <w:tcPr/>
                <w:p>
                  <w:pPr>
                    <w:pStyle w:val="Compact"/>
                    <w:jc w:val="right"/>
                    <w:jc w:val="center"/>
                  </w:pPr>
                  <w:r>
                    <w:t xml:space="preserve">0.789</w:t>
                  </w:r>
                </w:p>
              </w:tc>
              <w:tc>
                <w:tcPr/>
                <w:p>
                  <w:pPr>
                    <w:pStyle w:val="Compact"/>
                    <w:jc w:val="right"/>
                    <w:jc w:val="center"/>
                  </w:pPr>
                  <w:r>
                    <w:t xml:space="preserve">0.012</w:t>
                  </w:r>
                </w:p>
              </w:tc>
            </w:tr>
            <w:tr>
              <w:tc>
                <w:tcPr/>
                <w:p>
                  <w:pPr>
                    <w:pStyle w:val="Compact"/>
                    <w:jc w:val="left"/>
                    <w:jc w:val="center"/>
                  </w:pPr>
                  <w:r>
                    <w:t xml:space="preserve">Substrate index (after)</w:t>
                  </w:r>
                </w:p>
              </w:tc>
              <w:tc>
                <w:tcPr/>
                <w:p>
                  <w:pPr>
                    <w:pStyle w:val="Compact"/>
                    <w:jc w:val="left"/>
                    <w:jc w:val="center"/>
                  </w:pPr>
                  <w:r>
                    <w:t xml:space="preserve">3.65 ± 1.12</w:t>
                  </w:r>
                </w:p>
              </w:tc>
              <w:tc>
                <w:tcPr/>
                <w:p>
                  <w:pPr>
                    <w:pStyle w:val="Compact"/>
                    <w:jc w:val="left"/>
                    <w:jc w:val="center"/>
                  </w:pPr>
                  <w:r>
                    <w:t xml:space="preserve">3.68 ± 0.95</w:t>
                  </w:r>
                </w:p>
              </w:tc>
              <w:tc>
                <w:tcPr/>
                <w:p>
                  <w:pPr>
                    <w:pStyle w:val="Compact"/>
                    <w:jc w:val="left"/>
                    <w:jc w:val="center"/>
                  </w:pPr>
                  <w:r>
                    <w:t xml:space="preserve">5.29 ± 1.05</w:t>
                  </w:r>
                </w:p>
              </w:tc>
              <w:tc>
                <w:tcPr/>
                <w:p>
                  <w:pPr>
                    <w:pStyle w:val="Compact"/>
                    <w:jc w:val="right"/>
                    <w:jc w:val="center"/>
                  </w:pPr>
                  <w:r>
                    <w:t xml:space="preserve">1.000</w:t>
                  </w:r>
                </w:p>
              </w:tc>
              <w:tc>
                <w:tcPr/>
                <w:p>
                  <w:pPr>
                    <w:pStyle w:val="Compact"/>
                    <w:jc w:val="right"/>
                    <w:jc w:val="center"/>
                  </w:pPr>
                  <w:r>
                    <w:t xml:space="preserve">0.032</w:t>
                  </w:r>
                </w:p>
              </w:tc>
            </w:tr>
            <w:tr>
              <w:tc>
                <w:tcPr/>
                <w:p>
                  <w:pPr>
                    <w:pStyle w:val="Compact"/>
                    <w:jc w:val="left"/>
                    <w:jc w:val="center"/>
                  </w:pPr>
                  <w:r>
                    <w:t xml:space="preserve">Slope (0–20 m)</w:t>
                  </w:r>
                </w:p>
              </w:tc>
              <w:tc>
                <w:tcPr/>
                <w:p>
                  <w:pPr>
                    <w:pStyle w:val="Compact"/>
                    <w:jc w:val="left"/>
                    <w:jc w:val="center"/>
                  </w:pPr>
                  <w:r>
                    <w:t xml:space="preserve">0.06 ± 0.05</w:t>
                  </w:r>
                </w:p>
              </w:tc>
              <w:tc>
                <w:tcPr/>
                <w:p>
                  <w:pPr>
                    <w:pStyle w:val="Compact"/>
                    <w:jc w:val="left"/>
                    <w:jc w:val="center"/>
                  </w:pPr>
                  <w:r>
                    <w:t xml:space="preserve">0.06 ± 0.04</w:t>
                  </w:r>
                </w:p>
              </w:tc>
              <w:tc>
                <w:tcPr/>
                <w:p>
                  <w:pPr>
                    <w:pStyle w:val="Compact"/>
                    <w:jc w:val="left"/>
                    <w:jc w:val="center"/>
                  </w:pPr>
                  <w:r>
                    <w:t xml:space="preserve">0.09 ± 0.05</w:t>
                  </w:r>
                </w:p>
              </w:tc>
              <w:tc>
                <w:tcPr/>
                <w:p>
                  <w:pPr>
                    <w:pStyle w:val="Compact"/>
                    <w:jc w:val="right"/>
                    <w:jc w:val="center"/>
                  </w:pPr>
                  <w:r>
                    <w:t xml:space="preserve">0.590</w:t>
                  </w:r>
                </w:p>
              </w:tc>
              <w:tc>
                <w:tcPr/>
                <w:p>
                  <w:pPr>
                    <w:pStyle w:val="Compact"/>
                    <w:jc w:val="right"/>
                    <w:jc w:val="center"/>
                  </w:pPr>
                  <w:r>
                    <w:t xml:space="preserve">0.245</w:t>
                  </w:r>
                </w:p>
              </w:tc>
            </w:tr>
            <w:tr>
              <w:tc>
                <w:tcPr/>
                <w:p>
                  <w:pPr>
                    <w:pStyle w:val="Compact"/>
                    <w:jc w:val="left"/>
                    <w:jc w:val="center"/>
                  </w:pPr>
                  <w:r>
                    <w:t xml:space="preserve">Temperature (°C)</w:t>
                  </w:r>
                </w:p>
              </w:tc>
              <w:tc>
                <w:tcPr/>
                <w:p>
                  <w:pPr>
                    <w:pStyle w:val="Compact"/>
                    <w:jc w:val="left"/>
                    <w:jc w:val="center"/>
                  </w:pPr>
                  <w:r>
                    <w:t xml:space="preserve">24.74 ± 1.92</w:t>
                  </w:r>
                </w:p>
              </w:tc>
              <w:tc>
                <w:tcPr/>
                <w:p>
                  <w:pPr>
                    <w:pStyle w:val="Compact"/>
                    <w:jc w:val="left"/>
                    <w:jc w:val="center"/>
                  </w:pPr>
                  <w:r>
                    <w:t xml:space="preserve">24.78 ± 1.47</w:t>
                  </w:r>
                </w:p>
              </w:tc>
              <w:tc>
                <w:tcPr/>
                <w:p>
                  <w:pPr>
                    <w:pStyle w:val="Compact"/>
                    <w:jc w:val="left"/>
                    <w:jc w:val="center"/>
                  </w:pPr>
                  <w:r>
                    <w:t xml:space="preserve">24.48 ± 0.78</w:t>
                  </w:r>
                </w:p>
              </w:tc>
              <w:tc>
                <w:tcPr/>
                <w:p>
                  <w:pPr>
                    <w:pStyle w:val="Compact"/>
                    <w:jc w:val="right"/>
                    <w:jc w:val="center"/>
                  </w:pPr>
                  <w:r>
                    <w:t xml:space="preserve">1.000</w:t>
                  </w:r>
                </w:p>
              </w:tc>
              <w:tc>
                <w:tcPr/>
                <w:p>
                  <w:pPr>
                    <w:pStyle w:val="Compact"/>
                    <w:jc w:val="right"/>
                    <w:jc w:val="center"/>
                  </w:pPr>
                  <w:r>
                    <w:t xml:space="preserve">0.623</w:t>
                  </w:r>
                </w:p>
              </w:tc>
            </w:tr>
            <w:tr>
              <w:tc>
                <w:tcPr/>
                <w:p>
                  <w:pPr>
                    <w:pStyle w:val="Compact"/>
                    <w:jc w:val="left"/>
                    <w:jc w:val="center"/>
                  </w:pPr>
                  <w:r>
                    <w:t xml:space="preserve">Dissolved oxygen (mg/L)</w:t>
                  </w:r>
                </w:p>
              </w:tc>
              <w:tc>
                <w:tcPr/>
                <w:p>
                  <w:pPr>
                    <w:pStyle w:val="Compact"/>
                    <w:jc w:val="left"/>
                    <w:jc w:val="center"/>
                  </w:pPr>
                  <w:r>
                    <w:t xml:space="preserve">9.85 ± 1.48</w:t>
                  </w:r>
                </w:p>
              </w:tc>
              <w:tc>
                <w:tcPr/>
                <w:p>
                  <w:pPr>
                    <w:pStyle w:val="Compact"/>
                    <w:jc w:val="left"/>
                    <w:jc w:val="center"/>
                  </w:pPr>
                  <w:r>
                    <w:t xml:space="preserve">9.63 ± 1.29</w:t>
                  </w:r>
                </w:p>
              </w:tc>
              <w:tc>
                <w:tcPr/>
                <w:p>
                  <w:pPr>
                    <w:pStyle w:val="Compact"/>
                    <w:jc w:val="left"/>
                    <w:jc w:val="center"/>
                  </w:pPr>
                  <w:r>
                    <w:t xml:space="preserve">10.03 ± 0.86</w:t>
                  </w:r>
                </w:p>
              </w:tc>
              <w:tc>
                <w:tcPr/>
                <w:p>
                  <w:pPr>
                    <w:pStyle w:val="Compact"/>
                    <w:jc w:val="right"/>
                    <w:jc w:val="center"/>
                  </w:pPr>
                  <w:r>
                    <w:t xml:space="preserve">0.418</w:t>
                  </w:r>
                </w:p>
              </w:tc>
              <w:tc>
                <w:tcPr/>
                <w:p>
                  <w:pPr>
                    <w:pStyle w:val="Compact"/>
                    <w:jc w:val="right"/>
                    <w:jc w:val="center"/>
                  </w:pPr>
                  <w:r>
                    <w:t xml:space="preserve">0.426</w:t>
                  </w:r>
                </w:p>
              </w:tc>
            </w:tr>
            <w:tr>
              <w:tc>
                <w:tcPr/>
                <w:p>
                  <w:pPr>
                    <w:pStyle w:val="Compact"/>
                    <w:jc w:val="left"/>
                    <w:jc w:val="center"/>
                  </w:pPr>
                  <w:r>
                    <w:t xml:space="preserve">Specific conductivity (µS/cm)</w:t>
                  </w:r>
                </w:p>
              </w:tc>
              <w:tc>
                <w:tcPr/>
                <w:p>
                  <w:pPr>
                    <w:pStyle w:val="Compact"/>
                    <w:jc w:val="left"/>
                    <w:jc w:val="center"/>
                  </w:pPr>
                  <w:r>
                    <w:t xml:space="preserve">195.44 ± 70.05</w:t>
                  </w:r>
                </w:p>
              </w:tc>
              <w:tc>
                <w:tcPr/>
                <w:p>
                  <w:pPr>
                    <w:pStyle w:val="Compact"/>
                    <w:jc w:val="left"/>
                    <w:jc w:val="center"/>
                  </w:pPr>
                  <w:r>
                    <w:t xml:space="preserve">199.8 ± 78.52</w:t>
                  </w:r>
                </w:p>
              </w:tc>
              <w:tc>
                <w:tcPr/>
                <w:p>
                  <w:pPr>
                    <w:pStyle w:val="Compact"/>
                    <w:jc w:val="left"/>
                    <w:jc w:val="center"/>
                  </w:pPr>
                  <w:r>
                    <w:t xml:space="preserve">165.45 ± 8.5</w:t>
                  </w:r>
                </w:p>
              </w:tc>
              <w:tc>
                <w:tcPr/>
                <w:p>
                  <w:pPr>
                    <w:pStyle w:val="Compact"/>
                    <w:jc w:val="right"/>
                    <w:jc w:val="center"/>
                  </w:pPr>
                  <w:r>
                    <w:t xml:space="preserve">0.281</w:t>
                  </w:r>
                </w:p>
              </w:tc>
              <w:tc>
                <w:tcPr/>
                <w:p>
                  <w:pPr>
                    <w:pStyle w:val="Compact"/>
                    <w:jc w:val="right"/>
                    <w:jc w:val="center"/>
                  </w:pPr>
                  <w:r>
                    <w:t xml:space="preserve">0.951</w:t>
                  </w:r>
                </w:p>
              </w:tc>
            </w:tr>
            <w:tr>
              <w:tc>
                <w:tcPr/>
                <w:p>
                  <w:pPr>
                    <w:pStyle w:val="Compact"/>
                    <w:jc w:val="left"/>
                    <w:jc w:val="center"/>
                  </w:pPr>
                  <w:r>
                    <w:t xml:space="preserve">pH</w:t>
                  </w:r>
                </w:p>
              </w:tc>
              <w:tc>
                <w:tcPr/>
                <w:p>
                  <w:pPr>
                    <w:pStyle w:val="Compact"/>
                    <w:jc w:val="left"/>
                    <w:jc w:val="center"/>
                  </w:pPr>
                  <w:r>
                    <w:t xml:space="preserve">7.5 ± 2.15</w:t>
                  </w:r>
                </w:p>
              </w:tc>
              <w:tc>
                <w:tcPr/>
                <w:p>
                  <w:pPr>
                    <w:pStyle w:val="Compact"/>
                    <w:jc w:val="left"/>
                    <w:jc w:val="center"/>
                  </w:pPr>
                  <w:r>
                    <w:t xml:space="preserve">7.61 ± 2.2</w:t>
                  </w:r>
                </w:p>
              </w:tc>
              <w:tc>
                <w:tcPr/>
                <w:p>
                  <w:pPr>
                    <w:pStyle w:val="Compact"/>
                    <w:jc w:val="left"/>
                    <w:jc w:val="center"/>
                  </w:pPr>
                  <w:r>
                    <w:t xml:space="preserve">8.53 ± 0.66</w:t>
                  </w:r>
                </w:p>
              </w:tc>
              <w:tc>
                <w:tcPr/>
                <w:p>
                  <w:pPr>
                    <w:pStyle w:val="Compact"/>
                    <w:jc w:val="right"/>
                    <w:jc w:val="center"/>
                  </w:pPr>
                  <w:r>
                    <w:t xml:space="preserve">1.000</w:t>
                  </w:r>
                </w:p>
              </w:tc>
              <w:tc>
                <w:tcPr/>
                <w:p>
                  <w:pPr>
                    <w:pStyle w:val="Compact"/>
                    <w:jc w:val="right"/>
                    <w:jc w:val="center"/>
                  </w:pPr>
                  <w:r>
                    <w:t xml:space="preserve">0.426</w:t>
                  </w:r>
                </w:p>
              </w:tc>
            </w:tr>
          </w:tbl>
          <w:bookmarkEnd w:id="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 w:name="tbl-psi-warm"/>
          <w:p>
            <w:pPr>
              <w:jc w:val="center"/>
            </w:pPr>
            <w:pPr>
              <w:jc w:val="left"/>
              <w:spacing w:before="200"/>
              <w:pStyle w:val="ImageCaption"/>
            </w:pPr>
            <w:r>
              <w:t xml:space="preserve">Table 4: Posterior kōura occupancy probability (</w:t>
            </w:r>
            <m:oMath>
              <m:r>
                <m:t>ψ</m:t>
              </m:r>
            </m:oMath>
            <w:r>
              <w:t xml:space="preserve">) from the warm-season occupancy model (Summer and Autumn rounds). Values are population-level estimates averaged over random site effects, with 95 % credible intervals. Autumn has no Before period as baseline monitoring was conducted in summer only.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Season</w:t>
                  </w:r>
                </w:p>
              </w:tc>
              <w:tc>
                <w:tcPr/>
                <w:p>
                  <w:pPr>
                    <w:pStyle w:val="Compact"/>
                    <w:jc w:val="left"/>
                    <w:jc w:val="center"/>
                  </w:pPr>
                  <w:r>
                    <w:t xml:space="preserve">Period</w:t>
                  </w:r>
                </w:p>
              </w:tc>
              <w:tc>
                <w:tcPr/>
                <w:p>
                  <w:pPr>
                    <w:pStyle w:val="Compact"/>
                    <w:jc w:val="left"/>
                    <w:jc w:val="center"/>
                  </w:pPr>
                  <w:r>
                    <w:t xml:space="preserve">Site type</w:t>
                  </w:r>
                </w:p>
              </w:tc>
              <w:tc>
                <w:tcPr/>
                <w:p>
                  <w:pPr>
                    <w:pStyle w:val="Compact"/>
                    <w:jc w:val="center"/>
                    <w:jc w:val="center"/>
                  </w:pPr>
                  <m:oMath>
                    <m:r>
                      <m:t>ψ</m:t>
                    </m:r>
                  </m:oMath>
                  <w:r>
                    <w:t xml:space="preserve"> </w:t>
                  </w:r>
                  <w:r>
                    <w:t xml:space="preserve">(mean [95% CrI])</w:t>
                  </w:r>
                </w:p>
              </w:tc>
            </w:tr>
            <w:tr>
              <w:tc>
                <w:tcPr/>
                <w:p>
                  <w:pPr>
                    <w:pStyle w:val="Compact"/>
                    <w:jc w:val="left"/>
                    <w:jc w:val="center"/>
                  </w:pPr>
                  <w:r>
                    <w:t xml:space="preserve">Summer</w:t>
                  </w:r>
                </w:p>
              </w:tc>
              <w:tc>
                <w:tcPr/>
                <w:p>
                  <w:pPr>
                    <w:pStyle w:val="Compact"/>
                    <w:jc w:val="left"/>
                    <w:jc w:val="center"/>
                  </w:pPr>
                  <w:r>
                    <w:t xml:space="preserve">Before</w:t>
                  </w:r>
                </w:p>
              </w:tc>
              <w:tc>
                <w:tcPr/>
                <w:p>
                  <w:pPr>
                    <w:pStyle w:val="Compact"/>
                    <w:jc w:val="left"/>
                    <w:jc w:val="center"/>
                  </w:pPr>
                  <w:r>
                    <w:t xml:space="preserve">Stone pile</w:t>
                  </w:r>
                </w:p>
              </w:tc>
              <w:tc>
                <w:tcPr/>
                <w:p>
                  <w:pPr>
                    <w:pStyle w:val="Compact"/>
                    <w:jc w:val="center"/>
                    <w:jc w:val="center"/>
                  </w:pPr>
                  <w:r>
                    <w:t xml:space="preserve">0.81 [0.26–1.00]</w:t>
                  </w:r>
                </w:p>
              </w:tc>
            </w:tr>
            <w:tr>
              <w:tc>
                <w:tcPr/>
                <w:p>
                  <w:pPr>
                    <w:pStyle w:val="Compact"/>
                    <w:jc w:val="left"/>
                    <w:jc w:val="center"/>
                  </w:pPr>
                  <w:r>
                    <w:t xml:space="preserve">Summer</w:t>
                  </w:r>
                </w:p>
              </w:tc>
              <w:tc>
                <w:tcPr/>
                <w:p>
                  <w:pPr>
                    <w:pStyle w:val="Compact"/>
                    <w:jc w:val="left"/>
                    <w:jc w:val="center"/>
                  </w:pPr>
                  <w:r>
                    <w:t xml:space="preserve">Before</w:t>
                  </w:r>
                </w:p>
              </w:tc>
              <w:tc>
                <w:tcPr/>
                <w:p>
                  <w:pPr>
                    <w:pStyle w:val="Compact"/>
                    <w:jc w:val="left"/>
                    <w:jc w:val="center"/>
                  </w:pPr>
                  <w:r>
                    <w:t xml:space="preserve">Control</w:t>
                  </w:r>
                </w:p>
              </w:tc>
              <w:tc>
                <w:tcPr/>
                <w:p>
                  <w:pPr>
                    <w:pStyle w:val="Compact"/>
                    <w:jc w:val="center"/>
                    <w:jc w:val="center"/>
                  </w:pPr>
                  <w:r>
                    <w:t xml:space="preserve">0.82 [0.34–1.00]</w:t>
                  </w:r>
                </w:p>
              </w:tc>
            </w:tr>
            <w:tr>
              <w:tc>
                <w:tcPr/>
                <w:p>
                  <w:pPr>
                    <w:pStyle w:val="Compact"/>
                    <w:jc w:val="left"/>
                    <w:jc w:val="center"/>
                  </w:pPr>
                  <w:r>
                    <w:t xml:space="preserve">Summer</w:t>
                  </w:r>
                </w:p>
              </w:tc>
              <w:tc>
                <w:tcPr/>
                <w:p>
                  <w:pPr>
                    <w:pStyle w:val="Compact"/>
                    <w:jc w:val="left"/>
                    <w:jc w:val="center"/>
                  </w:pPr>
                  <w:r>
                    <w:t xml:space="preserve">Before</w:t>
                  </w:r>
                </w:p>
              </w:tc>
              <w:tc>
                <w:tcPr/>
                <w:p>
                  <w:pPr>
                    <w:pStyle w:val="Compact"/>
                    <w:jc w:val="left"/>
                    <w:jc w:val="center"/>
                  </w:pPr>
                  <w:r>
                    <w:t xml:space="preserve">Reference 1</w:t>
                  </w:r>
                </w:p>
              </w:tc>
              <w:tc>
                <w:tcPr/>
                <w:p>
                  <w:pPr>
                    <w:pStyle w:val="Compact"/>
                    <w:jc w:val="center"/>
                    <w:jc w:val="center"/>
                  </w:pPr>
                  <w:r>
                    <w:t xml:space="preserve">0.86 [0.36–1.00]</w:t>
                  </w:r>
                </w:p>
              </w:tc>
            </w:tr>
            <w:tr>
              <w:tc>
                <w:tcPr/>
                <w:p>
                  <w:pPr>
                    <w:pStyle w:val="Compact"/>
                    <w:jc w:val="left"/>
                    <w:jc w:val="center"/>
                  </w:pPr>
                  <w:r>
                    <w:t xml:space="preserve">Summer</w:t>
                  </w:r>
                </w:p>
              </w:tc>
              <w:tc>
                <w:tcPr/>
                <w:p>
                  <w:pPr>
                    <w:pStyle w:val="Compact"/>
                    <w:jc w:val="left"/>
                    <w:jc w:val="center"/>
                  </w:pPr>
                  <w:r>
                    <w:t xml:space="preserve">Before</w:t>
                  </w:r>
                </w:p>
              </w:tc>
              <w:tc>
                <w:tcPr/>
                <w:p>
                  <w:pPr>
                    <w:pStyle w:val="Compact"/>
                    <w:jc w:val="left"/>
                    <w:jc w:val="center"/>
                  </w:pPr>
                  <w:r>
                    <w:t xml:space="preserve">Reference 2</w:t>
                  </w:r>
                </w:p>
              </w:tc>
              <w:tc>
                <w:tcPr/>
                <w:p>
                  <w:pPr>
                    <w:pStyle w:val="Compact"/>
                    <w:jc w:val="center"/>
                    <w:jc w:val="center"/>
                  </w:pPr>
                  <w:r>
                    <w:t xml:space="preserve">0.89 [0.49–1.00]</w:t>
                  </w:r>
                </w:p>
              </w:tc>
            </w:tr>
            <w:tr>
              <w:tc>
                <w:tcPr/>
                <w:p>
                  <w:pPr>
                    <w:pStyle w:val="Compact"/>
                    <w:jc w:val="left"/>
                    <w:jc w:val="center"/>
                  </w:pPr>
                  <w:r>
                    <w:t xml:space="preserve">Summer</w:t>
                  </w:r>
                </w:p>
              </w:tc>
              <w:tc>
                <w:tcPr/>
                <w:p>
                  <w:pPr>
                    <w:pStyle w:val="Compact"/>
                    <w:jc w:val="left"/>
                    <w:jc w:val="center"/>
                  </w:pPr>
                  <w:r>
                    <w:t xml:space="preserve">After</w:t>
                  </w:r>
                </w:p>
              </w:tc>
              <w:tc>
                <w:tcPr/>
                <w:p>
                  <w:pPr>
                    <w:pStyle w:val="Compact"/>
                    <w:jc w:val="left"/>
                    <w:jc w:val="center"/>
                  </w:pPr>
                  <w:r>
                    <w:t xml:space="preserve">Stone pile</w:t>
                  </w:r>
                </w:p>
              </w:tc>
              <w:tc>
                <w:tcPr/>
                <w:p>
                  <w:pPr>
                    <w:pStyle w:val="Compact"/>
                    <w:jc w:val="center"/>
                    <w:jc w:val="center"/>
                  </w:pPr>
                  <w:r>
                    <w:t xml:space="preserve">0.93 [0.64–1.00]</w:t>
                  </w:r>
                </w:p>
              </w:tc>
            </w:tr>
            <w:tr>
              <w:tc>
                <w:tcPr/>
                <w:p>
                  <w:pPr>
                    <w:pStyle w:val="Compact"/>
                    <w:jc w:val="left"/>
                    <w:jc w:val="center"/>
                  </w:pPr>
                  <w:r>
                    <w:t xml:space="preserve">Summer</w:t>
                  </w:r>
                </w:p>
              </w:tc>
              <w:tc>
                <w:tcPr/>
                <w:p>
                  <w:pPr>
                    <w:pStyle w:val="Compact"/>
                    <w:jc w:val="left"/>
                    <w:jc w:val="center"/>
                  </w:pPr>
                  <w:r>
                    <w:t xml:space="preserve">After</w:t>
                  </w:r>
                </w:p>
              </w:tc>
              <w:tc>
                <w:tcPr/>
                <w:p>
                  <w:pPr>
                    <w:pStyle w:val="Compact"/>
                    <w:jc w:val="left"/>
                    <w:jc w:val="center"/>
                  </w:pPr>
                  <w:r>
                    <w:t xml:space="preserve">Control</w:t>
                  </w:r>
                </w:p>
              </w:tc>
              <w:tc>
                <w:tcPr/>
                <w:p>
                  <w:pPr>
                    <w:pStyle w:val="Compact"/>
                    <w:jc w:val="center"/>
                    <w:jc w:val="center"/>
                  </w:pPr>
                  <w:r>
                    <w:t xml:space="preserve">0.89 [0.53–1.00]</w:t>
                  </w:r>
                </w:p>
              </w:tc>
            </w:tr>
            <w:tr>
              <w:tc>
                <w:tcPr/>
                <w:p>
                  <w:pPr>
                    <w:pStyle w:val="Compact"/>
                    <w:jc w:val="left"/>
                    <w:jc w:val="center"/>
                  </w:pPr>
                  <w:r>
                    <w:t xml:space="preserve">Summer</w:t>
                  </w:r>
                </w:p>
              </w:tc>
              <w:tc>
                <w:tcPr/>
                <w:p>
                  <w:pPr>
                    <w:pStyle w:val="Compact"/>
                    <w:jc w:val="left"/>
                    <w:jc w:val="center"/>
                  </w:pPr>
                  <w:r>
                    <w:t xml:space="preserve">After</w:t>
                  </w:r>
                </w:p>
              </w:tc>
              <w:tc>
                <w:tcPr/>
                <w:p>
                  <w:pPr>
                    <w:pStyle w:val="Compact"/>
                    <w:jc w:val="left"/>
                    <w:jc w:val="center"/>
                  </w:pPr>
                  <w:r>
                    <w:t xml:space="preserve">Reference 1</w:t>
                  </w:r>
                </w:p>
              </w:tc>
              <w:tc>
                <w:tcPr/>
                <w:p>
                  <w:pPr>
                    <w:pStyle w:val="Compact"/>
                    <w:jc w:val="center"/>
                    <w:jc w:val="center"/>
                  </w:pPr>
                  <w:r>
                    <w:t xml:space="preserve">0.93 [0.62–1.00]</w:t>
                  </w:r>
                </w:p>
              </w:tc>
            </w:tr>
            <w:tr>
              <w:tc>
                <w:tcPr/>
                <w:p>
                  <w:pPr>
                    <w:pStyle w:val="Compact"/>
                    <w:jc w:val="left"/>
                    <w:jc w:val="center"/>
                  </w:pPr>
                  <w:r>
                    <w:t xml:space="preserve">Summer</w:t>
                  </w:r>
                </w:p>
              </w:tc>
              <w:tc>
                <w:tcPr/>
                <w:p>
                  <w:pPr>
                    <w:pStyle w:val="Compact"/>
                    <w:jc w:val="left"/>
                    <w:jc w:val="center"/>
                  </w:pPr>
                  <w:r>
                    <w:t xml:space="preserve">After</w:t>
                  </w:r>
                </w:p>
              </w:tc>
              <w:tc>
                <w:tcPr/>
                <w:p>
                  <w:pPr>
                    <w:pStyle w:val="Compact"/>
                    <w:jc w:val="left"/>
                    <w:jc w:val="center"/>
                  </w:pPr>
                  <w:r>
                    <w:t xml:space="preserve">Reference 2</w:t>
                  </w:r>
                </w:p>
              </w:tc>
              <w:tc>
                <w:tcPr/>
                <w:p>
                  <w:pPr>
                    <w:pStyle w:val="Compact"/>
                    <w:jc w:val="center"/>
                    <w:jc w:val="center"/>
                  </w:pPr>
                  <w:r>
                    <w:t xml:space="preserve">0.94 [0.67–1.00]</w:t>
                  </w:r>
                </w:p>
              </w:tc>
            </w:tr>
            <w:tr>
              <w:tc>
                <w:tcPr/>
                <w:p>
                  <w:pPr>
                    <w:pStyle w:val="Compact"/>
                    <w:jc w:val="left"/>
                    <w:jc w:val="center"/>
                  </w:pPr>
                  <w:r>
                    <w:t xml:space="preserve">Autumn</w:t>
                  </w:r>
                </w:p>
              </w:tc>
              <w:tc>
                <w:tcPr/>
                <w:p>
                  <w:pPr>
                    <w:pStyle w:val="Compact"/>
                    <w:jc w:val="left"/>
                    <w:jc w:val="center"/>
                  </w:pPr>
                  <w:r>
                    <w:t xml:space="preserve">After</w:t>
                  </w:r>
                </w:p>
              </w:tc>
              <w:tc>
                <w:tcPr/>
                <w:p>
                  <w:pPr>
                    <w:pStyle w:val="Compact"/>
                    <w:jc w:val="left"/>
                    <w:jc w:val="center"/>
                  </w:pPr>
                  <w:r>
                    <w:t xml:space="preserve">Stone pile</w:t>
                  </w:r>
                </w:p>
              </w:tc>
              <w:tc>
                <w:tcPr/>
                <w:p>
                  <w:pPr>
                    <w:pStyle w:val="Compact"/>
                    <w:jc w:val="center"/>
                    <w:jc w:val="center"/>
                  </w:pPr>
                  <w:r>
                    <w:t xml:space="preserve">0.93 [0.69–1.00]</w:t>
                  </w:r>
                </w:p>
              </w:tc>
            </w:tr>
            <w:tr>
              <w:tc>
                <w:tcPr/>
                <w:p>
                  <w:pPr>
                    <w:pStyle w:val="Compact"/>
                    <w:jc w:val="left"/>
                    <w:jc w:val="center"/>
                  </w:pPr>
                  <w:r>
                    <w:t xml:space="preserve">Autumn</w:t>
                  </w:r>
                </w:p>
              </w:tc>
              <w:tc>
                <w:tcPr/>
                <w:p>
                  <w:pPr>
                    <w:pStyle w:val="Compact"/>
                    <w:jc w:val="left"/>
                    <w:jc w:val="center"/>
                  </w:pPr>
                  <w:r>
                    <w:t xml:space="preserve">After</w:t>
                  </w:r>
                </w:p>
              </w:tc>
              <w:tc>
                <w:tcPr/>
                <w:p>
                  <w:pPr>
                    <w:pStyle w:val="Compact"/>
                    <w:jc w:val="left"/>
                    <w:jc w:val="center"/>
                  </w:pPr>
                  <w:r>
                    <w:t xml:space="preserve">Control</w:t>
                  </w:r>
                </w:p>
              </w:tc>
              <w:tc>
                <w:tcPr/>
                <w:p>
                  <w:pPr>
                    <w:pStyle w:val="Compact"/>
                    <w:jc w:val="center"/>
                    <w:jc w:val="center"/>
                  </w:pPr>
                  <w:r>
                    <w:t xml:space="preserve">0.88 [0.53–1.00]</w:t>
                  </w:r>
                </w:p>
              </w:tc>
            </w:tr>
            <w:tr>
              <w:tc>
                <w:tcPr/>
                <w:p>
                  <w:pPr>
                    <w:pStyle w:val="Compact"/>
                    <w:jc w:val="left"/>
                    <w:jc w:val="center"/>
                  </w:pPr>
                  <w:r>
                    <w:t xml:space="preserve">Autumn</w:t>
                  </w:r>
                </w:p>
              </w:tc>
              <w:tc>
                <w:tcPr/>
                <w:p>
                  <w:pPr>
                    <w:pStyle w:val="Compact"/>
                    <w:jc w:val="left"/>
                    <w:jc w:val="center"/>
                  </w:pPr>
                  <w:r>
                    <w:t xml:space="preserve">After</w:t>
                  </w:r>
                </w:p>
              </w:tc>
              <w:tc>
                <w:tcPr/>
                <w:p>
                  <w:pPr>
                    <w:pStyle w:val="Compact"/>
                    <w:jc w:val="left"/>
                    <w:jc w:val="center"/>
                  </w:pPr>
                  <w:r>
                    <w:t xml:space="preserve">Reference 1</w:t>
                  </w:r>
                </w:p>
              </w:tc>
              <w:tc>
                <w:tcPr/>
                <w:p>
                  <w:pPr>
                    <w:pStyle w:val="Compact"/>
                    <w:jc w:val="center"/>
                    <w:jc w:val="center"/>
                  </w:pPr>
                  <w:r>
                    <w:t xml:space="preserve">0.93 [0.65–1.00]</w:t>
                  </w:r>
                </w:p>
              </w:tc>
            </w:tr>
            <w:tr>
              <w:tc>
                <w:tcPr/>
                <w:p>
                  <w:pPr>
                    <w:pStyle w:val="Compact"/>
                    <w:jc w:val="left"/>
                    <w:jc w:val="center"/>
                  </w:pPr>
                  <w:r>
                    <w:t xml:space="preserve">Autumn</w:t>
                  </w:r>
                </w:p>
              </w:tc>
              <w:tc>
                <w:tcPr/>
                <w:p>
                  <w:pPr>
                    <w:pStyle w:val="Compact"/>
                    <w:jc w:val="left"/>
                    <w:jc w:val="center"/>
                  </w:pPr>
                  <w:r>
                    <w:t xml:space="preserve">After</w:t>
                  </w:r>
                </w:p>
              </w:tc>
              <w:tc>
                <w:tcPr/>
                <w:p>
                  <w:pPr>
                    <w:pStyle w:val="Compact"/>
                    <w:jc w:val="left"/>
                    <w:jc w:val="center"/>
                  </w:pPr>
                  <w:r>
                    <w:t xml:space="preserve">Reference 2</w:t>
                  </w:r>
                </w:p>
              </w:tc>
              <w:tc>
                <w:tcPr/>
                <w:p>
                  <w:pPr>
                    <w:pStyle w:val="Compact"/>
                    <w:jc w:val="center"/>
                    <w:jc w:val="center"/>
                  </w:pPr>
                  <w:r>
                    <w:t xml:space="preserve">0.92 [0.63–1.00]</w:t>
                  </w:r>
                </w:p>
              </w:tc>
            </w:tr>
          </w:tbl>
          <w:bookmarkEnd w:id="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fig-power-curves-combined"/>
          <w:p>
            <w:pPr>
              <w:pStyle w:val="Compact"/>
              <w:jc w:val="center"/>
            </w:pPr>
            <w:r>
              <w:drawing>
                <wp:inline>
                  <wp:extent cx="4582160" cy="1909233"/>
                  <wp:effectExtent b="0" l="0" r="0" t="0"/>
                  <wp:docPr descr="" title="" id="80" name="Picture"/>
                  <a:graphic>
                    <a:graphicData uri="http://schemas.openxmlformats.org/drawingml/2006/picture">
                      <pic:pic>
                        <pic:nvPicPr>
                          <pic:cNvPr descr="outputs/fig-power-curves-combined.png" id="81" name="Picture"/>
                          <pic:cNvPicPr>
                            <a:picLocks noChangeArrowheads="1" noChangeAspect="1"/>
                          </pic:cNvPicPr>
                        </pic:nvPicPr>
                        <pic:blipFill>
                          <a:blip r:embed="rId79"/>
                          <a:stretch>
                            <a:fillRect/>
                          </a:stretch>
                        </pic:blipFill>
                        <pic:spPr bwMode="auto">
                          <a:xfrm>
                            <a:off x="0" y="0"/>
                            <a:ext cx="4582160" cy="19092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Simulation-based power curves for the occupancy BACI (left) and kōura CPUE BACI (right). Each line represents a different number of After-period monitoring rounds. Dashed line marks 80 % power.</w:t>
            </w:r>
          </w:p>
          <w:bookmarkEnd w:id="8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6" w:name="fig-convergence-plot"/>
          <w:p>
            <w:pPr>
              <w:pStyle w:val="Compact"/>
              <w:jc w:val="center"/>
            </w:pPr>
            <w:r>
              <w:drawing>
                <wp:inline>
                  <wp:extent cx="3723005" cy="1861502"/>
                  <wp:effectExtent b="0" l="0" r="0" t="0"/>
                  <wp:docPr descr="" title="" id="84" name="Picture"/>
                  <a:graphic>
                    <a:graphicData uri="http://schemas.openxmlformats.org/drawingml/2006/picture">
                      <pic:pic>
                        <pic:nvPicPr>
                          <pic:cNvPr descr="outputs/fig-convergence-plot.png" id="85" name="Picture"/>
                          <pic:cNvPicPr>
                            <a:picLocks noChangeArrowheads="1" noChangeAspect="1"/>
                          </pic:cNvPicPr>
                        </pic:nvPicPr>
                        <pic:blipFill>
                          <a:blip r:embed="rId83"/>
                          <a:stretch>
                            <a:fillRect/>
                          </a:stretch>
                        </pic:blipFill>
                        <pic:spPr bwMode="auto">
                          <a:xfrm>
                            <a:off x="0" y="0"/>
                            <a:ext cx="3723005" cy="1861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Predicted kōura CPUE trajectories over monitoring rounds at stone pile and reference sites from the abundance convergence model. Shaded ribbons represent 95% confidence intervals. The annotation shows the key interaction term (</w:t>
            </w:r>
            <m:oMath>
              <m:r>
                <m:t>β</m:t>
              </m:r>
            </m:oMath>
            <w:r>
              <w:t xml:space="preserve"> </w:t>
            </w:r>
            <w:r>
              <w:t xml:space="preserve">± p-value) and model R² values for fixed effects (R²m) and conditional (R²c).</w:t>
            </w:r>
          </w:p>
          <w:bookmarkEnd w:id="86"/>
        </w:tc>
      </w:tr>
    </w:tbl>
    <w:bookmarkEnd w:id="87"/>
    <w:bookmarkStart w:id="220" w:name="refs"/>
    <w:bookmarkStart w:id="89" w:name="ref-Adams2007"/>
    <w:p>
      <w:pPr>
        <w:pStyle w:val="Bibliography"/>
      </w:pPr>
      <w:r>
        <w:t xml:space="preserve">Adams, S. 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88">
        <w:r>
          <w:rPr>
            <w:rStyle w:val="Hyperlink"/>
          </w:rPr>
          <w:t xml:space="preserve">https://doi.org/10.1674/0003-0031(2007)158[85:daieoc]2.0.co;2</w:t>
        </w:r>
      </w:hyperlink>
    </w:p>
    <w:bookmarkEnd w:id="89"/>
    <w:bookmarkStart w:id="90" w:name="ref-Barnes1996"/>
    <w:p>
      <w:pPr>
        <w:pStyle w:val="Bibliography"/>
      </w:pPr>
      <w:r>
        <w:t xml:space="preserve">Barnes, G. E. (1996).</w:t>
      </w:r>
      <w:r>
        <w:t xml:space="preserve"> </w:t>
      </w:r>
      <w:r>
        <w:rPr>
          <w:i/>
          <w:iCs/>
        </w:rPr>
        <w:t xml:space="preserve">The biology and general ecology of the brown bullhead catfish (</w:t>
      </w:r>
      <w:r>
        <w:rPr>
          <w:i/>
          <w:i/>
          <w:iCs/>
          <w:iCs/>
        </w:rPr>
        <w:t xml:space="preserve">ameiurus nebulosus</w:t>
      </w:r>
      <w:r>
        <w:rPr>
          <w:i/>
          <w:iCs/>
        </w:rPr>
        <w:t xml:space="preserve">) in</w:t>
      </w:r>
      <w:r>
        <w:rPr>
          <w:i/>
          <w:iCs/>
        </w:rPr>
        <w:t xml:space="preserve"> </w:t>
      </w:r>
      <w:r>
        <w:rPr>
          <w:i/>
          <w:iCs/>
        </w:rPr>
        <w:t xml:space="preserve">Lake Taupo</w:t>
      </w:r>
      <w:r>
        <w:t xml:space="preserve"> </w:t>
      </w:r>
      <w:r>
        <w:t xml:space="preserve">[PhD thesis]. University of Waikato.</w:t>
      </w:r>
    </w:p>
    <w:bookmarkEnd w:id="90"/>
    <w:bookmarkStart w:id="91" w:name="ref-Barnes2003"/>
    <w:p>
      <w:pPr>
        <w:pStyle w:val="Bibliography"/>
      </w:pPr>
      <w:r>
        <w:t xml:space="preserve">Barnes, G. E., &amp; Hicks, B. J. (2003). Brown bullhead catfish (</w:t>
      </w:r>
      <w:r>
        <w:rPr>
          <w:i/>
          <w:iCs/>
        </w:rPr>
        <w:t xml:space="preserve">Ameiurus nebulosus</w:t>
      </w:r>
      <w:r>
        <w:t xml:space="preserve">) in</w:t>
      </w:r>
      <w:r>
        <w:t xml:space="preserve"> </w:t>
      </w:r>
      <w:r>
        <w:t xml:space="preserve">Lake Taupo</w:t>
      </w:r>
      <w:r>
        <w:t xml:space="preserve">.</w:t>
      </w:r>
      <w:r>
        <w:t xml:space="preserve"> </w:t>
      </w:r>
      <w:r>
        <w:rPr>
          <w:i/>
          <w:iCs/>
        </w:rPr>
        <w:t xml:space="preserve">Managing Invasive Freshwater Fish in</w:t>
      </w:r>
      <w:r>
        <w:rPr>
          <w:i/>
          <w:iCs/>
        </w:rPr>
        <w:t xml:space="preserve"> </w:t>
      </w:r>
      <w:r>
        <w:rPr>
          <w:i/>
          <w:iCs/>
        </w:rPr>
        <w:t xml:space="preserve">New Zealand</w:t>
      </w:r>
      <w:r>
        <w:rPr>
          <w:i/>
          <w:iCs/>
        </w:rPr>
        <w:t xml:space="preserve">: Proceedings of a Workshop Hosted by</w:t>
      </w:r>
      <w:r>
        <w:rPr>
          <w:i/>
          <w:iCs/>
        </w:rPr>
        <w:t xml:space="preserve"> </w:t>
      </w:r>
      <w:r>
        <w:rPr>
          <w:i/>
          <w:iCs/>
        </w:rPr>
        <w:t xml:space="preserve">Department of Conservation</w:t>
      </w:r>
      <w:r>
        <w:rPr>
          <w:i/>
          <w:iCs/>
        </w:rPr>
        <w:t xml:space="preserve">, 10-12 May 2001,</w:t>
      </w:r>
      <w:r>
        <w:rPr>
          <w:i/>
          <w:iCs/>
        </w:rPr>
        <w:t xml:space="preserve"> </w:t>
      </w:r>
      <w:r>
        <w:rPr>
          <w:i/>
          <w:iCs/>
        </w:rPr>
        <w:t xml:space="preserve">Hamilton</w:t>
      </w:r>
      <w:r>
        <w:t xml:space="preserve">.</w:t>
      </w:r>
    </w:p>
    <w:bookmarkEnd w:id="91"/>
    <w:bookmarkStart w:id="93"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92">
        <w:r>
          <w:rPr>
            <w:rStyle w:val="Hyperlink"/>
          </w:rPr>
          <w:t xml:space="preserve">https://doi.org/10.18637/jss.v067.i01</w:t>
        </w:r>
      </w:hyperlink>
    </w:p>
    <w:bookmarkEnd w:id="93"/>
    <w:bookmarkStart w:id="95" w:name="ref-Blanchfield2026"/>
    <w:p>
      <w:pPr>
        <w:pStyle w:val="Bibliography"/>
      </w:pPr>
      <w:r>
        <w:t xml:space="preserve">Blanchfield, P. J., Rodrigues, T. H., MacNeil, C., Stewart, S. D., Lee, F., Hicks, B. J., Grayling, S., Fort-D’Ath, S., Prentice, M. J., Baker, C., Williams, P., &amp; Holmes, R. J. P. (2026). Invading brown bullhead catfish (ameiurus nebulosus) show thermal niche rigidity and benthic niche plasticity: Implications for management.</w:t>
      </w:r>
      <w:r>
        <w:t xml:space="preserve"> </w:t>
      </w:r>
      <w:r>
        <w:rPr>
          <w:i/>
          <w:iCs/>
        </w:rPr>
        <w:t xml:space="preserve">Biological Invasions</w:t>
      </w:r>
      <w:r>
        <w:t xml:space="preserve">,</w:t>
      </w:r>
      <w:r>
        <w:t xml:space="preserve"> </w:t>
      </w:r>
      <w:r>
        <w:rPr>
          <w:i/>
          <w:iCs/>
        </w:rPr>
        <w:t xml:space="preserve">28</w:t>
      </w:r>
      <w:r>
        <w:t xml:space="preserve">(9).</w:t>
      </w:r>
      <w:r>
        <w:t xml:space="preserve"> </w:t>
      </w:r>
      <w:hyperlink r:id="rId94">
        <w:r>
          <w:rPr>
            <w:rStyle w:val="Hyperlink"/>
          </w:rPr>
          <w:t xml:space="preserve">https://doi.org/10.1007/s10530-026-03877-5</w:t>
        </w:r>
      </w:hyperlink>
    </w:p>
    <w:bookmarkEnd w:id="95"/>
    <w:bookmarkStart w:id="97" w:name="ref-Bonacina2023"/>
    <w:p>
      <w:pPr>
        <w:pStyle w:val="Bibliography"/>
      </w:pPr>
      <w:r>
        <w:t xml:space="preserve">Bonacina, L., Fasano, F., Mezzanotte, V., &amp; Fornaroli, R. (2023). Effects of water temperature on freshwater macroinvertebrates: A systematic review.</w:t>
      </w:r>
      <w:r>
        <w:t xml:space="preserve"> </w:t>
      </w:r>
      <w:r>
        <w:rPr>
          <w:i/>
          <w:iCs/>
        </w:rPr>
        <w:t xml:space="preserve">Biological Reviews</w:t>
      </w:r>
      <w:r>
        <w:t xml:space="preserve">,</w:t>
      </w:r>
      <w:r>
        <w:t xml:space="preserve"> </w:t>
      </w:r>
      <w:r>
        <w:rPr>
          <w:i/>
          <w:iCs/>
        </w:rPr>
        <w:t xml:space="preserve">98</w:t>
      </w:r>
      <w:r>
        <w:t xml:space="preserve">(1), 191–221.</w:t>
      </w:r>
      <w:r>
        <w:t xml:space="preserve"> </w:t>
      </w:r>
      <w:hyperlink r:id="rId96">
        <w:r>
          <w:rPr>
            <w:rStyle w:val="Hyperlink"/>
          </w:rPr>
          <w:t xml:space="preserve">https://doi.org/10.1111/brv.12903</w:t>
        </w:r>
      </w:hyperlink>
    </w:p>
    <w:bookmarkEnd w:id="97"/>
    <w:bookmarkStart w:id="99" w:name="ref-Brooks2017"/>
    <w:p>
      <w:pPr>
        <w:pStyle w:val="Bibliography"/>
      </w:pPr>
      <w:r>
        <w:t xml:space="preserve">Brooks, M., Bolker, B., Kristensen, K., Maechler, M., Magnusson, A., Skaug, H., Nielsen, A., Berg, C., &amp; Bentham, K. van. (2017). glmmTMB: Generalized linear mixed models using template model builder. In</w:t>
      </w:r>
      <w:r>
        <w:t xml:space="preserve"> </w:t>
      </w:r>
      <w:r>
        <w:rPr>
          <w:i/>
          <w:iCs/>
        </w:rPr>
        <w:t xml:space="preserve">CRAN: Contributed Packages</w:t>
      </w:r>
      <w:r>
        <w:t xml:space="preserve">.</w:t>
      </w:r>
      <w:r>
        <w:t xml:space="preserve"> </w:t>
      </w:r>
      <w:hyperlink r:id="rId98">
        <w:r>
          <w:rPr>
            <w:rStyle w:val="Hyperlink"/>
          </w:rPr>
          <w:t xml:space="preserve">https://doi.org/10.32614/cran.package.glmmtmb</w:t>
        </w:r>
      </w:hyperlink>
    </w:p>
    <w:bookmarkEnd w:id="99"/>
    <w:bookmarkStart w:id="101"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w:t>
      </w:r>
      <w:r>
        <w:t xml:space="preserve"> </w:t>
      </w:r>
      <w:hyperlink r:id="rId100">
        <w:r>
          <w:rPr>
            <w:rStyle w:val="Hyperlink"/>
          </w:rPr>
          <w:t xml:space="preserve">https://doi.org/10.18637/jss.v080.i01</w:t>
        </w:r>
      </w:hyperlink>
    </w:p>
    <w:bookmarkEnd w:id="101"/>
    <w:bookmarkStart w:id="103" w:name="ref-Burkner2018"/>
    <w:p>
      <w:pPr>
        <w:pStyle w:val="Bibliography"/>
      </w:pPr>
      <w:r>
        <w:t xml:space="preserve">Bürkner, P.-C. (2018). Advanced</w:t>
      </w:r>
      <w:r>
        <w:t xml:space="preserve"> </w:t>
      </w:r>
      <w:r>
        <w:t xml:space="preserve">B</w:t>
      </w:r>
      <w:r>
        <w:t xml:space="preserve">ayesian multilevel modeling with the</w:t>
      </w:r>
      <w:r>
        <w:t xml:space="preserve"> </w:t>
      </w:r>
      <w:r>
        <w:t xml:space="preserve">R</w:t>
      </w:r>
      <w:r>
        <w:t xml:space="preserve"> </w:t>
      </w:r>
      <w:r>
        <w:t xml:space="preserve">package brms.</w:t>
      </w:r>
      <w:r>
        <w:t xml:space="preserve"> </w:t>
      </w:r>
      <w:r>
        <w:rPr>
          <w:i/>
          <w:iCs/>
        </w:rPr>
        <w:t xml:space="preserve">The R Journal</w:t>
      </w:r>
      <w:r>
        <w:t xml:space="preserve">,</w:t>
      </w:r>
      <w:r>
        <w:t xml:space="preserve"> </w:t>
      </w:r>
      <w:r>
        <w:rPr>
          <w:i/>
          <w:iCs/>
        </w:rPr>
        <w:t xml:space="preserve">10</w:t>
      </w:r>
      <w:r>
        <w:t xml:space="preserve">(1), 395.</w:t>
      </w:r>
      <w:r>
        <w:t xml:space="preserve"> </w:t>
      </w:r>
      <w:hyperlink r:id="rId102">
        <w:r>
          <w:rPr>
            <w:rStyle w:val="Hyperlink"/>
          </w:rPr>
          <w:t xml:space="preserve">https://doi.org/10.32614/rj-2018-017</w:t>
        </w:r>
      </w:hyperlink>
    </w:p>
    <w:bookmarkEnd w:id="103"/>
    <w:bookmarkStart w:id="105" w:name="ref-Burnham2002"/>
    <w:p>
      <w:pPr>
        <w:pStyle w:val="Bibliography"/>
      </w:pPr>
      <w:r>
        <w:t xml:space="preserve">Burnham, K. P., &amp; Anderson, D. R. (2002). Advanced issues and deeper insights. In</w:t>
      </w:r>
      <w:r>
        <w:t xml:space="preserve"> </w:t>
      </w:r>
      <w:r>
        <w:rPr>
          <w:i/>
          <w:iCs/>
        </w:rPr>
        <w:t xml:space="preserve">Model selection and multimodel inference: A practical information-theoretic approach</w:t>
      </w:r>
      <w:r>
        <w:t xml:space="preserve"> </w:t>
      </w:r>
      <w:r>
        <w:t xml:space="preserve">(pp. 267–351). Springer.</w:t>
      </w:r>
      <w:r>
        <w:t xml:space="preserve"> </w:t>
      </w:r>
      <w:hyperlink r:id="rId104">
        <w:r>
          <w:rPr>
            <w:rStyle w:val="Hyperlink"/>
          </w:rPr>
          <w:t xml:space="preserve">https://doi.org/10.1007/978-0-387-22456-5_6</w:t>
        </w:r>
      </w:hyperlink>
    </w:p>
    <w:bookmarkEnd w:id="105"/>
    <w:bookmarkStart w:id="106"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106"/>
    <w:bookmarkStart w:id="108"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w:t>
      </w:r>
      <w:r>
        <w:t xml:space="preserve"> </w:t>
      </w:r>
      <w:r>
        <w:rPr>
          <w:i/>
          <w:iCs/>
        </w:rPr>
        <w:t xml:space="preserve">Hydrobiologia</w:t>
      </w:r>
      <w:r>
        <w:t xml:space="preserve">,</w:t>
      </w:r>
      <w:r>
        <w:t xml:space="preserve"> </w:t>
      </w:r>
      <w:r>
        <w:rPr>
          <w:i/>
          <w:iCs/>
        </w:rPr>
        <w:t xml:space="preserve">483</w:t>
      </w:r>
      <w:r>
        <w:t xml:space="preserve">, 129–135.</w:t>
      </w:r>
      <w:r>
        <w:t xml:space="preserve"> </w:t>
      </w:r>
      <w:hyperlink r:id="rId107">
        <w:r>
          <w:rPr>
            <w:rStyle w:val="Hyperlink"/>
          </w:rPr>
          <w:t xml:space="preserve">https://doi.org/10.1007/978-94-017-0771-8_15</w:t>
        </w:r>
      </w:hyperlink>
    </w:p>
    <w:bookmarkEnd w:id="108"/>
    <w:bookmarkStart w:id="110" w:name="ref-Dedual2019"/>
    <w:p>
      <w:pPr>
        <w:pStyle w:val="Bibliography"/>
      </w:pPr>
      <w:r>
        <w:t xml:space="preserve">Dedual, M. (2019).</w:t>
      </w:r>
      <w:r>
        <w:t xml:space="preserve"> </w:t>
      </w:r>
      <w:r>
        <w:rPr>
          <w:i/>
          <w:iCs/>
        </w:rPr>
        <w:t xml:space="preserve">Summary of the impacts and control methods of brown bullhead catfish (</w:t>
      </w:r>
      <w:r>
        <w:rPr>
          <w:i/>
          <w:i/>
          <w:iCs/>
          <w:iCs/>
        </w:rPr>
        <w:t xml:space="preserve">Ameiurus nebulosus</w:t>
      </w:r>
      <w:r>
        <w:rPr>
          <w:i/>
          <w:iCs/>
        </w:rPr>
        <w:t xml:space="preserve"> </w:t>
      </w:r>
      <w:r>
        <w:rPr>
          <w:i/>
          <w:iCs/>
        </w:rPr>
        <w:t xml:space="preserve">Lesueur</w:t>
      </w:r>
      <w:r>
        <w:rPr>
          <w:i/>
          <w:iCs/>
        </w:rPr>
        <w:t xml:space="preserve"> </w:t>
      </w:r>
      <w:r>
        <w:rPr>
          <w:i/>
          <w:iCs/>
        </w:rPr>
        <w:t xml:space="preserve">1815) in</w:t>
      </w:r>
      <w:r>
        <w:rPr>
          <w:i/>
          <w:iCs/>
        </w:rPr>
        <w:t xml:space="preserve"> </w:t>
      </w:r>
      <w:r>
        <w:rPr>
          <w:i/>
          <w:iCs/>
        </w:rPr>
        <w:t xml:space="preserve">New Zealand</w:t>
      </w:r>
      <w:r>
        <w:rPr>
          <w:i/>
          <w:iCs/>
        </w:rPr>
        <w:t xml:space="preserve"> </w:t>
      </w:r>
      <w:r>
        <w:rPr>
          <w:i/>
          <w:iCs/>
        </w:rPr>
        <w:t xml:space="preserve">and overseas</w:t>
      </w:r>
      <w:r>
        <w:t xml:space="preserve">. Bay of Plenty Regional Council.</w:t>
      </w:r>
      <w:r>
        <w:t xml:space="preserve"> </w:t>
      </w:r>
      <w:hyperlink r:id="rId109">
        <w:r>
          <w:rPr>
            <w:rStyle w:val="Hyperlink"/>
          </w:rPr>
          <w:t xml:space="preserve">https://atlas.boprc.govt.nz/api/v1/edms/document/A3591759/content</w:t>
        </w:r>
      </w:hyperlink>
    </w:p>
    <w:bookmarkEnd w:id="110"/>
    <w:bookmarkStart w:id="111" w:name="ref-Devcich1979"/>
    <w:p>
      <w:pPr>
        <w:pStyle w:val="Bibliography"/>
      </w:pPr>
      <w:r>
        <w:t xml:space="preserve">Devcich, A. A. (1979).</w:t>
      </w:r>
      <w:r>
        <w:t xml:space="preserve"> </w:t>
      </w:r>
      <w:r>
        <w:rPr>
          <w:i/>
          <w:iCs/>
        </w:rPr>
        <w:t xml:space="preserve">An ecological study of</w:t>
      </w:r>
      <w:r>
        <w:rPr>
          <w:i/>
          <w:iCs/>
        </w:rPr>
        <w:t xml:space="preserve"> </w:t>
      </w:r>
      <w:r>
        <w:rPr>
          <w:i/>
          <w:i/>
          <w:iCs/>
          <w:iCs/>
        </w:rPr>
        <w:t xml:space="preserve">Paranephrops planifrons</w:t>
      </w:r>
      <w:r>
        <w:rPr>
          <w:i/>
          <w:iCs/>
        </w:rPr>
        <w:t xml:space="preserve"> </w:t>
      </w:r>
      <w:r>
        <w:rPr>
          <w:i/>
          <w:iCs/>
        </w:rPr>
        <w:t xml:space="preserve">White</w:t>
      </w:r>
      <w:r>
        <w:rPr>
          <w:i/>
          <w:iCs/>
        </w:rPr>
        <w:t xml:space="preserve"> </w:t>
      </w:r>
      <w:r>
        <w:rPr>
          <w:i/>
          <w:iCs/>
        </w:rPr>
        <w:t xml:space="preserve">(</w:t>
      </w:r>
      <w:r>
        <w:rPr>
          <w:i/>
          <w:iCs/>
        </w:rPr>
        <w:t xml:space="preserve">Decapoda</w:t>
      </w:r>
      <w:r>
        <w:rPr>
          <w:i/>
          <w:iCs/>
        </w:rPr>
        <w:t xml:space="preserve"> </w:t>
      </w:r>
      <w:r>
        <w:rPr>
          <w:i/>
          <w:iCs/>
        </w:rPr>
        <w:t xml:space="preserve">:</w:t>
      </w:r>
      <w:r>
        <w:rPr>
          <w:i/>
          <w:iCs/>
        </w:rPr>
        <w:t xml:space="preserve"> </w:t>
      </w:r>
      <w:r>
        <w:rPr>
          <w:i/>
          <w:iCs/>
        </w:rPr>
        <w:t xml:space="preserve">Parastacidae</w:t>
      </w:r>
      <w:r>
        <w:rPr>
          <w:i/>
          <w:iCs/>
        </w:rPr>
        <w:t xml:space="preserve">) in</w:t>
      </w:r>
      <w:r>
        <w:rPr>
          <w:i/>
          <w:iCs/>
        </w:rPr>
        <w:t xml:space="preserve"> </w:t>
      </w:r>
      <w:r>
        <w:rPr>
          <w:i/>
          <w:iCs/>
        </w:rPr>
        <w:t xml:space="preserve">Lake Rotoiti</w:t>
      </w:r>
      <w:r>
        <w:rPr>
          <w:i/>
          <w:iCs/>
        </w:rPr>
        <w:t xml:space="preserve">,</w:t>
      </w:r>
      <w:r>
        <w:rPr>
          <w:i/>
          <w:iCs/>
        </w:rPr>
        <w:t xml:space="preserve"> </w:t>
      </w:r>
      <w:r>
        <w:rPr>
          <w:i/>
          <w:iCs/>
        </w:rPr>
        <w:t xml:space="preserve">North Island</w:t>
      </w:r>
      <w:r>
        <w:t xml:space="preserve"> </w:t>
      </w:r>
      <w:r>
        <w:t xml:space="preserve">[PhD thesis]. University of Waikato.</w:t>
      </w:r>
    </w:p>
    <w:bookmarkEnd w:id="111"/>
    <w:bookmarkStart w:id="113" w:name="ref-Francis2019"/>
    <w:p>
      <w:pPr>
        <w:pStyle w:val="Bibliography"/>
      </w:pPr>
      <w:r>
        <w:t xml:space="preserve">Francis, L. B. (2019).</w:t>
      </w:r>
      <w:r>
        <w:t xml:space="preserve"> </w:t>
      </w:r>
      <w:r>
        <w:rPr>
          <w:i/>
          <w:iCs/>
        </w:rPr>
        <w:t xml:space="preserve">Evaluating the effects of invasive brown bullhead catfish (</w:t>
      </w:r>
      <w:r>
        <w:rPr>
          <w:i/>
          <w:i/>
          <w:iCs/>
          <w:iCs/>
        </w:rPr>
        <w:t xml:space="preserve">Ameiurus nebulosus</w:t>
      </w:r>
      <w:r>
        <w:rPr>
          <w:i/>
          <w:iCs/>
        </w:rPr>
        <w:t xml:space="preserve">) on k</w:t>
      </w:r>
      <w:r>
        <w:rPr>
          <w:i/>
          <w:iCs/>
        </w:rPr>
        <w:t xml:space="preserve">ō</w:t>
      </w:r>
      <w:r>
        <w:rPr>
          <w:i/>
          <w:iCs/>
        </w:rPr>
        <w:t xml:space="preserve">ura (freshwater crayfish,</w:t>
      </w:r>
      <w:r>
        <w:rPr>
          <w:i/>
          <w:iCs/>
        </w:rPr>
        <w:t xml:space="preserve"> </w:t>
      </w:r>
      <w:r>
        <w:rPr>
          <w:i/>
          <w:i/>
          <w:iCs/>
          <w:iCs/>
        </w:rPr>
        <w:t xml:space="preserve">Paranephrops planifrons</w:t>
      </w:r>
      <w:r>
        <w:rPr>
          <w:i/>
          <w:iCs/>
        </w:rPr>
        <w:t xml:space="preserve">) in</w:t>
      </w:r>
      <w:r>
        <w:rPr>
          <w:i/>
          <w:iCs/>
        </w:rPr>
        <w:t xml:space="preserve"> </w:t>
      </w:r>
      <w:r>
        <w:rPr>
          <w:i/>
          <w:iCs/>
        </w:rPr>
        <w:t xml:space="preserve">Lake Rotoiti</w:t>
      </w:r>
      <w:r>
        <w:t xml:space="preserve"> </w:t>
      </w:r>
      <w:r>
        <w:t xml:space="preserve">[Master’s thesis, University of Waikato].</w:t>
      </w:r>
      <w:r>
        <w:t xml:space="preserve"> </w:t>
      </w:r>
      <w:hyperlink r:id="rId112">
        <w:r>
          <w:rPr>
            <w:rStyle w:val="Hyperlink"/>
          </w:rPr>
          <w:t xml:space="preserve">https://researchcommons.waikato.ac.nz/handle/10289/12746</w:t>
        </w:r>
      </w:hyperlink>
    </w:p>
    <w:bookmarkEnd w:id="113"/>
    <w:bookmarkStart w:id="115" w:name="ref-Froese2006"/>
    <w:p>
      <w:pPr>
        <w:pStyle w:val="Bibliography"/>
      </w:pPr>
      <w:r>
        <w:t xml:space="preserve">Froese, R. (2006). Cube law, condition factor and weight-length relationships: History, meta-analysis and recommendations.</w:t>
      </w:r>
      <w:r>
        <w:t xml:space="preserve"> </w:t>
      </w:r>
      <w:r>
        <w:rPr>
          <w:i/>
          <w:iCs/>
        </w:rPr>
        <w:t xml:space="preserve">Journal of Applied Ichthyology</w:t>
      </w:r>
      <w:r>
        <w:t xml:space="preserve">,</w:t>
      </w:r>
      <w:r>
        <w:t xml:space="preserve"> </w:t>
      </w:r>
      <w:r>
        <w:rPr>
          <w:i/>
          <w:iCs/>
        </w:rPr>
        <w:t xml:space="preserve">22</w:t>
      </w:r>
      <w:r>
        <w:t xml:space="preserve">(4), 241–253.</w:t>
      </w:r>
      <w:r>
        <w:t xml:space="preserve"> </w:t>
      </w:r>
      <w:hyperlink r:id="rId114">
        <w:r>
          <w:rPr>
            <w:rStyle w:val="Hyperlink"/>
          </w:rPr>
          <w:t xml:space="preserve">https://doi.org/10.1111/j.1439-0426.2006.00805.x</w:t>
        </w:r>
      </w:hyperlink>
    </w:p>
    <w:bookmarkEnd w:id="115"/>
    <w:bookmarkStart w:id="117" w:name="ref-Gabry2025"/>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116">
        <w:r>
          <w:rPr>
            <w:rStyle w:val="Hyperlink"/>
          </w:rPr>
          <w:t xml:space="preserve">https://mc-stan.org/cmdstanr/</w:t>
        </w:r>
      </w:hyperlink>
    </w:p>
    <w:bookmarkEnd w:id="117"/>
    <w:bookmarkStart w:id="119" w:name="ref-Grayling2020"/>
    <w:p>
      <w:pPr>
        <w:pStyle w:val="Bibliography"/>
      </w:pPr>
      <w:r>
        <w:t xml:space="preserve">Grayling, S. (2020).</w:t>
      </w:r>
      <w:r>
        <w:t xml:space="preserve"> </w:t>
      </w:r>
      <w:r>
        <w:rPr>
          <w:i/>
          <w:iCs/>
        </w:rPr>
        <w:t xml:space="preserve">Bay of Plenty</w:t>
      </w:r>
      <w:r>
        <w:rPr>
          <w:i/>
          <w:iCs/>
        </w:rPr>
        <w:t xml:space="preserve"> </w:t>
      </w:r>
      <w:r>
        <w:rPr>
          <w:i/>
          <w:iCs/>
        </w:rPr>
        <w:t xml:space="preserve">regional pest management plan 2011-2016 annual report for 2019/2020</w:t>
      </w:r>
      <w:r>
        <w:t xml:space="preserve">. Bay of Plenty Regional Council.</w:t>
      </w:r>
      <w:r>
        <w:t xml:space="preserve"> </w:t>
      </w:r>
      <w:hyperlink r:id="rId118">
        <w:r>
          <w:rPr>
            <w:rStyle w:val="Hyperlink"/>
          </w:rPr>
          <w:t xml:space="preserve">https://atlas.boprc.govt.nz/api/v1/edms/document/A3651696/content</w:t>
        </w:r>
      </w:hyperlink>
    </w:p>
    <w:bookmarkEnd w:id="119"/>
    <w:bookmarkStart w:id="120" w:name="ref-Hamilton2005"/>
    <w:p>
      <w:pPr>
        <w:pStyle w:val="Bibliography"/>
      </w:pPr>
      <w:r>
        <w:t xml:space="preserve">Hamilton, D., McBride, C., &amp; Uraoka, T. (2005).</w:t>
      </w:r>
      <w:r>
        <w:t xml:space="preserve"> </w:t>
      </w:r>
      <w:r>
        <w:rPr>
          <w:i/>
          <w:iCs/>
        </w:rPr>
        <w:t xml:space="preserve">Lake Rotoiti</w:t>
      </w:r>
      <w:r>
        <w:rPr>
          <w:i/>
          <w:iCs/>
        </w:rPr>
        <w:t xml:space="preserve"> </w:t>
      </w:r>
      <w:r>
        <w:rPr>
          <w:i/>
          <w:iCs/>
        </w:rPr>
        <w:t xml:space="preserve">fieldwork and modelling to support considerations of</w:t>
      </w:r>
      <w:r>
        <w:rPr>
          <w:i/>
          <w:iCs/>
        </w:rPr>
        <w:t xml:space="preserve"> </w:t>
      </w:r>
      <w:r>
        <w:rPr>
          <w:i/>
          <w:iCs/>
        </w:rPr>
        <w:t xml:space="preserve">Ohau</w:t>
      </w:r>
      <w:r>
        <w:rPr>
          <w:i/>
          <w:iCs/>
        </w:rPr>
        <w:t xml:space="preserve"> </w:t>
      </w:r>
      <w:r>
        <w:rPr>
          <w:i/>
          <w:iCs/>
        </w:rPr>
        <w:t xml:space="preserve">channel diversion from</w:t>
      </w:r>
      <w:r>
        <w:rPr>
          <w:i/>
          <w:iCs/>
        </w:rPr>
        <w:t xml:space="preserve"> </w:t>
      </w:r>
      <w:r>
        <w:rPr>
          <w:i/>
          <w:iCs/>
        </w:rPr>
        <w:t xml:space="preserve">Lake Rotoiti</w:t>
      </w:r>
      <w:r>
        <w:t xml:space="preserve">. NIWA &amp; University of Waikato.</w:t>
      </w:r>
    </w:p>
    <w:bookmarkEnd w:id="120"/>
    <w:bookmarkStart w:id="122" w:name="ref-Hanski1998"/>
    <w:p>
      <w:pPr>
        <w:pStyle w:val="Bibliography"/>
      </w:pPr>
      <w:r>
        <w:t xml:space="preserve">Hanski, I. (1998). Metapopulation dynamics.</w:t>
      </w:r>
      <w:r>
        <w:t xml:space="preserve"> </w:t>
      </w:r>
      <w:r>
        <w:rPr>
          <w:i/>
          <w:iCs/>
        </w:rPr>
        <w:t xml:space="preserve">Nature</w:t>
      </w:r>
      <w:r>
        <w:t xml:space="preserve">,</w:t>
      </w:r>
      <w:r>
        <w:t xml:space="preserve"> </w:t>
      </w:r>
      <w:r>
        <w:rPr>
          <w:i/>
          <w:iCs/>
        </w:rPr>
        <w:t xml:space="preserve">396</w:t>
      </w:r>
      <w:r>
        <w:t xml:space="preserve">, 41–49.</w:t>
      </w:r>
      <w:r>
        <w:t xml:space="preserve"> </w:t>
      </w:r>
      <w:hyperlink r:id="rId121">
        <w:r>
          <w:rPr>
            <w:rStyle w:val="Hyperlink"/>
          </w:rPr>
          <w:t xml:space="preserve">https://doi.org/10.1038/23876</w:t>
        </w:r>
      </w:hyperlink>
    </w:p>
    <w:bookmarkEnd w:id="122"/>
    <w:bookmarkStart w:id="124" w:name="ref-Hartig2016"/>
    <w:p>
      <w:pPr>
        <w:pStyle w:val="Bibliography"/>
      </w:pPr>
      <w:r>
        <w:t xml:space="preserve">Hartig, F. (2016).</w:t>
      </w:r>
      <w:r>
        <w:t xml:space="preserve"> </w:t>
      </w:r>
      <w:r>
        <w:t xml:space="preserve">DHARMa</w:t>
      </w:r>
      <w:r>
        <w:t xml:space="preserve">: Residual diagnostics for hierarchical (multi-level / mixed) regression models. In</w:t>
      </w:r>
      <w:r>
        <w:t xml:space="preserve"> </w:t>
      </w:r>
      <w:r>
        <w:rPr>
          <w:i/>
          <w:iCs/>
        </w:rPr>
        <w:t xml:space="preserve">CRAN: Contributed Packages</w:t>
      </w:r>
      <w:r>
        <w:t xml:space="preserve">. The R Foundation.</w:t>
      </w:r>
      <w:r>
        <w:t xml:space="preserve"> </w:t>
      </w:r>
      <w:hyperlink r:id="rId123">
        <w:r>
          <w:rPr>
            <w:rStyle w:val="Hyperlink"/>
          </w:rPr>
          <w:t xml:space="preserve">https://doi.org/10.32614/cran.package.dharma</w:t>
        </w:r>
      </w:hyperlink>
    </w:p>
    <w:bookmarkEnd w:id="124"/>
    <w:bookmarkStart w:id="125"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w:t>
      </w:r>
      <w:r>
        <w:t xml:space="preserve"> </w:t>
      </w:r>
      <w:r>
        <w:rPr>
          <w:i/>
          <w:iCs/>
        </w:rPr>
        <w:t xml:space="preserve">Transactions and Proceedings of the Royal Society of New Zealand 1868-1961</w:t>
      </w:r>
      <w:r>
        <w:t xml:space="preserve">,</w:t>
      </w:r>
      <w:r>
        <w:t xml:space="preserve"> </w:t>
      </w:r>
      <w:r>
        <w:rPr>
          <w:i/>
          <w:iCs/>
        </w:rPr>
        <w:t xml:space="preserve">53</w:t>
      </w:r>
      <w:r>
        <w:t xml:space="preserve">, 433–451.</w:t>
      </w:r>
    </w:p>
    <w:bookmarkEnd w:id="125"/>
    <w:bookmarkStart w:id="127" w:name="ref-Huolila1997"/>
    <w:p>
      <w:pPr>
        <w:pStyle w:val="Bibliography"/>
      </w:pPr>
      <w:r>
        <w:t xml:space="preserve">Huolila, M., Marjomäki, T. J., &amp; Laukkanen, E. (1997). The success of crayfish stocking in a dredged river with and without artificial shelter increase.</w:t>
      </w:r>
      <w:r>
        <w:t xml:space="preserve"> </w:t>
      </w:r>
      <w:r>
        <w:rPr>
          <w:i/>
          <w:iCs/>
        </w:rPr>
        <w:t xml:space="preserve">Fisheries Research</w:t>
      </w:r>
      <w:r>
        <w:t xml:space="preserve">,</w:t>
      </w:r>
      <w:r>
        <w:t xml:space="preserve"> </w:t>
      </w:r>
      <w:r>
        <w:rPr>
          <w:i/>
          <w:iCs/>
        </w:rPr>
        <w:t xml:space="preserve">32</w:t>
      </w:r>
      <w:r>
        <w:t xml:space="preserve">(2), 185–189.</w:t>
      </w:r>
      <w:r>
        <w:t xml:space="preserve"> </w:t>
      </w:r>
      <w:hyperlink r:id="rId126">
        <w:r>
          <w:rPr>
            <w:rStyle w:val="Hyperlink"/>
          </w:rPr>
          <w:t xml:space="preserve">https://doi.org/10.1016/s0165-7836(97)00046-5</w:t>
        </w:r>
      </w:hyperlink>
    </w:p>
    <w:bookmarkEnd w:id="127"/>
    <w:bookmarkStart w:id="128" w:name="ref-Johnsen2008"/>
    <w:p>
      <w:pPr>
        <w:pStyle w:val="Bibliography"/>
      </w:pPr>
      <w:r>
        <w:t xml:space="preserve">Johnsen, S. I., &amp; Taugbøl, T. (2008). Add stones, get crayfish – is it that simple?</w:t>
      </w:r>
      <w:r>
        <w:t xml:space="preserve"> </w:t>
      </w:r>
      <w:r>
        <w:rPr>
          <w:i/>
          <w:iCs/>
        </w:rPr>
        <w:t xml:space="preserve">Freshwater Crayfish</w:t>
      </w:r>
      <w:r>
        <w:t xml:space="preserve">,</w:t>
      </w:r>
      <w:r>
        <w:t xml:space="preserve"> </w:t>
      </w:r>
      <w:r>
        <w:rPr>
          <w:i/>
          <w:iCs/>
        </w:rPr>
        <w:t xml:space="preserve">16</w:t>
      </w:r>
      <w:r>
        <w:t xml:space="preserve">(1), 47–50.</w:t>
      </w:r>
    </w:p>
    <w:bookmarkEnd w:id="128"/>
    <w:bookmarkStart w:id="130" w:name="ref-Jowett2008"/>
    <w:p>
      <w:pPr>
        <w:pStyle w:val="Bibliography"/>
      </w:pPr>
      <w:r>
        <w:t xml:space="preserve">Jowett, I. G., Parkyn, S. M., &amp;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w:t>
      </w:r>
      <w:r>
        <w:t xml:space="preserve"> </w:t>
      </w:r>
      <w:r>
        <w:rPr>
          <w:i/>
          <w:iCs/>
        </w:rPr>
        <w:t xml:space="preserve">596</w:t>
      </w:r>
      <w:r>
        <w:t xml:space="preserve">(1), 353–365.</w:t>
      </w:r>
      <w:r>
        <w:t xml:space="preserve"> </w:t>
      </w:r>
      <w:hyperlink r:id="rId129">
        <w:r>
          <w:rPr>
            <w:rStyle w:val="Hyperlink"/>
          </w:rPr>
          <w:t xml:space="preserve">https://doi.org/10.1007/s10750-007-9108-z</w:t>
        </w:r>
      </w:hyperlink>
    </w:p>
    <w:bookmarkEnd w:id="130"/>
    <w:bookmarkStart w:id="132" w:name="ref-Jowett1990"/>
    <w:p>
      <w:pPr>
        <w:pStyle w:val="Bibliography"/>
      </w:pPr>
      <w:r>
        <w:t xml:space="preserve">Jowett, I. G., &amp; Richardson, J.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w:t>
      </w:r>
      <w:r>
        <w:t xml:space="preserve"> </w:t>
      </w:r>
      <w:r>
        <w:rPr>
          <w:i/>
          <w:iCs/>
        </w:rPr>
        <w:t xml:space="preserve">New Zealand Journal of Marine and Freshwater Research</w:t>
      </w:r>
      <w:r>
        <w:t xml:space="preserve">,</w:t>
      </w:r>
      <w:r>
        <w:t xml:space="preserve"> </w:t>
      </w:r>
      <w:r>
        <w:rPr>
          <w:i/>
          <w:iCs/>
        </w:rPr>
        <w:t xml:space="preserve">24</w:t>
      </w:r>
      <w:r>
        <w:t xml:space="preserve">(1), 19–30.</w:t>
      </w:r>
      <w:r>
        <w:t xml:space="preserve"> </w:t>
      </w:r>
      <w:hyperlink r:id="rId131">
        <w:r>
          <w:rPr>
            <w:rStyle w:val="Hyperlink"/>
          </w:rPr>
          <w:t xml:space="preserve">https://doi.org/10.1080/00288330.1990.9516399</w:t>
        </w:r>
      </w:hyperlink>
    </w:p>
    <w:bookmarkEnd w:id="132"/>
    <w:bookmarkStart w:id="133" w:name="ref-Joy2013"/>
    <w:p>
      <w:pPr>
        <w:pStyle w:val="Bibliography"/>
      </w:pPr>
      <w:r>
        <w:t xml:space="preserve">Joy, M., David, B., &amp; Lake, M. (2013).</w:t>
      </w:r>
      <w:r>
        <w:t xml:space="preserve"> </w:t>
      </w:r>
      <w:r>
        <w:rPr>
          <w:i/>
          <w:iCs/>
        </w:rPr>
        <w:t xml:space="preserve">New zealand freshwater fish sampling protocols: Part 1 — wadeable rivers and streams</w:t>
      </w:r>
      <w:r>
        <w:t xml:space="preserve">. Massey University.</w:t>
      </w:r>
    </w:p>
    <w:bookmarkEnd w:id="133"/>
    <w:bookmarkStart w:id="135" w:name="ref-Kopf2019"/>
    <w:p>
      <w:pPr>
        <w:pStyle w:val="Bibliography"/>
      </w:pPr>
      <w:r>
        <w:t xml:space="preserve">Kopf, R. K., Boutier, M., Finlayson, C. M., Hodges, K., Humphries, P., King, A., Kingsford, R. T., Marshall, J., McGinness, H. M., Thresher, R., &amp; Vanderplasschen, A. (2019). Biocontrol in australia: Can a carp herpesvirus (CyHV-3) deliver safe and effective ecological restoration?</w:t>
      </w:r>
      <w:r>
        <w:t xml:space="preserve"> </w:t>
      </w:r>
      <w:r>
        <w:rPr>
          <w:i/>
          <w:iCs/>
        </w:rPr>
        <w:t xml:space="preserve">Biological Invasions</w:t>
      </w:r>
      <w:r>
        <w:t xml:space="preserve">,</w:t>
      </w:r>
      <w:r>
        <w:t xml:space="preserve"> </w:t>
      </w:r>
      <w:r>
        <w:rPr>
          <w:i/>
          <w:iCs/>
        </w:rPr>
        <w:t xml:space="preserve">21</w:t>
      </w:r>
      <w:r>
        <w:t xml:space="preserve">(6), 1857–1870.</w:t>
      </w:r>
      <w:r>
        <w:t xml:space="preserve"> </w:t>
      </w:r>
      <w:hyperlink r:id="rId134">
        <w:r>
          <w:rPr>
            <w:rStyle w:val="Hyperlink"/>
          </w:rPr>
          <w:t xml:space="preserve">https://doi.org/10.1007/s10530-019-01967-1</w:t>
        </w:r>
      </w:hyperlink>
    </w:p>
    <w:bookmarkEnd w:id="135"/>
    <w:bookmarkStart w:id="136" w:name="ref-Kusabs2023"/>
    <w:p>
      <w:pPr>
        <w:pStyle w:val="Bibliography"/>
      </w:pPr>
      <w:r>
        <w:t xml:space="preserve">Kusabs, I. A. (2023).</w:t>
      </w:r>
      <w:r>
        <w:t xml:space="preserve"> </w:t>
      </w:r>
      <w:r>
        <w:rPr>
          <w:i/>
          <w:iCs/>
        </w:rPr>
        <w:t xml:space="preserve">Lake Rotorua</w:t>
      </w:r>
      <w:r>
        <w:rPr>
          <w:i/>
          <w:iCs/>
        </w:rPr>
        <w:t xml:space="preserve"> </w:t>
      </w:r>
      <w:r>
        <w:rPr>
          <w:i/>
          <w:iCs/>
        </w:rPr>
        <w:t xml:space="preserve">alum dosing monitoring programme 2023 koura and kakahi</w:t>
      </w:r>
      <w:r>
        <w:t xml:space="preserve"> </w:t>
      </w:r>
      <w:r>
        <w:t xml:space="preserve">(pp. 1–8) [Bay of Plenty Regional Council]. Kusabs &amp; Associates Ltd.</w:t>
      </w:r>
    </w:p>
    <w:bookmarkEnd w:id="136"/>
    <w:bookmarkStart w:id="138" w:name="ref-Kusabs2015b"/>
    <w:p>
      <w:pPr>
        <w:pStyle w:val="Bibliography"/>
      </w:pPr>
      <w:r>
        <w:t xml:space="preserve">Kusabs, I. A., Quinn, J. M., &amp; Hamilton, D. P. (2015). Effects of benthic substrate, nutrient enrichment and predatory fish on freshwater crayfish (koura,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Marine and Freshwater Research</w:t>
      </w:r>
      <w:r>
        <w:t xml:space="preserve">,</w:t>
      </w:r>
      <w:r>
        <w:t xml:space="preserve"> </w:t>
      </w:r>
      <w:r>
        <w:rPr>
          <w:i/>
          <w:iCs/>
        </w:rPr>
        <w:t xml:space="preserve">66</w:t>
      </w:r>
      <w:r>
        <w:t xml:space="preserve">(7), 631–643.</w:t>
      </w:r>
      <w:r>
        <w:t xml:space="preserve"> </w:t>
      </w:r>
      <w:hyperlink r:id="rId137">
        <w:r>
          <w:rPr>
            <w:rStyle w:val="Hyperlink"/>
          </w:rPr>
          <w:t xml:space="preserve">https://doi.org/10.1071/mf14148</w:t>
        </w:r>
      </w:hyperlink>
    </w:p>
    <w:bookmarkEnd w:id="138"/>
    <w:bookmarkStart w:id="140" w:name="ref-Kusabs2026"/>
    <w:p>
      <w:pPr>
        <w:pStyle w:val="Bibliography"/>
      </w:pPr>
      <w:r>
        <w:t xml:space="preserve">Kusabs, I. A. K., Duggan, I. C., Bruere, A. C., Scholes, P., Te Kurapa, T. W., Grant, T. M., &amp; Burdon, F. 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w:t>
      </w:r>
      <w:r>
        <w:t xml:space="preserve"> </w:t>
      </w:r>
      <w:r>
        <w:rPr>
          <w:i/>
          <w:iCs/>
        </w:rPr>
        <w:t xml:space="preserve">28</w:t>
      </w:r>
      <w:r>
        <w:t xml:space="preserve">(6).</w:t>
      </w:r>
      <w:r>
        <w:t xml:space="preserve"> </w:t>
      </w:r>
      <w:hyperlink r:id="rId139">
        <w:r>
          <w:rPr>
            <w:rStyle w:val="Hyperlink"/>
          </w:rPr>
          <w:t xml:space="preserve">https://doi.org/10.1007/s10530-026-03852-0</w:t>
        </w:r>
      </w:hyperlink>
    </w:p>
    <w:bookmarkEnd w:id="140"/>
    <w:bookmarkStart w:id="142" w:name="ref-Kusabs2015a"/>
    <w:p>
      <w:pPr>
        <w:pStyle w:val="Bibliography"/>
      </w:pPr>
      <w:r>
        <w:t xml:space="preserve">Kusabs, I. A., Hicks, B. J., Quinn, J. M., &amp; Hamilton, D. P. (2015). Sustainable management of freshwater crayfish (kōura,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Fisheries Research</w:t>
      </w:r>
      <w:r>
        <w:t xml:space="preserve">,</w:t>
      </w:r>
      <w:r>
        <w:t xml:space="preserve"> </w:t>
      </w:r>
      <w:r>
        <w:rPr>
          <w:i/>
          <w:iCs/>
        </w:rPr>
        <w:t xml:space="preserve">168</w:t>
      </w:r>
      <w:r>
        <w:t xml:space="preserve">, 35–46.</w:t>
      </w:r>
      <w:r>
        <w:t xml:space="preserve"> </w:t>
      </w:r>
      <w:hyperlink r:id="rId141">
        <w:r>
          <w:rPr>
            <w:rStyle w:val="Hyperlink"/>
          </w:rPr>
          <w:t xml:space="preserve">https://doi.org/10.1016/j.fishres.2015.03.015</w:t>
        </w:r>
      </w:hyperlink>
    </w:p>
    <w:bookmarkEnd w:id="142"/>
    <w:bookmarkStart w:id="144" w:name="ref-Kusabs2009"/>
    <w:p>
      <w:pPr>
        <w:pStyle w:val="Bibliography"/>
      </w:pPr>
      <w:r>
        <w:t xml:space="preserve">Kusabs, I. A., &amp; Quinn, J. M.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43">
        <w:r>
          <w:rPr>
            <w:rStyle w:val="Hyperlink"/>
          </w:rPr>
          <w:t xml:space="preserve">https://doi.org/10.1080/00288330909510036</w:t>
        </w:r>
      </w:hyperlink>
    </w:p>
    <w:bookmarkEnd w:id="144"/>
    <w:bookmarkStart w:id="146" w:name="ref-Kusabs2015c"/>
    <w:p>
      <w:pPr>
        <w:pStyle w:val="Bibliography"/>
      </w:pPr>
      <w:r>
        <w:t xml:space="preserve">Kusabs, I., &amp; Taiaroa, R. (2015).</w:t>
      </w:r>
      <w:r>
        <w:t xml:space="preserve"> </w:t>
      </w:r>
      <w:r>
        <w:rPr>
          <w:i/>
          <w:iCs/>
        </w:rPr>
        <w:t xml:space="preserve">K</w:t>
      </w:r>
      <w:r>
        <w:rPr>
          <w:i/>
          <w:iCs/>
        </w:rPr>
        <w:t xml:space="preserve">ō</w:t>
      </w:r>
      <w:r>
        <w:rPr>
          <w:i/>
          <w:iCs/>
        </w:rPr>
        <w:t xml:space="preserve">ura populations in</w:t>
      </w:r>
      <w:r>
        <w:rPr>
          <w:i/>
          <w:iCs/>
        </w:rPr>
        <w:t xml:space="preserve"> </w:t>
      </w:r>
      <w:r>
        <w:rPr>
          <w:i/>
          <w:iCs/>
        </w:rPr>
        <w:t xml:space="preserve">Lake Taup</w:t>
      </w:r>
      <w:r>
        <w:rPr>
          <w:i/>
          <w:iCs/>
        </w:rPr>
        <w:t xml:space="preserve">ō</w:t>
      </w:r>
      <w:r>
        <w:rPr>
          <w:i/>
          <w:iCs/>
        </w:rPr>
        <w:t xml:space="preserve"> </w:t>
      </w:r>
      <w:r>
        <w:rPr>
          <w:i/>
          <w:iCs/>
        </w:rPr>
        <w:t xml:space="preserve">and comments on the effects of catfish</w:t>
      </w:r>
      <w:r>
        <w:t xml:space="preserve">. Ngāti Tūwharetoa Māori Trust Board.</w:t>
      </w:r>
      <w:r>
        <w:t xml:space="preserve"> </w:t>
      </w:r>
      <w:hyperlink r:id="rId145">
        <w:r>
          <w:rPr>
            <w:rStyle w:val="Hyperlink"/>
          </w:rPr>
          <w:t xml:space="preserve">https://doi.org/10.13140/RG.2.2.12471.89761</w:t>
        </w:r>
      </w:hyperlink>
    </w:p>
    <w:bookmarkEnd w:id="146"/>
    <w:bookmarkStart w:id="148"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47">
        <w:r>
          <w:rPr>
            <w:rStyle w:val="Hyperlink"/>
          </w:rPr>
          <w:t xml:space="preserve">https://doi.org/10.5194/we-25-221-2025</w:t>
        </w:r>
      </w:hyperlink>
    </w:p>
    <w:bookmarkEnd w:id="148"/>
    <w:bookmarkStart w:id="150" w:name="ref-Lennox2025"/>
    <w:p>
      <w:pPr>
        <w:pStyle w:val="Bibliography"/>
      </w:pPr>
      <w:r>
        <w:t xml:space="preserve">Lennox, R. J., Kambestad, M., Berhe, S., Birnie‐Gauvin, K., Cooke, S. J., Dahlmo, L. S., Eldøy, S. H., Davidsen, J. G., Hanssen, E. M., Sortland, L. K., Shea, D., Nilsen, C. I., Skoglund, H., Velle, G., Hellström, G., Lundberg, P., Junge, C., Ferter, K., &amp; Wiik Vollset, K. (2025). The role of habitat in predator–prey dynamics with applications to restoration.</w:t>
      </w:r>
      <w:r>
        <w:t xml:space="preserve"> </w:t>
      </w:r>
      <w:r>
        <w:rPr>
          <w:i/>
          <w:iCs/>
        </w:rPr>
        <w:t xml:space="preserve">Restoration Ecology</w:t>
      </w:r>
      <w:r>
        <w:t xml:space="preserve">,</w:t>
      </w:r>
      <w:r>
        <w:t xml:space="preserve"> </w:t>
      </w:r>
      <w:r>
        <w:rPr>
          <w:i/>
          <w:iCs/>
        </w:rPr>
        <w:t xml:space="preserve">33</w:t>
      </w:r>
      <w:r>
        <w:t xml:space="preserve">(3).</w:t>
      </w:r>
      <w:r>
        <w:t xml:space="preserve"> </w:t>
      </w:r>
      <w:hyperlink r:id="rId149">
        <w:r>
          <w:rPr>
            <w:rStyle w:val="Hyperlink"/>
          </w:rPr>
          <w:t xml:space="preserve">https://doi.org/10.1111/rec.14354</w:t>
        </w:r>
      </w:hyperlink>
    </w:p>
    <w:bookmarkEnd w:id="150"/>
    <w:bookmarkStart w:id="152" w:name="ref-Lenth2017"/>
    <w:p>
      <w:pPr>
        <w:pStyle w:val="Bibliography"/>
      </w:pPr>
      <w:r>
        <w:t xml:space="preserve">Lenth, R. V., &amp; Piaskowski, J. (2017). Emmeans: Estimated marginal means, aka least-squares means. In</w:t>
      </w:r>
      <w:r>
        <w:t xml:space="preserve"> </w:t>
      </w:r>
      <w:r>
        <w:rPr>
          <w:i/>
          <w:iCs/>
        </w:rPr>
        <w:t xml:space="preserve">CRAN: Contributed Packages</w:t>
      </w:r>
      <w:r>
        <w:t xml:space="preserve">. The R Foundation.</w:t>
      </w:r>
      <w:r>
        <w:t xml:space="preserve"> </w:t>
      </w:r>
      <w:hyperlink r:id="rId151">
        <w:r>
          <w:rPr>
            <w:rStyle w:val="Hyperlink"/>
          </w:rPr>
          <w:t xml:space="preserve">https://doi.org/10.32614/cran.package.emmeans</w:t>
        </w:r>
      </w:hyperlink>
    </w:p>
    <w:bookmarkEnd w:id="152"/>
    <w:bookmarkStart w:id="154" w:name="ref-MacNeil2025"/>
    <w:p>
      <w:pPr>
        <w:pStyle w:val="Bibliography"/>
      </w:pPr>
      <w:r>
        <w:t xml:space="preserve">MacNeil, C., Lee, F., Kusabs, I., &amp;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(426), 29.</w:t>
      </w:r>
      <w:r>
        <w:t xml:space="preserve"> </w:t>
      </w:r>
      <w:hyperlink r:id="rId153">
        <w:r>
          <w:rPr>
            <w:rStyle w:val="Hyperlink"/>
          </w:rPr>
          <w:t xml:space="preserve">https://doi.org/10.1051/kmae/2025022</w:t>
        </w:r>
      </w:hyperlink>
    </w:p>
    <w:bookmarkEnd w:id="154"/>
    <w:bookmarkStart w:id="156" w:name="ref-Minns1996"/>
    <w:p>
      <w:pPr>
        <w:pStyle w:val="Bibliography"/>
      </w:pPr>
      <w:r>
        <w:t xml:space="preserve">Minns, C. K., Kelso, J. R., &amp; Randall, R. G. (1996). Detecting the response of fish to habitat alterations in freshwater ecosystems.</w:t>
      </w:r>
      <w:r>
        <w:t xml:space="preserve"> </w:t>
      </w:r>
      <w:r>
        <w:rPr>
          <w:i/>
          <w:iCs/>
        </w:rPr>
        <w:t xml:space="preserve">Canadian Journal of Fisheries and Aquatic Sciences</w:t>
      </w:r>
      <w:r>
        <w:t xml:space="preserve">,</w:t>
      </w:r>
      <w:r>
        <w:t xml:space="preserve"> </w:t>
      </w:r>
      <w:r>
        <w:rPr>
          <w:i/>
          <w:iCs/>
        </w:rPr>
        <w:t xml:space="preserve">53</w:t>
      </w:r>
      <w:r>
        <w:t xml:space="preserve">(S1), 403–414.</w:t>
      </w:r>
      <w:r>
        <w:t xml:space="preserve"> </w:t>
      </w:r>
      <w:hyperlink r:id="rId155">
        <w:r>
          <w:rPr>
            <w:rStyle w:val="Hyperlink"/>
          </w:rPr>
          <w:t xml:space="preserve">https://doi.org/10.1139/f95-262</w:t>
        </w:r>
      </w:hyperlink>
    </w:p>
    <w:bookmarkEnd w:id="156"/>
    <w:bookmarkStart w:id="158" w:name="ref-Momot1995"/>
    <w:p>
      <w:pPr>
        <w:pStyle w:val="Bibliography"/>
      </w:pPr>
      <w:r>
        <w:t xml:space="preserve">Momot, W. T. (1995). Redefining the role of crayfish in aquatic ecosystems.</w:t>
      </w:r>
      <w:r>
        <w:t xml:space="preserve"> </w:t>
      </w:r>
      <w:r>
        <w:rPr>
          <w:i/>
          <w:iCs/>
        </w:rPr>
        <w:t xml:space="preserve">Reviews in Fisheries Science</w:t>
      </w:r>
      <w:r>
        <w:t xml:space="preserve">,</w:t>
      </w:r>
      <w:r>
        <w:t xml:space="preserve"> </w:t>
      </w:r>
      <w:r>
        <w:rPr>
          <w:i/>
          <w:iCs/>
        </w:rPr>
        <w:t xml:space="preserve">3</w:t>
      </w:r>
      <w:r>
        <w:t xml:space="preserve">(1), 33–63.</w:t>
      </w:r>
      <w:r>
        <w:t xml:space="preserve"> </w:t>
      </w:r>
      <w:hyperlink r:id="rId157">
        <w:r>
          <w:rPr>
            <w:rStyle w:val="Hyperlink"/>
          </w:rPr>
          <w:t xml:space="preserve">https://doi.org/10.1080/10641269509388566</w:t>
        </w:r>
      </w:hyperlink>
    </w:p>
    <w:bookmarkEnd w:id="158"/>
    <w:bookmarkStart w:id="160" w:name="ref-Moore2026"/>
    <w:p>
      <w:pPr>
        <w:pStyle w:val="Bibliography"/>
      </w:pPr>
      <w:r>
        <w:t xml:space="preserve">Moore, T., &amp; McBride, C. (2026).</w:t>
      </w:r>
      <w:r>
        <w:t xml:space="preserve"> </w:t>
      </w:r>
      <w:r>
        <w:rPr>
          <w:i/>
          <w:iCs/>
        </w:rPr>
        <w:t xml:space="preserve">Aemetools:</w:t>
      </w:r>
      <w:r>
        <w:rPr>
          <w:i/>
          <w:iCs/>
        </w:rPr>
        <w:t xml:space="preserve"> </w:t>
      </w:r>
      <w:r>
        <w:rPr>
          <w:i/>
          <w:iCs/>
        </w:rPr>
        <w:t xml:space="preserve">Tools</w:t>
      </w:r>
      <w:r>
        <w:rPr>
          <w:i/>
          <w:iCs/>
        </w:rPr>
        <w:t xml:space="preserve"> </w:t>
      </w:r>
      <w:r>
        <w:rPr>
          <w:i/>
          <w:iCs/>
        </w:rPr>
        <w:t xml:space="preserve">to expand the</w:t>
      </w:r>
      <w:r>
        <w:rPr>
          <w:i/>
          <w:iCs/>
        </w:rPr>
        <w:t xml:space="preserve"> </w:t>
      </w:r>
      <w:r>
        <w:rPr>
          <w:i/>
          <w:iCs/>
        </w:rPr>
        <w:t xml:space="preserve">Aquatic Ecosystem Model Ensemble Package</w:t>
      </w:r>
      <w:r>
        <w:t xml:space="preserve">.</w:t>
      </w:r>
      <w:r>
        <w:t xml:space="preserve"> </w:t>
      </w:r>
      <w:hyperlink r:id="rId159">
        <w:r>
          <w:rPr>
            <w:rStyle w:val="Hyperlink"/>
          </w:rPr>
          <w:t xml:space="preserve">https://limnotrack.com/aemetools/</w:t>
        </w:r>
      </w:hyperlink>
    </w:p>
    <w:bookmarkEnd w:id="160"/>
    <w:bookmarkStart w:id="162" w:name="ref-Morelli2016"/>
    <w:p>
      <w:pPr>
        <w:pStyle w:val="Bibliography"/>
      </w:pPr>
      <w:r>
        <w:t xml:space="preserve">Morelli, T. L., Daly, C., Dobrowski, S. Z., Dulen, D. M., Ebersole, J. L., Jackson, S. T., Lundquist, J. D., Millar, C. I., Maher, S. P., Monahan, W. B., Nydick, K. R., Redmond, K. T., Sawyer, S. C., Stock, S., &amp; Beissinger, S. R. (2016). Managing climate change refugia for climate adaptation.</w:t>
      </w:r>
      <w:r>
        <w:t xml:space="preserve"> </w:t>
      </w:r>
      <w:r>
        <w:rPr>
          <w:i/>
          <w:iCs/>
        </w:rPr>
        <w:t xml:space="preserve">PLOS ONE</w:t>
      </w:r>
      <w:r>
        <w:t xml:space="preserve">,</w:t>
      </w:r>
      <w:r>
        <w:t xml:space="preserve"> </w:t>
      </w:r>
      <w:r>
        <w:rPr>
          <w:i/>
          <w:iCs/>
        </w:rPr>
        <w:t xml:space="preserve">11</w:t>
      </w:r>
      <w:r>
        <w:t xml:space="preserve">(8), e0159909.</w:t>
      </w:r>
      <w:r>
        <w:t xml:space="preserve"> </w:t>
      </w:r>
      <w:hyperlink r:id="rId161">
        <w:r>
          <w:rPr>
            <w:rStyle w:val="Hyperlink"/>
          </w:rPr>
          <w:t xml:space="preserve">https://doi.org/10.1371/journal.pone.0159909</w:t>
        </w:r>
      </w:hyperlink>
    </w:p>
    <w:bookmarkEnd w:id="162"/>
    <w:bookmarkStart w:id="164" w:name="ref-Ngwenya2025"/>
    <w:p>
      <w:pPr>
        <w:pStyle w:val="Bibliography"/>
      </w:pPr>
      <w:r>
        <w:t xml:space="preserve">Ngwenya, D. K., Geerts, S., Holmes, P. M., &amp; Esler, K. J. (2025). Conceptualizing and contextualizing</w:t>
      </w:r>
      <w:r>
        <w:t xml:space="preserve"> </w:t>
      </w:r>
      <w:r>
        <w:t xml:space="preserve">“large‐scale”</w:t>
      </w:r>
      <w:r>
        <w:t xml:space="preserve"> </w:t>
      </w:r>
      <w:r>
        <w:t xml:space="preserve">and</w:t>
      </w:r>
      <w:r>
        <w:t xml:space="preserve"> </w:t>
      </w:r>
      <w:r>
        <w:t xml:space="preserve">“scaling‐up”</w:t>
      </w:r>
      <w:r>
        <w:t xml:space="preserve"> </w:t>
      </w:r>
      <w:r>
        <w:t xml:space="preserve">ecological restoration.</w:t>
      </w:r>
      <w:r>
        <w:t xml:space="preserve"> </w:t>
      </w:r>
      <w:r>
        <w:rPr>
          <w:i/>
          <w:iCs/>
        </w:rPr>
        <w:t xml:space="preserve">Restoration Ecology</w:t>
      </w:r>
      <w:r>
        <w:t xml:space="preserve">,</w:t>
      </w:r>
      <w:r>
        <w:t xml:space="preserve"> </w:t>
      </w:r>
      <w:r>
        <w:rPr>
          <w:i/>
          <w:iCs/>
        </w:rPr>
        <w:t xml:space="preserve">34</w:t>
      </w:r>
      <w:r>
        <w:t xml:space="preserve">(3).</w:t>
      </w:r>
      <w:r>
        <w:t xml:space="preserve"> </w:t>
      </w:r>
      <w:hyperlink r:id="rId163">
        <w:r>
          <w:rPr>
            <w:rStyle w:val="Hyperlink"/>
          </w:rPr>
          <w:t xml:space="preserve">https://doi.org/10.1111/rec.70266</w:t>
        </w:r>
      </w:hyperlink>
    </w:p>
    <w:bookmarkEnd w:id="164"/>
    <w:bookmarkStart w:id="166" w:name="ref-Nystrom2006"/>
    <w:p>
      <w:pPr>
        <w:pStyle w:val="Bibliography"/>
      </w:pPr>
      <w:r>
        <w:t xml:space="preserve">Nyström, P., Stenroth, P., Holmqvist, N., Berglund, O., Larsson, P., &amp; Granéli, W. (2006). Crayfish in lakes and streams: Individual and population responses to predation, productivity and substratum availability.</w:t>
      </w:r>
      <w:r>
        <w:t xml:space="preserve"> </w:t>
      </w:r>
      <w:r>
        <w:rPr>
          <w:i/>
          <w:iCs/>
        </w:rPr>
        <w:t xml:space="preserve">Freshwater Biology</w:t>
      </w:r>
      <w:r>
        <w:t xml:space="preserve">,</w:t>
      </w:r>
      <w:r>
        <w:t xml:space="preserve"> </w:t>
      </w:r>
      <w:r>
        <w:rPr>
          <w:i/>
          <w:iCs/>
        </w:rPr>
        <w:t xml:space="preserve">51</w:t>
      </w:r>
      <w:r>
        <w:t xml:space="preserve">(11), 2096–2113.</w:t>
      </w:r>
      <w:r>
        <w:t xml:space="preserve"> </w:t>
      </w:r>
      <w:hyperlink r:id="rId165">
        <w:r>
          <w:rPr>
            <w:rStyle w:val="Hyperlink"/>
          </w:rPr>
          <w:t xml:space="preserve">https://doi.org/10.1111/j.1365-2427.2006.01641.x</w:t>
        </w:r>
      </w:hyperlink>
    </w:p>
    <w:bookmarkEnd w:id="166"/>
    <w:bookmarkStart w:id="168" w:name="ref-Orr2024"/>
    <w:p>
      <w:pPr>
        <w:pStyle w:val="Bibliography"/>
      </w:pPr>
      <w:r>
        <w:t xml:space="preserve">Orr, J. A., Macaulay, S. J., Mordente, A., Burgess, B., Albini, D., Hunn, J. G., Restrepo‐Sulez, K., Wilson, R., Schechner, A., Robertson, A. M., Lee, B., Stuparyk, B. R., Singh, D., O’Loughlin, I., Piggott, J. J., Zhu, J., Dinh, K. V., Archer, L. C., Penk, M., … Jackson, M. C. (2024). Studying interactions among anthropogenic stressors in freshwater ecosystems: A systematic review of 2396 multiple‐stressor experiments.</w:t>
      </w:r>
      <w:r>
        <w:t xml:space="preserve"> </w:t>
      </w:r>
      <w:r>
        <w:rPr>
          <w:i/>
          <w:iCs/>
        </w:rPr>
        <w:t xml:space="preserve">Ecology Letters</w:t>
      </w:r>
      <w:r>
        <w:t xml:space="preserve">,</w:t>
      </w:r>
      <w:r>
        <w:t xml:space="preserve"> </w:t>
      </w:r>
      <w:r>
        <w:rPr>
          <w:i/>
          <w:iCs/>
        </w:rPr>
        <w:t xml:space="preserve">27</w:t>
      </w:r>
      <w:r>
        <w:t xml:space="preserve">(6).</w:t>
      </w:r>
      <w:r>
        <w:t xml:space="preserve"> </w:t>
      </w:r>
      <w:hyperlink r:id="rId167">
        <w:r>
          <w:rPr>
            <w:rStyle w:val="Hyperlink"/>
          </w:rPr>
          <w:t xml:space="preserve">https://doi.org/10.1111/ele.14463</w:t>
        </w:r>
      </w:hyperlink>
    </w:p>
    <w:bookmarkEnd w:id="168"/>
    <w:bookmarkStart w:id="170" w:name="ref-Parkyn2004"/>
    <w:p>
      <w:pPr>
        <w:pStyle w:val="Bibliography"/>
      </w:pPr>
      <w:r>
        <w:t xml:space="preserve">Parkyn, S. M., &amp; Collier, K. J. (2004). Interaction of</w:t>
      </w:r>
      <w:r>
        <w:t xml:space="preserve"> </w:t>
      </w:r>
      <w:r>
        <w:t xml:space="preserve">Press</w:t>
      </w:r>
      <w:r>
        <w:t xml:space="preserve"> </w:t>
      </w:r>
      <w:r>
        <w:t xml:space="preserve">and</w:t>
      </w:r>
      <w:r>
        <w:t xml:space="preserve"> </w:t>
      </w:r>
      <w:r>
        <w:t xml:space="preserve">Pulse</w:t>
      </w:r>
      <w:r>
        <w:t xml:space="preserve"> </w:t>
      </w:r>
      <w:r>
        <w:t xml:space="preserve">disturbance on crayfish populations: Flood impacts in pasture and forest streams.</w:t>
      </w:r>
      <w:r>
        <w:t xml:space="preserve"> </w:t>
      </w:r>
      <w:r>
        <w:rPr>
          <w:i/>
          <w:iCs/>
        </w:rPr>
        <w:t xml:space="preserve">Hydrobiologia</w:t>
      </w:r>
      <w:r>
        <w:t xml:space="preserve">,</w:t>
      </w:r>
      <w:r>
        <w:t xml:space="preserve"> </w:t>
      </w:r>
      <w:r>
        <w:rPr>
          <w:i/>
          <w:iCs/>
        </w:rPr>
        <w:t xml:space="preserve">527</w:t>
      </w:r>
      <w:r>
        <w:t xml:space="preserve">(1), 113–124.</w:t>
      </w:r>
      <w:r>
        <w:t xml:space="preserve"> </w:t>
      </w:r>
      <w:hyperlink r:id="rId169">
        <w:r>
          <w:rPr>
            <w:rStyle w:val="Hyperlink"/>
          </w:rPr>
          <w:t xml:space="preserve">https://doi.org/10.1023/b:hydr.0000043189.91134.94</w:t>
        </w:r>
      </w:hyperlink>
    </w:p>
    <w:bookmarkEnd w:id="170"/>
    <w:bookmarkStart w:id="172" w:name="ref-Parkyn2001"/>
    <w:p>
      <w:pPr>
        <w:pStyle w:val="Bibliography"/>
      </w:pPr>
      <w:r>
        <w:t xml:space="preserve">Parkyn, S. M., Collier, K. J., &amp; Hicks, B. 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71">
        <w:r>
          <w:rPr>
            <w:rStyle w:val="Hyperlink"/>
          </w:rPr>
          <w:t xml:space="preserve">https://doi.org/10.1046/j.1365-2427.2001.00702.x</w:t>
        </w:r>
      </w:hyperlink>
    </w:p>
    <w:bookmarkEnd w:id="172"/>
    <w:bookmarkStart w:id="174" w:name="ref-Parkyn2009"/>
    <w:p>
      <w:pPr>
        <w:pStyle w:val="Bibliography"/>
      </w:pPr>
      <w:r>
        <w:t xml:space="preserve">Parkyn, S. M., Meleason, M. A., &amp; Davies-Colley, R. 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w:t>
      </w:r>
      <w:r>
        <w:t xml:space="preserve"> </w:t>
      </w:r>
      <w:r>
        <w:rPr>
          <w:i/>
          <w:iCs/>
        </w:rPr>
        <w:t xml:space="preserve">43</w:t>
      </w:r>
      <w:r>
        <w:t xml:space="preserve">(3), 689–700.</w:t>
      </w:r>
      <w:r>
        <w:t xml:space="preserve"> </w:t>
      </w:r>
      <w:hyperlink r:id="rId173">
        <w:r>
          <w:rPr>
            <w:rStyle w:val="Hyperlink"/>
          </w:rPr>
          <w:t xml:space="preserve">https://doi.org/10.1080/00288330909510034</w:t>
        </w:r>
      </w:hyperlink>
    </w:p>
    <w:bookmarkEnd w:id="174"/>
    <w:bookmarkStart w:id="176" w:name="ref-Pilotto2018"/>
    <w:p>
      <w:pPr>
        <w:pStyle w:val="Bibliography"/>
      </w:pPr>
      <w:r>
        <w:t xml:space="preserve">Pilotto, F., Nilsson, C., Polvi, L. E., &amp; McKie, B. G. (2018). First signs of macroinvertebrate recovery following enhanced restoration of boreal streams used for timber floating.</w:t>
      </w:r>
      <w:r>
        <w:t xml:space="preserve"> </w:t>
      </w:r>
      <w:r>
        <w:rPr>
          <w:i/>
          <w:iCs/>
        </w:rPr>
        <w:t xml:space="preserve">Ecological Applications</w:t>
      </w:r>
      <w:r>
        <w:t xml:space="preserve">,</w:t>
      </w:r>
      <w:r>
        <w:t xml:space="preserve"> </w:t>
      </w:r>
      <w:r>
        <w:rPr>
          <w:i/>
          <w:iCs/>
        </w:rPr>
        <w:t xml:space="preserve">28</w:t>
      </w:r>
      <w:r>
        <w:t xml:space="preserve">(2), 587–597.</w:t>
      </w:r>
      <w:r>
        <w:t xml:space="preserve"> </w:t>
      </w:r>
      <w:hyperlink r:id="rId175">
        <w:r>
          <w:rPr>
            <w:rStyle w:val="Hyperlink"/>
          </w:rPr>
          <w:t xml:space="preserve">https://doi.org/10.1002/eap.1672</w:t>
        </w:r>
      </w:hyperlink>
    </w:p>
    <w:bookmarkEnd w:id="176"/>
    <w:bookmarkStart w:id="178" w:name="ref-Prentice2026"/>
    <w:p>
      <w:pPr>
        <w:pStyle w:val="Bibliography"/>
      </w:pPr>
      <w:r>
        <w:t xml:space="preserve">Prentice, M. J., Allan, M. G., Bruere, A., &amp; Özkundakci, D. (2026). Efficacy of an inflow diversion wall for managing eutrophication in two hydrologically connected lakes: A modelling study.</w:t>
      </w:r>
      <w:r>
        <w:t xml:space="preserve"> </w:t>
      </w:r>
      <w:r>
        <w:rPr>
          <w:i/>
          <w:iCs/>
        </w:rPr>
        <w:t xml:space="preserve">Ecological Engineering</w:t>
      </w:r>
      <w:r>
        <w:t xml:space="preserve">,</w:t>
      </w:r>
      <w:r>
        <w:t xml:space="preserve"> </w:t>
      </w:r>
      <w:r>
        <w:rPr>
          <w:i/>
          <w:iCs/>
        </w:rPr>
        <w:t xml:space="preserve">223</w:t>
      </w:r>
      <w:r>
        <w:t xml:space="preserve">, 107862.</w:t>
      </w:r>
      <w:r>
        <w:t xml:space="preserve"> </w:t>
      </w:r>
      <w:hyperlink r:id="rId177">
        <w:r>
          <w:rPr>
            <w:rStyle w:val="Hyperlink"/>
          </w:rPr>
          <w:t xml:space="preserve">https://doi.org/10.1016/j.ecoleng.2025.107862</w:t>
        </w:r>
      </w:hyperlink>
    </w:p>
    <w:bookmarkEnd w:id="178"/>
    <w:bookmarkStart w:id="179" w:name="ref-Quinn2002"/>
    <w:p>
      <w:pPr>
        <w:pStyle w:val="Bibliography"/>
      </w:pPr>
      <w:r>
        <w:t xml:space="preserve">Quinn, G. P., &amp; Keough, M. J. (2002).</w:t>
      </w:r>
      <w:r>
        <w:t xml:space="preserve"> </w:t>
      </w:r>
      <w:r>
        <w:rPr>
          <w:i/>
          <w:iCs/>
        </w:rPr>
        <w:t xml:space="preserve">Experimental design and data analysis for biologists</w:t>
      </w:r>
      <w:r>
        <w:t xml:space="preserve">. Cambridge University Press.</w:t>
      </w:r>
    </w:p>
    <w:bookmarkEnd w:id="179"/>
    <w:bookmarkStart w:id="181" w:name="ref-RCoreTeam2026"/>
    <w:p>
      <w:pPr>
        <w:pStyle w:val="Bibliography"/>
      </w:pPr>
      <w:r>
        <w:t xml:space="preserve">R Core Team. (2026).</w:t>
      </w:r>
      <w:r>
        <w:t xml:space="preserve"> </w:t>
      </w:r>
      <w:r>
        <w:rPr>
          <w:i/>
          <w:iCs/>
        </w:rPr>
        <w:t xml:space="preserve">R</w:t>
      </w:r>
      <w:r>
        <w:rPr>
          <w:i/>
          <w:iCs/>
        </w:rPr>
        <w:t xml:space="preserve">: A language and environment for statistical computing</w:t>
      </w:r>
      <w:r>
        <w:t xml:space="preserve">. R Foundation for Statistical Computing.</w:t>
      </w:r>
      <w:r>
        <w:t xml:space="preserve"> </w:t>
      </w:r>
      <w:hyperlink r:id="rId180">
        <w:r>
          <w:rPr>
            <w:rStyle w:val="Hyperlink"/>
          </w:rPr>
          <w:t xml:space="preserve">https://www.R-project.org/</w:t>
        </w:r>
      </w:hyperlink>
    </w:p>
    <w:bookmarkEnd w:id="181"/>
    <w:bookmarkStart w:id="183" w:name="ref-Raven2026b"/>
    <w:p>
      <w:pPr>
        <w:pStyle w:val="Bibliography"/>
      </w:pPr>
      <w:r>
        <w:t xml:space="preserve">Raven, O. V., Burdon, F. J., Kusabs, I. A. K., Holmes, R., &amp; Özkundakci, D. (2026b). Littoral habitat structure influences freshwater crayfish populations in five volcanic lakes of</w:t>
      </w:r>
      <w:r>
        <w:t xml:space="preserve"> </w:t>
      </w:r>
      <w:r>
        <w:t xml:space="preserve">Aotearoa New Zealand</w:t>
      </w:r>
      <w:r>
        <w:t xml:space="preserve">.</w:t>
      </w:r>
      <w:r>
        <w:t xml:space="preserve"> </w:t>
      </w:r>
      <w:r>
        <w:rPr>
          <w:i/>
          <w:iCs/>
        </w:rPr>
        <w:t xml:space="preserve">Hydrobiologia</w:t>
      </w:r>
      <w:r>
        <w:t xml:space="preserve">.</w:t>
      </w:r>
      <w:r>
        <w:t xml:space="preserve"> </w:t>
      </w:r>
      <w:hyperlink r:id="rId182">
        <w:r>
          <w:rPr>
            <w:rStyle w:val="Hyperlink"/>
          </w:rPr>
          <w:t xml:space="preserve">https://doi.org/10.1007/s10750-026-06302-z</w:t>
        </w:r>
      </w:hyperlink>
    </w:p>
    <w:bookmarkEnd w:id="183"/>
    <w:bookmarkStart w:id="185" w:name="ref-Raven2026a"/>
    <w:p>
      <w:pPr>
        <w:pStyle w:val="Bibliography"/>
      </w:pPr>
      <w:r>
        <w:t xml:space="preserve">Raven, O. V., MacNeil, C., Lee, F., Holmes, R., Kusabs, I. A. K., Burdon, F. J., &amp; Özkundakci, D. (2026a).</w:t>
      </w:r>
      <w:r>
        <w:t xml:space="preserve"> </w:t>
      </w:r>
      <w:r>
        <w:rPr>
          <w:i/>
          <w:iCs/>
        </w:rPr>
        <w:t xml:space="preserve">Fear of the new: A predatory invader provokes stronger non-consumptive effects on a keystone native prey than a native predator</w:t>
      </w:r>
      <w:r>
        <w:t xml:space="preserve">.</w:t>
      </w:r>
      <w:r>
        <w:t xml:space="preserve"> </w:t>
      </w:r>
      <w:hyperlink r:id="rId184">
        <w:r>
          <w:rPr>
            <w:rStyle w:val="Hyperlink"/>
          </w:rPr>
          <w:t xml:space="preserve">https://doi.org/10.21203/rs.3.rs-9891519/v1</w:t>
        </w:r>
      </w:hyperlink>
    </w:p>
    <w:bookmarkEnd w:id="185"/>
    <w:bookmarkStart w:id="187" w:name="ref-Richman2015"/>
    <w:p>
      <w:pPr>
        <w:pStyle w:val="Bibliography"/>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w:t>
      </w:r>
      <w:r>
        <w:t xml:space="preserve">Decapoda</w:t>
      </w:r>
      <w:r>
        <w:t xml:space="preserve">:</w:t>
      </w:r>
      <w:r>
        <w:t xml:space="preserve"> </w:t>
      </w:r>
      <w:r>
        <w:t xml:space="preserve">Astacidea</w:t>
      </w:r>
      <w:r>
        <w:t xml:space="preserve">).</w:t>
      </w:r>
      <w:r>
        <w:t xml:space="preserve"> </w:t>
      </w:r>
      <w:r>
        <w:rPr>
          <w:i/>
          <w:iCs/>
        </w:rPr>
        <w:t xml:space="preserve">Philosophical Transactions of the Royal Society B: Biological Sciences</w:t>
      </w:r>
      <w:r>
        <w:t xml:space="preserve">,</w:t>
      </w:r>
      <w:r>
        <w:t xml:space="preserve"> </w:t>
      </w:r>
      <w:r>
        <w:rPr>
          <w:i/>
          <w:iCs/>
        </w:rPr>
        <w:t xml:space="preserve">370</w:t>
      </w:r>
      <w:r>
        <w:t xml:space="preserve">(1662), 20140060.</w:t>
      </w:r>
      <w:r>
        <w:t xml:space="preserve"> </w:t>
      </w:r>
      <w:hyperlink r:id="rId186">
        <w:r>
          <w:rPr>
            <w:rStyle w:val="Hyperlink"/>
          </w:rPr>
          <w:t xml:space="preserve">https://doi.org/10.1098/rstb.2014.0060</w:t>
        </w:r>
      </w:hyperlink>
    </w:p>
    <w:bookmarkEnd w:id="187"/>
    <w:bookmarkStart w:id="189" w:name="ref-Ruh2012"/>
    <w:p>
      <w:pPr>
        <w:pStyle w:val="Bibliography"/>
      </w:pPr>
      <w:r>
        <w:t xml:space="preserve">Ruhí, A., Herrmann, J., Gascón, S., Sala, J., Geijer, J., &amp; Boix, D. (2012). Change in biological traits and community structure of macroinvertebrates through primary succession in a man-made</w:t>
      </w:r>
      <w:r>
        <w:t xml:space="preserve"> </w:t>
      </w:r>
      <w:r>
        <w:t xml:space="preserve">Swedish</w:t>
      </w:r>
      <w:r>
        <w:t xml:space="preserve"> </w:t>
      </w:r>
      <w:r>
        <w:t xml:space="preserve">wetland.</w:t>
      </w:r>
      <w:r>
        <w:t xml:space="preserve"> </w:t>
      </w:r>
      <w:r>
        <w:rPr>
          <w:i/>
          <w:iCs/>
        </w:rPr>
        <w:t xml:space="preserve">Freshwater Science</w:t>
      </w:r>
      <w:r>
        <w:t xml:space="preserve">,</w:t>
      </w:r>
      <w:r>
        <w:t xml:space="preserve"> </w:t>
      </w:r>
      <w:r>
        <w:rPr>
          <w:i/>
          <w:iCs/>
        </w:rPr>
        <w:t xml:space="preserve">31</w:t>
      </w:r>
      <w:r>
        <w:t xml:space="preserve">(1), 22–37.</w:t>
      </w:r>
      <w:r>
        <w:t xml:space="preserve"> </w:t>
      </w:r>
      <w:hyperlink r:id="rId188">
        <w:r>
          <w:rPr>
            <w:rStyle w:val="Hyperlink"/>
          </w:rPr>
          <w:t xml:space="preserve">https://doi.org/10.1899/11-018.1</w:t>
        </w:r>
      </w:hyperlink>
    </w:p>
    <w:bookmarkEnd w:id="189"/>
    <w:bookmarkStart w:id="191" w:name="ref-Sayer2025"/>
    <w:p>
      <w:pPr>
        <w:pStyle w:val="Bibliography"/>
      </w:pPr>
      <w:r>
        <w:t xml:space="preserve">Sayer, C. A., Fernando, E., Jimenez, R. R., Macfarlane, N. B. W., Rapacciuolo, G., Böhm, M., Brooks, T. M., Contreras-MacBeath, T., Cox, N. A., Harrison, I., Hoffmann, M., Jenkins, R., Smith, K. G., Vié, J.-C., Abbott, J. C., Allen, D. J., Allen, G. R., Barrios, V., Boudot, J.-P., … Darwall, W. R. T. (2025). One-quarter of freshwater fauna threatened with extinction.</w:t>
      </w:r>
      <w:r>
        <w:t xml:space="preserve"> </w:t>
      </w:r>
      <w:r>
        <w:rPr>
          <w:i/>
          <w:iCs/>
        </w:rPr>
        <w:t xml:space="preserve">Nature</w:t>
      </w:r>
      <w:r>
        <w:t xml:space="preserve">,</w:t>
      </w:r>
      <w:r>
        <w:t xml:space="preserve"> </w:t>
      </w:r>
      <w:r>
        <w:rPr>
          <w:i/>
          <w:iCs/>
        </w:rPr>
        <w:t xml:space="preserve">638</w:t>
      </w:r>
      <w:r>
        <w:t xml:space="preserve">(8049), 138–145.</w:t>
      </w:r>
      <w:r>
        <w:t xml:space="preserve"> </w:t>
      </w:r>
      <w:hyperlink r:id="rId190">
        <w:r>
          <w:rPr>
            <w:rStyle w:val="Hyperlink"/>
          </w:rPr>
          <w:t xml:space="preserve">https://doi.org/10.1038/s41586-024-08375-z</w:t>
        </w:r>
      </w:hyperlink>
    </w:p>
    <w:bookmarkEnd w:id="191"/>
    <w:bookmarkStart w:id="193" w:name="ref-Selwood2020"/>
    <w:p>
      <w:pPr>
        <w:pStyle w:val="Bibliography"/>
      </w:pPr>
      <w:r>
        <w:t xml:space="preserve">Selwood, K. E., &amp; Zimmer, H. C. (2020). Refuges for biodiversity conservation: A review of the evidence.</w:t>
      </w:r>
      <w:r>
        <w:t xml:space="preserve"> </w:t>
      </w:r>
      <w:r>
        <w:rPr>
          <w:i/>
          <w:iCs/>
        </w:rPr>
        <w:t xml:space="preserve">Biological Conservation</w:t>
      </w:r>
      <w:r>
        <w:t xml:space="preserve">,</w:t>
      </w:r>
      <w:r>
        <w:t xml:space="preserve"> </w:t>
      </w:r>
      <w:r>
        <w:rPr>
          <w:i/>
          <w:iCs/>
        </w:rPr>
        <w:t xml:space="preserve">245</w:t>
      </w:r>
      <w:r>
        <w:t xml:space="preserve">, 108502.</w:t>
      </w:r>
      <w:r>
        <w:t xml:space="preserve"> </w:t>
      </w:r>
      <w:hyperlink r:id="rId192">
        <w:r>
          <w:rPr>
            <w:rStyle w:val="Hyperlink"/>
          </w:rPr>
          <w:t xml:space="preserve">https://doi.org/10.1016/j.biocon.2020.108502</w:t>
        </w:r>
      </w:hyperlink>
    </w:p>
    <w:bookmarkEnd w:id="193"/>
    <w:bookmarkStart w:id="195" w:name="ref-Spears2021"/>
    <w:p>
      <w:pPr>
        <w:pStyle w:val="Bibliography"/>
      </w:pPr>
      <w:r>
        <w:t xml:space="preserve">Spears, B. M., Chapman, D. S., Carvalho, L., Feld, C. K., Gessner, M. O., Piggott, J. J., Banin, L. F., Gutiérrez-Cánovas, C., Solheim, A. L., Richardson, J. A., Schinegger, R., Segurado, P., Thackeray, S. J., &amp; Birk, S. (2021). Making waves. Bridging theory and practice towards multiple stressor management in freshwater ecosystems.</w:t>
      </w:r>
      <w:r>
        <w:t xml:space="preserve"> </w:t>
      </w:r>
      <w:r>
        <w:rPr>
          <w:i/>
          <w:iCs/>
        </w:rPr>
        <w:t xml:space="preserve">Water Research</w:t>
      </w:r>
      <w:r>
        <w:t xml:space="preserve">,</w:t>
      </w:r>
      <w:r>
        <w:t xml:space="preserve"> </w:t>
      </w:r>
      <w:r>
        <w:rPr>
          <w:i/>
          <w:iCs/>
        </w:rPr>
        <w:t xml:space="preserve">196</w:t>
      </w:r>
      <w:r>
        <w:t xml:space="preserve">, 116981.</w:t>
      </w:r>
      <w:r>
        <w:t xml:space="preserve"> </w:t>
      </w:r>
      <w:hyperlink r:id="rId194">
        <w:r>
          <w:rPr>
            <w:rStyle w:val="Hyperlink"/>
          </w:rPr>
          <w:t xml:space="preserve">https://doi.org/10.1016/j.watres.2021.116981</w:t>
        </w:r>
      </w:hyperlink>
    </w:p>
    <w:bookmarkEnd w:id="195"/>
    <w:bookmarkStart w:id="197" w:name="ref-Streissl2002"/>
    <w:p>
      <w:pPr>
        <w:pStyle w:val="Bibliography"/>
      </w:pPr>
      <w:r>
        <w:t xml:space="preserve">Streissl, F., &amp;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w:t>
      </w:r>
      <w:r>
        <w:t xml:space="preserve"> </w:t>
      </w:r>
      <w:r>
        <w:rPr>
          <w:i/>
          <w:iCs/>
        </w:rPr>
        <w:t xml:space="preserve">477</w:t>
      </w:r>
      <w:r>
        <w:t xml:space="preserve">, 195–199.</w:t>
      </w:r>
      <w:r>
        <w:t xml:space="preserve"> </w:t>
      </w:r>
      <w:hyperlink r:id="rId196">
        <w:r>
          <w:rPr>
            <w:rStyle w:val="Hyperlink"/>
          </w:rPr>
          <w:t xml:space="preserve">https://doi.org/10.1023/A:1021094309738</w:t>
        </w:r>
      </w:hyperlink>
    </w:p>
    <w:bookmarkEnd w:id="197"/>
    <w:bookmarkStart w:id="199" w:name="ref-Teem2020"/>
    <w:p>
      <w:pPr>
        <w:pStyle w:val="Bibliography"/>
      </w:pPr>
      <w:r>
        <w:t xml:space="preserve">Teem, J. L., Alphey, L., Descamps, S., Edgington, M. P., Edwards, O., Gemmell, N., Harvey-Samuel, T., Melnick, R. L., Oh, K. P., Piaggio, A. J., Saah, J. R., Schill, D., Thomas, P., Smith, T., &amp; Roberts, A. (2020). Genetic biocontrol for invasive species.</w:t>
      </w:r>
      <w:r>
        <w:t xml:space="preserve"> </w:t>
      </w:r>
      <w:r>
        <w:rPr>
          <w:i/>
          <w:iCs/>
        </w:rPr>
        <w:t xml:space="preserve">Frontiers in Bioengineering and Biotechnology</w:t>
      </w:r>
      <w:r>
        <w:t xml:space="preserve">,</w:t>
      </w:r>
      <w:r>
        <w:t xml:space="preserve"> </w:t>
      </w:r>
      <w:r>
        <w:rPr>
          <w:i/>
          <w:iCs/>
        </w:rPr>
        <w:t xml:space="preserve">8</w:t>
      </w:r>
      <w:r>
        <w:t xml:space="preserve">.</w:t>
      </w:r>
      <w:r>
        <w:t xml:space="preserve"> </w:t>
      </w:r>
      <w:hyperlink r:id="rId198">
        <w:r>
          <w:rPr>
            <w:rStyle w:val="Hyperlink"/>
          </w:rPr>
          <w:t xml:space="preserve">https://doi.org/10.3389/fbioe.2020.00452</w:t>
        </w:r>
      </w:hyperlink>
    </w:p>
    <w:bookmarkEnd w:id="199"/>
    <w:bookmarkStart w:id="201" w:name="ref-Testa2011"/>
    <w:p>
      <w:pPr>
        <w:pStyle w:val="Bibliography"/>
      </w:pPr>
      <w:r>
        <w:t xml:space="preserve">Testa, S., Collier, K. J., &amp; Death, R. G. (2011). Macroinvertebrate response to stream restoration by large wood addition.</w:t>
      </w:r>
      <w:r>
        <w:t xml:space="preserve"> </w:t>
      </w:r>
      <w:r>
        <w:rPr>
          <w:i/>
          <w:iCs/>
        </w:rPr>
        <w:t xml:space="preserve">Ecohydrology</w:t>
      </w:r>
      <w:r>
        <w:t xml:space="preserve">,</w:t>
      </w:r>
      <w:r>
        <w:t xml:space="preserve"> </w:t>
      </w:r>
      <w:r>
        <w:rPr>
          <w:i/>
          <w:iCs/>
        </w:rPr>
        <w:t xml:space="preserve">4</w:t>
      </w:r>
      <w:r>
        <w:t xml:space="preserve">(6), 800–810.</w:t>
      </w:r>
      <w:r>
        <w:t xml:space="preserve"> </w:t>
      </w:r>
      <w:hyperlink r:id="rId200">
        <w:r>
          <w:rPr>
            <w:rStyle w:val="Hyperlink"/>
          </w:rPr>
          <w:t xml:space="preserve">https://doi.org/10.1002/eco.146</w:t>
        </w:r>
      </w:hyperlink>
    </w:p>
    <w:bookmarkEnd w:id="201"/>
    <w:bookmarkStart w:id="203" w:name="ref-Thresher2014"/>
    <w:p>
      <w:pPr>
        <w:pStyle w:val="Bibliography"/>
      </w:pPr>
      <w:r>
        <w:t xml:space="preserve">Thresher, R. E., Hayes, K., Bax, N. J., Teem, J., Benfey, T. J., &amp; Gould, F. (2014). Genetic control of invasive fish: Technological options and its role in integrated pest management.</w:t>
      </w:r>
      <w:r>
        <w:t xml:space="preserve"> </w:t>
      </w:r>
      <w:r>
        <w:rPr>
          <w:i/>
          <w:iCs/>
        </w:rPr>
        <w:t xml:space="preserve">Biological Invasions</w:t>
      </w:r>
      <w:r>
        <w:t xml:space="preserve">,</w:t>
      </w:r>
      <w:r>
        <w:t xml:space="preserve"> </w:t>
      </w:r>
      <w:r>
        <w:rPr>
          <w:i/>
          <w:iCs/>
        </w:rPr>
        <w:t xml:space="preserve">16</w:t>
      </w:r>
      <w:r>
        <w:t xml:space="preserve">(6), 1201–1216.</w:t>
      </w:r>
      <w:r>
        <w:t xml:space="preserve"> </w:t>
      </w:r>
      <w:hyperlink r:id="rId202">
        <w:r>
          <w:rPr>
            <w:rStyle w:val="Hyperlink"/>
          </w:rPr>
          <w:t xml:space="preserve">https://doi.org/10.1007/s10530-013-0477-0</w:t>
        </w:r>
      </w:hyperlink>
    </w:p>
    <w:bookmarkEnd w:id="203"/>
    <w:bookmarkStart w:id="205" w:name="ref-Underwood1994"/>
    <w:p>
      <w:pPr>
        <w:pStyle w:val="Bibliography"/>
      </w:pPr>
      <w:r>
        <w:t xml:space="preserve">Underwood, A. J. (1994). On beyond</w:t>
      </w:r>
      <w:r>
        <w:t xml:space="preserve"> </w:t>
      </w:r>
      <w:r>
        <w:t xml:space="preserve">BACI</w:t>
      </w:r>
      <w:r>
        <w:t xml:space="preserve">: Sampling designs that might reliably detect environmental disturbances.</w:t>
      </w:r>
      <w:r>
        <w:t xml:space="preserve"> </w:t>
      </w:r>
      <w:r>
        <w:rPr>
          <w:i/>
          <w:iCs/>
        </w:rPr>
        <w:t xml:space="preserve">Ecological Applications</w:t>
      </w:r>
      <w:r>
        <w:t xml:space="preserve">,</w:t>
      </w:r>
      <w:r>
        <w:t xml:space="preserve"> </w:t>
      </w:r>
      <w:r>
        <w:rPr>
          <w:i/>
          <w:iCs/>
        </w:rPr>
        <w:t xml:space="preserve">4</w:t>
      </w:r>
      <w:r>
        <w:t xml:space="preserve">(1), 3–15.</w:t>
      </w:r>
      <w:r>
        <w:t xml:space="preserve"> </w:t>
      </w:r>
      <w:hyperlink r:id="rId204">
        <w:r>
          <w:rPr>
            <w:rStyle w:val="Hyperlink"/>
          </w:rPr>
          <w:t xml:space="preserve">https://doi.org/10.2307/1942110</w:t>
        </w:r>
      </w:hyperlink>
    </w:p>
    <w:bookmarkEnd w:id="205"/>
    <w:bookmarkStart w:id="207" w:name="ref-Usio2000"/>
    <w:p>
      <w:pPr>
        <w:pStyle w:val="Bibliography"/>
      </w:pPr>
      <w:r>
        <w:t xml:space="preserve">Usio, N., &amp; Townsend, C. R.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w:t>
      </w:r>
      <w:r>
        <w:t xml:space="preserve"> </w:t>
      </w:r>
      <w:r>
        <w:rPr>
          <w:i/>
          <w:iCs/>
        </w:rPr>
        <w:t xml:space="preserve">New Zealand Journal of Marine and Freshwater Research</w:t>
      </w:r>
      <w:r>
        <w:t xml:space="preserve">,</w:t>
      </w:r>
      <w:r>
        <w:t xml:space="preserve"> </w:t>
      </w:r>
      <w:r>
        <w:rPr>
          <w:i/>
          <w:iCs/>
        </w:rPr>
        <w:t xml:space="preserve">34</w:t>
      </w:r>
      <w:r>
        <w:t xml:space="preserve">(3), 557–567.</w:t>
      </w:r>
      <w:r>
        <w:t xml:space="preserve"> </w:t>
      </w:r>
      <w:hyperlink r:id="rId206">
        <w:r>
          <w:rPr>
            <w:rStyle w:val="Hyperlink"/>
          </w:rPr>
          <w:t xml:space="preserve">https://doi.org/10.1080/00288330.2000.9516957</w:t>
        </w:r>
      </w:hyperlink>
    </w:p>
    <w:bookmarkEnd w:id="207"/>
    <w:bookmarkStart w:id="209" w:name="ref-Vehtari2021"/>
    <w:p>
      <w:pPr>
        <w:pStyle w:val="Bibliography"/>
      </w:pPr>
      <w:r>
        <w:t xml:space="preserve">Vehtari, A., Gelman, A., Simpson, D., Carpenter, B., &amp; Bürkner, P.-C. (2021). Rank-normalization, folding, and localization: An improved Rˆ for assessing convergence of MCMC (with discussion).</w:t>
      </w:r>
      <w:r>
        <w:t xml:space="preserve"> </w:t>
      </w:r>
      <w:r>
        <w:rPr>
          <w:i/>
          <w:iCs/>
        </w:rPr>
        <w:t xml:space="preserve">Bayesian Analysis</w:t>
      </w:r>
      <w:r>
        <w:t xml:space="preserve">,</w:t>
      </w:r>
      <w:r>
        <w:t xml:space="preserve"> </w:t>
      </w:r>
      <w:r>
        <w:rPr>
          <w:i/>
          <w:iCs/>
        </w:rPr>
        <w:t xml:space="preserve">16</w:t>
      </w:r>
      <w:r>
        <w:t xml:space="preserve">(2).</w:t>
      </w:r>
      <w:r>
        <w:t xml:space="preserve"> </w:t>
      </w:r>
      <w:hyperlink r:id="rId208">
        <w:r>
          <w:rPr>
            <w:rStyle w:val="Hyperlink"/>
          </w:rPr>
          <w:t xml:space="preserve">https://doi.org/10.1214/20-ba1221</w:t>
        </w:r>
      </w:hyperlink>
    </w:p>
    <w:bookmarkEnd w:id="209"/>
    <w:bookmarkStart w:id="210" w:name="ref-Verburg2019"/>
    <w:p>
      <w:pPr>
        <w:pStyle w:val="Bibliography"/>
      </w:pPr>
      <w:r>
        <w:t xml:space="preserve">Verburg, P., &amp; Albert, A. (2019).</w:t>
      </w:r>
      <w:r>
        <w:t xml:space="preserve"> </w:t>
      </w:r>
      <w:r>
        <w:rPr>
          <w:i/>
          <w:iCs/>
        </w:rPr>
        <w:t xml:space="preserve">Lake Taupo</w:t>
      </w:r>
      <w:r>
        <w:rPr>
          <w:i/>
          <w:iCs/>
        </w:rPr>
        <w:t xml:space="preserve"> </w:t>
      </w:r>
      <w:r>
        <w:rPr>
          <w:i/>
          <w:iCs/>
        </w:rPr>
        <w:t xml:space="preserve">long-term monitoring programme 2017–2018</w:t>
      </w:r>
      <w:r>
        <w:t xml:space="preserve"> </w:t>
      </w:r>
      <w:r>
        <w:t xml:space="preserve">(Waikato Regional Council Technical Report 2019/18; p. 179). National Institute of Water &amp; Atmospheric Research Ltd.</w:t>
      </w:r>
    </w:p>
    <w:bookmarkEnd w:id="210"/>
    <w:bookmarkStart w:id="212" w:name="ref-Vincent1984"/>
    <w:p>
      <w:pPr>
        <w:pStyle w:val="Bibliography"/>
      </w:pPr>
      <w:r>
        <w:t xml:space="preserve">Vincent, W. F., Gibbs, M. M., &amp; Dryden, S. J.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w:t>
      </w:r>
      <w:r>
        <w:t xml:space="preserve"> </w:t>
      </w:r>
      <w:r>
        <w:rPr>
          <w:i/>
          <w:iCs/>
        </w:rPr>
        <w:t xml:space="preserve">New Zealand Journal of Marine and Freshwater Research</w:t>
      </w:r>
      <w:r>
        <w:t xml:space="preserve">,</w:t>
      </w:r>
      <w:r>
        <w:t xml:space="preserve"> </w:t>
      </w:r>
      <w:r>
        <w:rPr>
          <w:i/>
          <w:iCs/>
        </w:rPr>
        <w:t xml:space="preserve">18</w:t>
      </w:r>
      <w:r>
        <w:t xml:space="preserve">(4), 431–440.</w:t>
      </w:r>
      <w:r>
        <w:t xml:space="preserve"> </w:t>
      </w:r>
      <w:hyperlink r:id="rId211">
        <w:r>
          <w:rPr>
            <w:rStyle w:val="Hyperlink"/>
          </w:rPr>
          <w:t xml:space="preserve">https://doi.org/10.1080/00288330.1984.9516064</w:t>
        </w:r>
      </w:hyperlink>
    </w:p>
    <w:bookmarkEnd w:id="212"/>
    <w:bookmarkStart w:id="214" w:name="ref-Wentworth1922"/>
    <w:p>
      <w:pPr>
        <w:pStyle w:val="Bibliography"/>
      </w:pPr>
      <w:r>
        <w:t xml:space="preserve">Wentworth, C. K. (1922). A scale of grade and class terms for clastic sediments.</w:t>
      </w:r>
      <w:r>
        <w:t xml:space="preserve"> </w:t>
      </w:r>
      <w:r>
        <w:rPr>
          <w:i/>
          <w:iCs/>
        </w:rPr>
        <w:t xml:space="preserve">The Journal of Geology</w:t>
      </w:r>
      <w:r>
        <w:t xml:space="preserve">,</w:t>
      </w:r>
      <w:r>
        <w:t xml:space="preserve"> </w:t>
      </w:r>
      <w:r>
        <w:rPr>
          <w:i/>
          <w:iCs/>
        </w:rPr>
        <w:t xml:space="preserve">30</w:t>
      </w:r>
      <w:r>
        <w:t xml:space="preserve">(5), 377–392.</w:t>
      </w:r>
      <w:r>
        <w:t xml:space="preserve"> </w:t>
      </w:r>
      <w:hyperlink r:id="rId213">
        <w:r>
          <w:rPr>
            <w:rStyle w:val="Hyperlink"/>
          </w:rPr>
          <w:t xml:space="preserve">https://doi.org/10.1086/622910</w:t>
        </w:r>
      </w:hyperlink>
    </w:p>
    <w:bookmarkEnd w:id="214"/>
    <w:bookmarkStart w:id="215" w:name="ref-Wetzel2001"/>
    <w:p>
      <w:pPr>
        <w:pStyle w:val="Bibliography"/>
      </w:pPr>
      <w:r>
        <w:t xml:space="preserve">Wetzel, R. G. (2001).</w:t>
      </w:r>
      <w:r>
        <w:t xml:space="preserve"> </w:t>
      </w:r>
      <w:r>
        <w:rPr>
          <w:i/>
          <w:iCs/>
        </w:rPr>
        <w:t xml:space="preserve">Limnology: Lake and river ecosystems</w:t>
      </w:r>
      <w:r>
        <w:t xml:space="preserve"> </w:t>
      </w:r>
      <w:r>
        <w:t xml:space="preserve">(3rd ed.). Academic Press.</w:t>
      </w:r>
    </w:p>
    <w:bookmarkEnd w:id="215"/>
    <w:bookmarkStart w:id="217" w:name="ref-Woolway2021"/>
    <w:p>
      <w:pPr>
        <w:pStyle w:val="Bibliography"/>
      </w:pPr>
      <w: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w:t>
      </w:r>
      <w:r>
        <w:t xml:space="preserve"> </w:t>
      </w:r>
      <w:r>
        <w:rPr>
          <w:i/>
          <w:iCs/>
        </w:rPr>
        <w:t xml:space="preserve">Nature Communications</w:t>
      </w:r>
      <w:r>
        <w:t xml:space="preserve">,</w:t>
      </w:r>
      <w:r>
        <w:t xml:space="preserve"> </w:t>
      </w:r>
      <w:r>
        <w:rPr>
          <w:i/>
          <w:iCs/>
        </w:rPr>
        <w:t xml:space="preserve">12</w:t>
      </w:r>
      <w:r>
        <w:t xml:space="preserve">(1).</w:t>
      </w:r>
      <w:r>
        <w:t xml:space="preserve"> </w:t>
      </w:r>
      <w:hyperlink r:id="rId216">
        <w:r>
          <w:rPr>
            <w:rStyle w:val="Hyperlink"/>
          </w:rPr>
          <w:t xml:space="preserve">https://doi.org/10.1038/s41467-021-22657-4</w:t>
        </w:r>
      </w:hyperlink>
    </w:p>
    <w:bookmarkEnd w:id="217"/>
    <w:bookmarkStart w:id="219" w:name="ref-Zhao2024"/>
    <w:p>
      <w:pPr>
        <w:pStyle w:val="Bibliography"/>
      </w:pPr>
      <w:r>
        <w:t xml:space="preserve">Zhao, M., Feng, G., Wang, H., Shen, C., Fu, Y., Zhang, Y., Zhang, H., Yao, Y., Chen, J., &amp;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218">
        <w:r>
          <w:rPr>
            <w:rStyle w:val="Hyperlink"/>
          </w:rPr>
          <w:t xml:space="preserve">https://doi.org/10.3390/ani14081147</w:t>
        </w:r>
      </w:hyperlink>
    </w:p>
    <w:bookmarkEnd w:id="219"/>
    <w:bookmarkEnd w:id="22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 Target="media/rId16.jpg" /><Relationship Type="http://schemas.openxmlformats.org/officeDocument/2006/relationships/image" Id="rId83" Target="media/rId83.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hyperlink" Id="rId41" Target="https://OlivierRaven.github.io/Reefs_Rotoiti/index.qmd.html" TargetMode="External" /><Relationship Type="http://schemas.openxmlformats.org/officeDocument/2006/relationships/hyperlink" Id="rId109" Target="https://atlas.boprc.govt.nz/api/v1/edms/document/A3591759/content" TargetMode="External" /><Relationship Type="http://schemas.openxmlformats.org/officeDocument/2006/relationships/hyperlink" Id="rId118" Target="https://atlas.boprc.govt.nz/api/v1/edms/document/A3651696/content" TargetMode="External" /><Relationship Type="http://schemas.openxmlformats.org/officeDocument/2006/relationships/hyperlink" Id="rId175" Target="https://doi.org/10.1002/eap.1672" TargetMode="External" /><Relationship Type="http://schemas.openxmlformats.org/officeDocument/2006/relationships/hyperlink" Id="rId200" Target="https://doi.org/10.1002/eco.146" TargetMode="External" /><Relationship Type="http://schemas.openxmlformats.org/officeDocument/2006/relationships/hyperlink" Id="rId104" Target="https://doi.org/10.1007/978-0-387-22456-5_6" TargetMode="External" /><Relationship Type="http://schemas.openxmlformats.org/officeDocument/2006/relationships/hyperlink" Id="rId107" Target="https://doi.org/10.1007/978-94-017-0771-8_15" TargetMode="External" /><Relationship Type="http://schemas.openxmlformats.org/officeDocument/2006/relationships/hyperlink" Id="rId202" Target="https://doi.org/10.1007/s10530-013-0477-0" TargetMode="External" /><Relationship Type="http://schemas.openxmlformats.org/officeDocument/2006/relationships/hyperlink" Id="rId134" Target="https://doi.org/10.1007/s10530-019-01967-1" TargetMode="External" /><Relationship Type="http://schemas.openxmlformats.org/officeDocument/2006/relationships/hyperlink" Id="rId139" Target="https://doi.org/10.1007/s10530-026-03852-0" TargetMode="External" /><Relationship Type="http://schemas.openxmlformats.org/officeDocument/2006/relationships/hyperlink" Id="rId94" Target="https://doi.org/10.1007/s10530-026-03877-5" TargetMode="External" /><Relationship Type="http://schemas.openxmlformats.org/officeDocument/2006/relationships/hyperlink" Id="rId129" Target="https://doi.org/10.1007/s10750-007-9108-z" TargetMode="External" /><Relationship Type="http://schemas.openxmlformats.org/officeDocument/2006/relationships/hyperlink" Id="rId182" Target="https://doi.org/10.1007/s10750-026-06302-z" TargetMode="External" /><Relationship Type="http://schemas.openxmlformats.org/officeDocument/2006/relationships/hyperlink" Id="rId192" Target="https://doi.org/10.1016/j.biocon.2020.108502" TargetMode="External" /><Relationship Type="http://schemas.openxmlformats.org/officeDocument/2006/relationships/hyperlink" Id="rId177" Target="https://doi.org/10.1016/j.ecoleng.2025.107862" TargetMode="External" /><Relationship Type="http://schemas.openxmlformats.org/officeDocument/2006/relationships/hyperlink" Id="rId141" Target="https://doi.org/10.1016/j.fishres.2015.03.015" TargetMode="External" /><Relationship Type="http://schemas.openxmlformats.org/officeDocument/2006/relationships/hyperlink" Id="rId194" Target="https://doi.org/10.1016/j.watres.2021.116981" TargetMode="External" /><Relationship Type="http://schemas.openxmlformats.org/officeDocument/2006/relationships/hyperlink" Id="rId126" Target="https://doi.org/10.1016/s0165-7836(97)00046-5" TargetMode="External" /><Relationship Type="http://schemas.openxmlformats.org/officeDocument/2006/relationships/hyperlink" Id="rId196" Target="https://doi.org/10.1023/A:1021094309738" TargetMode="External" /><Relationship Type="http://schemas.openxmlformats.org/officeDocument/2006/relationships/hyperlink" Id="rId169" Target="https://doi.org/10.1023/b:hydr.0000043189.91134.94" TargetMode="External" /><Relationship Type="http://schemas.openxmlformats.org/officeDocument/2006/relationships/hyperlink" Id="rId121" Target="https://doi.org/10.1038/23876" TargetMode="External" /><Relationship Type="http://schemas.openxmlformats.org/officeDocument/2006/relationships/hyperlink" Id="rId216" Target="https://doi.org/10.1038/s41467-021-22657-4" TargetMode="External" /><Relationship Type="http://schemas.openxmlformats.org/officeDocument/2006/relationships/hyperlink" Id="rId190" Target="https://doi.org/10.1038/s41586-024-08375-z" TargetMode="External" /><Relationship Type="http://schemas.openxmlformats.org/officeDocument/2006/relationships/hyperlink" Id="rId171" Target="https://doi.org/10.1046/j.1365-2427.2001.00702.x" TargetMode="External" /><Relationship Type="http://schemas.openxmlformats.org/officeDocument/2006/relationships/hyperlink" Id="rId153" Target="https://doi.org/10.1051/kmae/2025022" TargetMode="External" /><Relationship Type="http://schemas.openxmlformats.org/officeDocument/2006/relationships/hyperlink" Id="rId137" Target="https://doi.org/10.1071/mf14148" TargetMode="External" /><Relationship Type="http://schemas.openxmlformats.org/officeDocument/2006/relationships/hyperlink" Id="rId211" Target="https://doi.org/10.1080/00288330.1984.9516064" TargetMode="External" /><Relationship Type="http://schemas.openxmlformats.org/officeDocument/2006/relationships/hyperlink" Id="rId131" Target="https://doi.org/10.1080/00288330.1990.9516399" TargetMode="External" /><Relationship Type="http://schemas.openxmlformats.org/officeDocument/2006/relationships/hyperlink" Id="rId206" Target="https://doi.org/10.1080/00288330.2000.9516957" TargetMode="External" /><Relationship Type="http://schemas.openxmlformats.org/officeDocument/2006/relationships/hyperlink" Id="rId173" Target="https://doi.org/10.1080/00288330909510034" TargetMode="External" /><Relationship Type="http://schemas.openxmlformats.org/officeDocument/2006/relationships/hyperlink" Id="rId143" Target="https://doi.org/10.1080/00288330909510036" TargetMode="External" /><Relationship Type="http://schemas.openxmlformats.org/officeDocument/2006/relationships/hyperlink" Id="rId157" Target="https://doi.org/10.1080/10641269509388566" TargetMode="External" /><Relationship Type="http://schemas.openxmlformats.org/officeDocument/2006/relationships/hyperlink" Id="rId213" Target="https://doi.org/10.1086/622910" TargetMode="External" /><Relationship Type="http://schemas.openxmlformats.org/officeDocument/2006/relationships/hyperlink" Id="rId186" Target="https://doi.org/10.1098/rstb.2014.0060" TargetMode="External" /><Relationship Type="http://schemas.openxmlformats.org/officeDocument/2006/relationships/hyperlink" Id="rId96" Target="https://doi.org/10.1111/brv.12903" TargetMode="External" /><Relationship Type="http://schemas.openxmlformats.org/officeDocument/2006/relationships/hyperlink" Id="rId167" Target="https://doi.org/10.1111/ele.14463" TargetMode="External" /><Relationship Type="http://schemas.openxmlformats.org/officeDocument/2006/relationships/hyperlink" Id="rId165" Target="https://doi.org/10.1111/j.1365-2427.2006.01641.x" TargetMode="External" /><Relationship Type="http://schemas.openxmlformats.org/officeDocument/2006/relationships/hyperlink" Id="rId114" Target="https://doi.org/10.1111/j.1439-0426.2006.00805.x" TargetMode="External" /><Relationship Type="http://schemas.openxmlformats.org/officeDocument/2006/relationships/hyperlink" Id="rId149" Target="https://doi.org/10.1111/rec.14354" TargetMode="External" /><Relationship Type="http://schemas.openxmlformats.org/officeDocument/2006/relationships/hyperlink" Id="rId163" Target="https://doi.org/10.1111/rec.70266" TargetMode="External" /><Relationship Type="http://schemas.openxmlformats.org/officeDocument/2006/relationships/hyperlink" Id="rId155" Target="https://doi.org/10.1139/f95-262" TargetMode="External" /><Relationship Type="http://schemas.openxmlformats.org/officeDocument/2006/relationships/hyperlink" Id="rId208" Target="https://doi.org/10.1214/20-ba1221" TargetMode="External" /><Relationship Type="http://schemas.openxmlformats.org/officeDocument/2006/relationships/hyperlink" Id="rId145" Target="https://doi.org/10.13140/RG.2.2.12471.89761" TargetMode="External" /><Relationship Type="http://schemas.openxmlformats.org/officeDocument/2006/relationships/hyperlink" Id="rId161" Target="https://doi.org/10.1371/journal.pone.0159909" TargetMode="External" /><Relationship Type="http://schemas.openxmlformats.org/officeDocument/2006/relationships/hyperlink" Id="rId88" Target="https://doi.org/10.1674/0003-0031(2007)158[85:daieoc]2.0.co;2" TargetMode="External" /><Relationship Type="http://schemas.openxmlformats.org/officeDocument/2006/relationships/hyperlink" Id="rId92" Target="https://doi.org/10.18637/jss.v067.i01" TargetMode="External" /><Relationship Type="http://schemas.openxmlformats.org/officeDocument/2006/relationships/hyperlink" Id="rId100" Target="https://doi.org/10.18637/jss.v080.i01" TargetMode="External" /><Relationship Type="http://schemas.openxmlformats.org/officeDocument/2006/relationships/hyperlink" Id="rId188" Target="https://doi.org/10.1899/11-018.1" TargetMode="External" /><Relationship Type="http://schemas.openxmlformats.org/officeDocument/2006/relationships/hyperlink" Id="rId184" Target="https://doi.org/10.21203/rs.3.rs-9891519/v1" TargetMode="External" /><Relationship Type="http://schemas.openxmlformats.org/officeDocument/2006/relationships/hyperlink" Id="rId204" Target="https://doi.org/10.2307/1942110" TargetMode="External" /><Relationship Type="http://schemas.openxmlformats.org/officeDocument/2006/relationships/hyperlink" Id="rId123" Target="https://doi.org/10.32614/cran.package.dharma" TargetMode="External" /><Relationship Type="http://schemas.openxmlformats.org/officeDocument/2006/relationships/hyperlink" Id="rId151" Target="https://doi.org/10.32614/cran.package.emmeans" TargetMode="External" /><Relationship Type="http://schemas.openxmlformats.org/officeDocument/2006/relationships/hyperlink" Id="rId98" Target="https://doi.org/10.32614/cran.package.glmmtmb" TargetMode="External" /><Relationship Type="http://schemas.openxmlformats.org/officeDocument/2006/relationships/hyperlink" Id="rId102" Target="https://doi.org/10.32614/rj-2018-017" TargetMode="External" /><Relationship Type="http://schemas.openxmlformats.org/officeDocument/2006/relationships/hyperlink" Id="rId198" Target="https://doi.org/10.3389/fbioe.2020.00452" TargetMode="External" /><Relationship Type="http://schemas.openxmlformats.org/officeDocument/2006/relationships/hyperlink" Id="rId218" Target="https://doi.org/10.3390/ani14081147" TargetMode="External" /><Relationship Type="http://schemas.openxmlformats.org/officeDocument/2006/relationships/hyperlink" Id="rId147" Target="https://doi.org/10.5194/we-25-221-2025" TargetMode="External" /><Relationship Type="http://schemas.openxmlformats.org/officeDocument/2006/relationships/hyperlink" Id="rId159" Target="https://limnotrack.com/aemetools/" TargetMode="External" /><Relationship Type="http://schemas.openxmlformats.org/officeDocument/2006/relationships/hyperlink" Id="rId116" Target="https://mc-stan.org/cmdstanr/" TargetMode="External" /><Relationship Type="http://schemas.openxmlformats.org/officeDocument/2006/relationships/hyperlink" Id="rId112" Target="https://researchcommons.waikato.ac.nz/handle/10289/12746" TargetMode="External" /><Relationship Type="http://schemas.openxmlformats.org/officeDocument/2006/relationships/hyperlink" Id="rId18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1" Target="https://OlivierRaven.github.io/Reefs_Rotoiti/index.qmd.html" TargetMode="External" /><Relationship Type="http://schemas.openxmlformats.org/officeDocument/2006/relationships/hyperlink" Id="rId109" Target="https://atlas.boprc.govt.nz/api/v1/edms/document/A3591759/content" TargetMode="External" /><Relationship Type="http://schemas.openxmlformats.org/officeDocument/2006/relationships/hyperlink" Id="rId118" Target="https://atlas.boprc.govt.nz/api/v1/edms/document/A3651696/content" TargetMode="External" /><Relationship Type="http://schemas.openxmlformats.org/officeDocument/2006/relationships/hyperlink" Id="rId175" Target="https://doi.org/10.1002/eap.1672" TargetMode="External" /><Relationship Type="http://schemas.openxmlformats.org/officeDocument/2006/relationships/hyperlink" Id="rId200" Target="https://doi.org/10.1002/eco.146" TargetMode="External" /><Relationship Type="http://schemas.openxmlformats.org/officeDocument/2006/relationships/hyperlink" Id="rId104" Target="https://doi.org/10.1007/978-0-387-22456-5_6" TargetMode="External" /><Relationship Type="http://schemas.openxmlformats.org/officeDocument/2006/relationships/hyperlink" Id="rId107" Target="https://doi.org/10.1007/978-94-017-0771-8_15" TargetMode="External" /><Relationship Type="http://schemas.openxmlformats.org/officeDocument/2006/relationships/hyperlink" Id="rId202" Target="https://doi.org/10.1007/s10530-013-0477-0" TargetMode="External" /><Relationship Type="http://schemas.openxmlformats.org/officeDocument/2006/relationships/hyperlink" Id="rId134" Target="https://doi.org/10.1007/s10530-019-01967-1" TargetMode="External" /><Relationship Type="http://schemas.openxmlformats.org/officeDocument/2006/relationships/hyperlink" Id="rId139" Target="https://doi.org/10.1007/s10530-026-03852-0" TargetMode="External" /><Relationship Type="http://schemas.openxmlformats.org/officeDocument/2006/relationships/hyperlink" Id="rId94" Target="https://doi.org/10.1007/s10530-026-03877-5" TargetMode="External" /><Relationship Type="http://schemas.openxmlformats.org/officeDocument/2006/relationships/hyperlink" Id="rId129" Target="https://doi.org/10.1007/s10750-007-9108-z" TargetMode="External" /><Relationship Type="http://schemas.openxmlformats.org/officeDocument/2006/relationships/hyperlink" Id="rId182" Target="https://doi.org/10.1007/s10750-026-06302-z" TargetMode="External" /><Relationship Type="http://schemas.openxmlformats.org/officeDocument/2006/relationships/hyperlink" Id="rId192" Target="https://doi.org/10.1016/j.biocon.2020.108502" TargetMode="External" /><Relationship Type="http://schemas.openxmlformats.org/officeDocument/2006/relationships/hyperlink" Id="rId177" Target="https://doi.org/10.1016/j.ecoleng.2025.107862" TargetMode="External" /><Relationship Type="http://schemas.openxmlformats.org/officeDocument/2006/relationships/hyperlink" Id="rId141" Target="https://doi.org/10.1016/j.fishres.2015.03.015" TargetMode="External" /><Relationship Type="http://schemas.openxmlformats.org/officeDocument/2006/relationships/hyperlink" Id="rId194" Target="https://doi.org/10.1016/j.watres.2021.116981" TargetMode="External" /><Relationship Type="http://schemas.openxmlformats.org/officeDocument/2006/relationships/hyperlink" Id="rId126" Target="https://doi.org/10.1016/s0165-7836(97)00046-5" TargetMode="External" /><Relationship Type="http://schemas.openxmlformats.org/officeDocument/2006/relationships/hyperlink" Id="rId196" Target="https://doi.org/10.1023/A:1021094309738" TargetMode="External" /><Relationship Type="http://schemas.openxmlformats.org/officeDocument/2006/relationships/hyperlink" Id="rId169" Target="https://doi.org/10.1023/b:hydr.0000043189.91134.94" TargetMode="External" /><Relationship Type="http://schemas.openxmlformats.org/officeDocument/2006/relationships/hyperlink" Id="rId121" Target="https://doi.org/10.1038/23876" TargetMode="External" /><Relationship Type="http://schemas.openxmlformats.org/officeDocument/2006/relationships/hyperlink" Id="rId216" Target="https://doi.org/10.1038/s41467-021-22657-4" TargetMode="External" /><Relationship Type="http://schemas.openxmlformats.org/officeDocument/2006/relationships/hyperlink" Id="rId190" Target="https://doi.org/10.1038/s41586-024-08375-z" TargetMode="External" /><Relationship Type="http://schemas.openxmlformats.org/officeDocument/2006/relationships/hyperlink" Id="rId171" Target="https://doi.org/10.1046/j.1365-2427.2001.00702.x" TargetMode="External" /><Relationship Type="http://schemas.openxmlformats.org/officeDocument/2006/relationships/hyperlink" Id="rId153" Target="https://doi.org/10.1051/kmae/2025022" TargetMode="External" /><Relationship Type="http://schemas.openxmlformats.org/officeDocument/2006/relationships/hyperlink" Id="rId137" Target="https://doi.org/10.1071/mf14148" TargetMode="External" /><Relationship Type="http://schemas.openxmlformats.org/officeDocument/2006/relationships/hyperlink" Id="rId211" Target="https://doi.org/10.1080/00288330.1984.9516064" TargetMode="External" /><Relationship Type="http://schemas.openxmlformats.org/officeDocument/2006/relationships/hyperlink" Id="rId131" Target="https://doi.org/10.1080/00288330.1990.9516399" TargetMode="External" /><Relationship Type="http://schemas.openxmlformats.org/officeDocument/2006/relationships/hyperlink" Id="rId206" Target="https://doi.org/10.1080/00288330.2000.9516957" TargetMode="External" /><Relationship Type="http://schemas.openxmlformats.org/officeDocument/2006/relationships/hyperlink" Id="rId173" Target="https://doi.org/10.1080/00288330909510034" TargetMode="External" /><Relationship Type="http://schemas.openxmlformats.org/officeDocument/2006/relationships/hyperlink" Id="rId143" Target="https://doi.org/10.1080/00288330909510036" TargetMode="External" /><Relationship Type="http://schemas.openxmlformats.org/officeDocument/2006/relationships/hyperlink" Id="rId157" Target="https://doi.org/10.1080/10641269509388566" TargetMode="External" /><Relationship Type="http://schemas.openxmlformats.org/officeDocument/2006/relationships/hyperlink" Id="rId213" Target="https://doi.org/10.1086/622910" TargetMode="External" /><Relationship Type="http://schemas.openxmlformats.org/officeDocument/2006/relationships/hyperlink" Id="rId186" Target="https://doi.org/10.1098/rstb.2014.0060" TargetMode="External" /><Relationship Type="http://schemas.openxmlformats.org/officeDocument/2006/relationships/hyperlink" Id="rId96" Target="https://doi.org/10.1111/brv.12903" TargetMode="External" /><Relationship Type="http://schemas.openxmlformats.org/officeDocument/2006/relationships/hyperlink" Id="rId167" Target="https://doi.org/10.1111/ele.14463" TargetMode="External" /><Relationship Type="http://schemas.openxmlformats.org/officeDocument/2006/relationships/hyperlink" Id="rId165" Target="https://doi.org/10.1111/j.1365-2427.2006.01641.x" TargetMode="External" /><Relationship Type="http://schemas.openxmlformats.org/officeDocument/2006/relationships/hyperlink" Id="rId114" Target="https://doi.org/10.1111/j.1439-0426.2006.00805.x" TargetMode="External" /><Relationship Type="http://schemas.openxmlformats.org/officeDocument/2006/relationships/hyperlink" Id="rId149" Target="https://doi.org/10.1111/rec.14354" TargetMode="External" /><Relationship Type="http://schemas.openxmlformats.org/officeDocument/2006/relationships/hyperlink" Id="rId163" Target="https://doi.org/10.1111/rec.70266" TargetMode="External" /><Relationship Type="http://schemas.openxmlformats.org/officeDocument/2006/relationships/hyperlink" Id="rId155" Target="https://doi.org/10.1139/f95-262" TargetMode="External" /><Relationship Type="http://schemas.openxmlformats.org/officeDocument/2006/relationships/hyperlink" Id="rId208" Target="https://doi.org/10.1214/20-ba1221" TargetMode="External" /><Relationship Type="http://schemas.openxmlformats.org/officeDocument/2006/relationships/hyperlink" Id="rId145" Target="https://doi.org/10.13140/RG.2.2.12471.89761" TargetMode="External" /><Relationship Type="http://schemas.openxmlformats.org/officeDocument/2006/relationships/hyperlink" Id="rId161" Target="https://doi.org/10.1371/journal.pone.0159909" TargetMode="External" /><Relationship Type="http://schemas.openxmlformats.org/officeDocument/2006/relationships/hyperlink" Id="rId88" Target="https://doi.org/10.1674/0003-0031(2007)158[85:daieoc]2.0.co;2" TargetMode="External" /><Relationship Type="http://schemas.openxmlformats.org/officeDocument/2006/relationships/hyperlink" Id="rId92" Target="https://doi.org/10.18637/jss.v067.i01" TargetMode="External" /><Relationship Type="http://schemas.openxmlformats.org/officeDocument/2006/relationships/hyperlink" Id="rId100" Target="https://doi.org/10.18637/jss.v080.i01" TargetMode="External" /><Relationship Type="http://schemas.openxmlformats.org/officeDocument/2006/relationships/hyperlink" Id="rId188" Target="https://doi.org/10.1899/11-018.1" TargetMode="External" /><Relationship Type="http://schemas.openxmlformats.org/officeDocument/2006/relationships/hyperlink" Id="rId184" Target="https://doi.org/10.21203/rs.3.rs-9891519/v1" TargetMode="External" /><Relationship Type="http://schemas.openxmlformats.org/officeDocument/2006/relationships/hyperlink" Id="rId204" Target="https://doi.org/10.2307/1942110" TargetMode="External" /><Relationship Type="http://schemas.openxmlformats.org/officeDocument/2006/relationships/hyperlink" Id="rId123" Target="https://doi.org/10.32614/cran.package.dharma" TargetMode="External" /><Relationship Type="http://schemas.openxmlformats.org/officeDocument/2006/relationships/hyperlink" Id="rId151" Target="https://doi.org/10.32614/cran.package.emmeans" TargetMode="External" /><Relationship Type="http://schemas.openxmlformats.org/officeDocument/2006/relationships/hyperlink" Id="rId98" Target="https://doi.org/10.32614/cran.package.glmmtmb" TargetMode="External" /><Relationship Type="http://schemas.openxmlformats.org/officeDocument/2006/relationships/hyperlink" Id="rId102" Target="https://doi.org/10.32614/rj-2018-017" TargetMode="External" /><Relationship Type="http://schemas.openxmlformats.org/officeDocument/2006/relationships/hyperlink" Id="rId198" Target="https://doi.org/10.3389/fbioe.2020.00452" TargetMode="External" /><Relationship Type="http://schemas.openxmlformats.org/officeDocument/2006/relationships/hyperlink" Id="rId218" Target="https://doi.org/10.3390/ani14081147" TargetMode="External" /><Relationship Type="http://schemas.openxmlformats.org/officeDocument/2006/relationships/hyperlink" Id="rId147" Target="https://doi.org/10.5194/we-25-221-2025" TargetMode="External" /><Relationship Type="http://schemas.openxmlformats.org/officeDocument/2006/relationships/hyperlink" Id="rId159" Target="https://limnotrack.com/aemetools/" TargetMode="External" /><Relationship Type="http://schemas.openxmlformats.org/officeDocument/2006/relationships/hyperlink" Id="rId116" Target="https://mc-stan.org/cmdstanr/" TargetMode="External" /><Relationship Type="http://schemas.openxmlformats.org/officeDocument/2006/relationships/hyperlink" Id="rId112" Target="https://researchcommons.waikato.ac.nz/handle/10289/12746" TargetMode="External" /><Relationship Type="http://schemas.openxmlformats.org/officeDocument/2006/relationships/hyperlink" Id="rId18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Piles as Kōura Habitat</dc:title>
  <dc:creator/>
  <cp:keywords>Aotearoa New Zealand, Artificial reef, Habitat enhancement, Invasive species, Lake Rotoiti, Rotorua Te Arawa Lakes, Paranephrops planifrons</cp:keywords>
  <dcterms:created xsi:type="dcterms:W3CDTF">2026-09-04T02:47:39Z</dcterms:created>
  <dcterms:modified xsi:type="dcterms:W3CDTF">2026-09-04T02:47:39Z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references/journal-of-applied-ecology.csl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Habitat enhancement for a native freshwater crayfish threatened by an invasive predator: a field trial of stone pile structures in an Aotearoa New Zealand lake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