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Look w:val="04A0" w:firstRow="1" w:lastRow="0" w:firstColumn="1" w:lastColumn="0" w:noHBand="0" w:noVBand="1"/>
      </w:tblPr>
      <w:tblGrid>
        <w:gridCol w:w="9212"/>
      </w:tblGrid>
      <w:tr w:rsidR="00047E1D" w:rsidTr="00047E1D">
        <w:tc>
          <w:tcPr>
            <w:tcW w:w="9212" w:type="dxa"/>
            <w:shd w:val="clear" w:color="auto" w:fill="D9D9D9" w:themeFill="background1" w:themeFillShade="D9"/>
          </w:tcPr>
          <w:p w:rsidR="00047E1D" w:rsidRDefault="00047E1D" w:rsidP="00047E1D">
            <w:pPr>
              <w:spacing w:before="120" w:after="120"/>
              <w:jc w:val="center"/>
              <w:rPr>
                <w:b/>
              </w:rPr>
            </w:pPr>
            <w:r w:rsidRPr="008F69AD">
              <w:rPr>
                <w:b/>
              </w:rPr>
              <w:t>Übung Kaufvertrags- und Finanzierungsarten</w:t>
            </w:r>
          </w:p>
        </w:tc>
      </w:tr>
    </w:tbl>
    <w:p w:rsidR="00047E1D" w:rsidRDefault="00047E1D" w:rsidP="00047E1D">
      <w:pPr>
        <w:jc w:val="center"/>
        <w:rPr>
          <w:b/>
        </w:rPr>
      </w:pPr>
    </w:p>
    <w:p w:rsidR="008F69AD" w:rsidRDefault="008F69AD"/>
    <w:p w:rsidR="008F69AD" w:rsidRDefault="008F69AD">
      <w:r>
        <w:t>Ordnen Sie das richtige Feld zu</w:t>
      </w:r>
      <w:r w:rsidR="00020D18">
        <w:t>.</w:t>
      </w:r>
    </w:p>
    <w:p w:rsidR="008F69AD" w:rsidRDefault="008F69AD"/>
    <w:tbl>
      <w:tblPr>
        <w:tblStyle w:val="Tabellenraster"/>
        <w:tblW w:w="0" w:type="auto"/>
        <w:tblLook w:val="04A0" w:firstRow="1" w:lastRow="0" w:firstColumn="1" w:lastColumn="0" w:noHBand="0" w:noVBand="1"/>
      </w:tblPr>
      <w:tblGrid>
        <w:gridCol w:w="3070"/>
        <w:gridCol w:w="1574"/>
        <w:gridCol w:w="4568"/>
      </w:tblGrid>
      <w:tr w:rsidR="008F69AD" w:rsidRPr="008F69AD" w:rsidTr="008F69AD">
        <w:tc>
          <w:tcPr>
            <w:tcW w:w="3070" w:type="dxa"/>
          </w:tcPr>
          <w:p w:rsidR="008F69AD" w:rsidRPr="008F69AD" w:rsidRDefault="008F69AD">
            <w:pPr>
              <w:rPr>
                <w:rFonts w:cs="Arial"/>
              </w:rPr>
            </w:pPr>
            <w:r w:rsidRPr="008F69AD">
              <w:rPr>
                <w:rFonts w:cs="Arial"/>
              </w:rPr>
              <w:t>Barkauf</w:t>
            </w:r>
          </w:p>
        </w:tc>
        <w:tc>
          <w:tcPr>
            <w:tcW w:w="1574" w:type="dxa"/>
            <w:tcBorders>
              <w:top w:val="nil"/>
              <w:bottom w:val="nil"/>
            </w:tcBorders>
          </w:tcPr>
          <w:p w:rsidR="008F69AD" w:rsidRPr="008F69AD" w:rsidRDefault="008F69AD">
            <w:pPr>
              <w:rPr>
                <w:rFonts w:cs="Arial"/>
              </w:rPr>
            </w:pPr>
          </w:p>
        </w:tc>
        <w:tc>
          <w:tcPr>
            <w:tcW w:w="4568" w:type="dxa"/>
          </w:tcPr>
          <w:p w:rsidR="008F69AD" w:rsidRPr="008F69AD" w:rsidRDefault="008F69AD">
            <w:pPr>
              <w:rPr>
                <w:rFonts w:cs="Arial"/>
              </w:rPr>
            </w:pPr>
            <w:r w:rsidRPr="008F69AD">
              <w:rPr>
                <w:rFonts w:cs="Arial"/>
              </w:rPr>
              <w:t>Der Käufer leistet eine Anzahlung und erhält die Ware sofort. Der Rest der Kaufsumme wird in Raten abbezahlt. Durch den Kauf wird der Käufer Besitzer der Kaufsache, meist aber nicht Eigentümer. Der Verkäufer hat das Recht, einen Eigentumsvorbehalt zu machen.</w:t>
            </w:r>
          </w:p>
        </w:tc>
      </w:tr>
      <w:tr w:rsidR="008F69AD" w:rsidRPr="008F69AD" w:rsidTr="008F69AD">
        <w:tc>
          <w:tcPr>
            <w:tcW w:w="3070" w:type="dxa"/>
          </w:tcPr>
          <w:p w:rsidR="008F69AD" w:rsidRPr="008F69AD" w:rsidRDefault="008F69AD">
            <w:pPr>
              <w:rPr>
                <w:rFonts w:cs="Arial"/>
              </w:rPr>
            </w:pPr>
            <w:r w:rsidRPr="008F69AD">
              <w:rPr>
                <w:rFonts w:cs="Arial"/>
              </w:rPr>
              <w:t>Gewöhnlicher Kreditkauf</w:t>
            </w:r>
          </w:p>
        </w:tc>
        <w:tc>
          <w:tcPr>
            <w:tcW w:w="1574" w:type="dxa"/>
            <w:tcBorders>
              <w:top w:val="nil"/>
              <w:bottom w:val="nil"/>
            </w:tcBorders>
          </w:tcPr>
          <w:p w:rsidR="008F69AD" w:rsidRPr="008F69AD" w:rsidRDefault="008F69AD">
            <w:pPr>
              <w:rPr>
                <w:rFonts w:cs="Arial"/>
              </w:rPr>
            </w:pPr>
          </w:p>
        </w:tc>
        <w:tc>
          <w:tcPr>
            <w:tcW w:w="4568" w:type="dxa"/>
          </w:tcPr>
          <w:p w:rsidR="008F69AD" w:rsidRPr="008F69AD" w:rsidRDefault="008F69AD" w:rsidP="008F69AD">
            <w:pPr>
              <w:autoSpaceDE w:val="0"/>
              <w:autoSpaceDN w:val="0"/>
              <w:adjustRightInd w:val="0"/>
              <w:rPr>
                <w:rFonts w:cs="Arial"/>
              </w:rPr>
            </w:pPr>
            <w:r w:rsidRPr="008F69AD">
              <w:rPr>
                <w:rFonts w:cs="Arial"/>
              </w:rPr>
              <w:t>Der «Käufer» mietet einen Konsumartikel. Beim</w:t>
            </w:r>
            <w:r w:rsidR="00642C17">
              <w:rPr>
                <w:rFonts w:cs="Arial"/>
              </w:rPr>
              <w:t xml:space="preserve"> </w:t>
            </w:r>
            <w:r w:rsidRPr="008F69AD">
              <w:rPr>
                <w:rFonts w:cs="Arial"/>
              </w:rPr>
              <w:t>späteren Kauf dieses Artikels werden die schon bezahlten Mietraten an den Kaufpreis angerechnet.</w:t>
            </w:r>
          </w:p>
        </w:tc>
      </w:tr>
      <w:tr w:rsidR="008F69AD" w:rsidRPr="008F69AD" w:rsidTr="008F69AD">
        <w:tc>
          <w:tcPr>
            <w:tcW w:w="3070" w:type="dxa"/>
          </w:tcPr>
          <w:p w:rsidR="008F69AD" w:rsidRPr="008F69AD" w:rsidRDefault="008F69AD">
            <w:pPr>
              <w:rPr>
                <w:rFonts w:cs="Arial"/>
              </w:rPr>
            </w:pPr>
            <w:r w:rsidRPr="008F69AD">
              <w:rPr>
                <w:rFonts w:cs="Arial"/>
              </w:rPr>
              <w:t>Kauf mit Konsumkreditvertrag</w:t>
            </w:r>
          </w:p>
        </w:tc>
        <w:tc>
          <w:tcPr>
            <w:tcW w:w="1574" w:type="dxa"/>
            <w:tcBorders>
              <w:top w:val="nil"/>
              <w:bottom w:val="nil"/>
            </w:tcBorders>
          </w:tcPr>
          <w:p w:rsidR="008F69AD" w:rsidRPr="008F69AD" w:rsidRDefault="008F69AD">
            <w:pPr>
              <w:rPr>
                <w:rFonts w:cs="Arial"/>
              </w:rPr>
            </w:pPr>
          </w:p>
        </w:tc>
        <w:tc>
          <w:tcPr>
            <w:tcW w:w="4568" w:type="dxa"/>
          </w:tcPr>
          <w:p w:rsidR="008F69AD" w:rsidRPr="008F69AD" w:rsidRDefault="008F69AD" w:rsidP="008F69AD">
            <w:pPr>
              <w:autoSpaceDE w:val="0"/>
              <w:autoSpaceDN w:val="0"/>
              <w:adjustRightInd w:val="0"/>
              <w:rPr>
                <w:rFonts w:cs="Arial"/>
              </w:rPr>
            </w:pPr>
            <w:r w:rsidRPr="008F69AD">
              <w:rPr>
                <w:rFonts w:cs="Arial"/>
              </w:rPr>
              <w:t>Die Verkäuferin  liefert die Ware mit Rechnung.</w:t>
            </w:r>
          </w:p>
          <w:p w:rsidR="008F69AD" w:rsidRPr="008F69AD" w:rsidRDefault="008F69AD" w:rsidP="008F69AD">
            <w:pPr>
              <w:autoSpaceDE w:val="0"/>
              <w:autoSpaceDN w:val="0"/>
              <w:adjustRightInd w:val="0"/>
              <w:rPr>
                <w:rFonts w:cs="Arial"/>
              </w:rPr>
            </w:pPr>
            <w:r w:rsidRPr="008F69AD">
              <w:rPr>
                <w:rFonts w:cs="Arial"/>
              </w:rPr>
              <w:t>Üblicherweise hat der Käufer 30 Tage Zeit, die Rechnung zu begleichen.</w:t>
            </w:r>
          </w:p>
          <w:p w:rsidR="008F69AD" w:rsidRPr="008F69AD" w:rsidRDefault="008F69AD" w:rsidP="008F69AD">
            <w:pPr>
              <w:autoSpaceDE w:val="0"/>
              <w:autoSpaceDN w:val="0"/>
              <w:adjustRightInd w:val="0"/>
              <w:rPr>
                <w:rFonts w:cs="Arial"/>
              </w:rPr>
            </w:pPr>
            <w:r w:rsidRPr="008F69AD">
              <w:rPr>
                <w:rFonts w:cs="Arial"/>
              </w:rPr>
              <w:t>Käufer wird mit der Übergabe der Ware Eigentümer.</w:t>
            </w:r>
          </w:p>
          <w:p w:rsidR="008F69AD" w:rsidRPr="008F69AD" w:rsidRDefault="008F69AD" w:rsidP="00642C17">
            <w:pPr>
              <w:autoSpaceDE w:val="0"/>
              <w:autoSpaceDN w:val="0"/>
              <w:adjustRightInd w:val="0"/>
              <w:rPr>
                <w:rFonts w:cs="Arial"/>
              </w:rPr>
            </w:pPr>
            <w:r w:rsidRPr="008F69AD">
              <w:rPr>
                <w:rFonts w:cs="Arial"/>
              </w:rPr>
              <w:t>Die Verkäuferin vertraut dem Käufer, dass er die Kaufsumme</w:t>
            </w:r>
            <w:r w:rsidR="00642C17">
              <w:rPr>
                <w:rFonts w:cs="Arial"/>
              </w:rPr>
              <w:t xml:space="preserve"> </w:t>
            </w:r>
            <w:r w:rsidRPr="008F69AD">
              <w:rPr>
                <w:rFonts w:cs="Arial"/>
              </w:rPr>
              <w:t>innerhalb der Zahlungsfrist überweisen wird.</w:t>
            </w:r>
          </w:p>
        </w:tc>
      </w:tr>
      <w:tr w:rsidR="008F69AD" w:rsidRPr="008F69AD" w:rsidTr="008F69AD">
        <w:trPr>
          <w:trHeight w:val="517"/>
        </w:trPr>
        <w:tc>
          <w:tcPr>
            <w:tcW w:w="3070" w:type="dxa"/>
          </w:tcPr>
          <w:p w:rsidR="008F69AD" w:rsidRPr="008F69AD" w:rsidRDefault="008F69AD">
            <w:pPr>
              <w:rPr>
                <w:rFonts w:cs="Arial"/>
              </w:rPr>
            </w:pPr>
            <w:r w:rsidRPr="008F69AD">
              <w:rPr>
                <w:rFonts w:cs="Arial"/>
              </w:rPr>
              <w:t>Kauf von Waren mit einem Kleindarlehen</w:t>
            </w:r>
          </w:p>
        </w:tc>
        <w:tc>
          <w:tcPr>
            <w:tcW w:w="1574" w:type="dxa"/>
            <w:tcBorders>
              <w:top w:val="nil"/>
              <w:bottom w:val="nil"/>
            </w:tcBorders>
          </w:tcPr>
          <w:p w:rsidR="008F69AD" w:rsidRPr="008F69AD" w:rsidRDefault="008F69AD">
            <w:pPr>
              <w:rPr>
                <w:rFonts w:cs="Arial"/>
              </w:rPr>
            </w:pPr>
          </w:p>
        </w:tc>
        <w:tc>
          <w:tcPr>
            <w:tcW w:w="4568" w:type="dxa"/>
          </w:tcPr>
          <w:p w:rsidR="008F69AD" w:rsidRPr="008F69AD" w:rsidRDefault="008F69AD" w:rsidP="008F69AD">
            <w:pPr>
              <w:rPr>
                <w:rFonts w:cs="Arial"/>
              </w:rPr>
            </w:pPr>
            <w:r w:rsidRPr="008F69AD">
              <w:rPr>
                <w:rFonts w:cs="Arial"/>
              </w:rPr>
              <w:t>Der Kunde erhält einen Konsumartikel zum Gebrauch und Nutzung und bezahlt dafür eine Gebühr. Der Konsumartikel ist nie Eigentum des Kunden.</w:t>
            </w:r>
          </w:p>
        </w:tc>
      </w:tr>
      <w:tr w:rsidR="008F69AD" w:rsidRPr="008F69AD" w:rsidTr="008F69AD">
        <w:tc>
          <w:tcPr>
            <w:tcW w:w="3070" w:type="dxa"/>
          </w:tcPr>
          <w:p w:rsidR="008F69AD" w:rsidRPr="008F69AD" w:rsidRDefault="008F69AD">
            <w:pPr>
              <w:rPr>
                <w:rFonts w:cs="Arial"/>
              </w:rPr>
            </w:pPr>
            <w:r w:rsidRPr="008F69AD">
              <w:rPr>
                <w:rFonts w:cs="Arial"/>
              </w:rPr>
              <w:t>Leasing</w:t>
            </w:r>
          </w:p>
        </w:tc>
        <w:tc>
          <w:tcPr>
            <w:tcW w:w="1574" w:type="dxa"/>
            <w:tcBorders>
              <w:top w:val="nil"/>
              <w:bottom w:val="nil"/>
            </w:tcBorders>
          </w:tcPr>
          <w:p w:rsidR="008F69AD" w:rsidRPr="008F69AD" w:rsidRDefault="008F69AD">
            <w:pPr>
              <w:rPr>
                <w:rFonts w:cs="Arial"/>
              </w:rPr>
            </w:pPr>
          </w:p>
        </w:tc>
        <w:tc>
          <w:tcPr>
            <w:tcW w:w="4568" w:type="dxa"/>
          </w:tcPr>
          <w:p w:rsidR="008F69AD" w:rsidRPr="008F69AD" w:rsidRDefault="008F69AD">
            <w:pPr>
              <w:rPr>
                <w:rFonts w:cs="Arial"/>
              </w:rPr>
            </w:pPr>
            <w:r w:rsidRPr="008F69AD">
              <w:rPr>
                <w:rFonts w:cs="Arial"/>
              </w:rPr>
              <w:t>Übergabe von Ware und Geld erfolgt gleichzeitig. Der Käufer wird sofort Eigentümer.</w:t>
            </w:r>
          </w:p>
        </w:tc>
      </w:tr>
      <w:tr w:rsidR="008F69AD" w:rsidRPr="008F69AD" w:rsidTr="008F69AD">
        <w:tc>
          <w:tcPr>
            <w:tcW w:w="3070" w:type="dxa"/>
          </w:tcPr>
          <w:p w:rsidR="008F69AD" w:rsidRPr="008F69AD" w:rsidRDefault="008F69AD">
            <w:pPr>
              <w:rPr>
                <w:rFonts w:cs="Arial"/>
              </w:rPr>
            </w:pPr>
            <w:r w:rsidRPr="008F69AD">
              <w:rPr>
                <w:rFonts w:cs="Arial"/>
              </w:rPr>
              <w:t>Miet-Kauf-Vertrag</w:t>
            </w:r>
          </w:p>
        </w:tc>
        <w:tc>
          <w:tcPr>
            <w:tcW w:w="1574" w:type="dxa"/>
            <w:tcBorders>
              <w:top w:val="nil"/>
              <w:bottom w:val="nil"/>
            </w:tcBorders>
          </w:tcPr>
          <w:p w:rsidR="008F69AD" w:rsidRPr="008F69AD" w:rsidRDefault="008F69AD">
            <w:pPr>
              <w:rPr>
                <w:rFonts w:cs="Arial"/>
              </w:rPr>
            </w:pPr>
          </w:p>
        </w:tc>
        <w:tc>
          <w:tcPr>
            <w:tcW w:w="4568" w:type="dxa"/>
          </w:tcPr>
          <w:p w:rsidR="008F69AD" w:rsidRPr="008F69AD" w:rsidRDefault="008F69AD" w:rsidP="008F69AD">
            <w:pPr>
              <w:autoSpaceDE w:val="0"/>
              <w:autoSpaceDN w:val="0"/>
              <w:adjustRightInd w:val="0"/>
              <w:rPr>
                <w:rFonts w:cs="Arial"/>
              </w:rPr>
            </w:pPr>
            <w:r w:rsidRPr="008F69AD">
              <w:rPr>
                <w:rFonts w:cs="Arial"/>
              </w:rPr>
              <w:t>Kleinkreditbanken (Tochtergesellschaften der Grossbanken) vergeben Darlehen</w:t>
            </w:r>
          </w:p>
          <w:p w:rsidR="008F69AD" w:rsidRPr="008F69AD" w:rsidRDefault="008F69AD" w:rsidP="00642C17">
            <w:pPr>
              <w:autoSpaceDE w:val="0"/>
              <w:autoSpaceDN w:val="0"/>
              <w:adjustRightInd w:val="0"/>
              <w:rPr>
                <w:rFonts w:cs="Arial"/>
              </w:rPr>
            </w:pPr>
            <w:r w:rsidRPr="008F69AD">
              <w:rPr>
                <w:rFonts w:cs="Arial"/>
              </w:rPr>
              <w:t>an Privatpersonen. Diese Kleindarlehen werden</w:t>
            </w:r>
            <w:r w:rsidR="00642C17">
              <w:rPr>
                <w:rFonts w:cs="Arial"/>
              </w:rPr>
              <w:t xml:space="preserve"> </w:t>
            </w:r>
            <w:r w:rsidRPr="008F69AD">
              <w:rPr>
                <w:rFonts w:cs="Arial"/>
              </w:rPr>
              <w:t>dann zum Kauf von Waren eingesetzt.</w:t>
            </w:r>
          </w:p>
          <w:p w:rsidR="008F69AD" w:rsidRPr="008F69AD" w:rsidRDefault="008F69AD" w:rsidP="008F69AD">
            <w:pPr>
              <w:autoSpaceDE w:val="0"/>
              <w:autoSpaceDN w:val="0"/>
              <w:adjustRightInd w:val="0"/>
              <w:rPr>
                <w:rFonts w:cs="Arial"/>
              </w:rPr>
            </w:pPr>
            <w:r w:rsidRPr="008F69AD">
              <w:rPr>
                <w:rFonts w:cs="Arial"/>
              </w:rPr>
              <w:t>Käufer zahlt bar und wird daher sofort Eigentümer. Allerdings müssen die Schulden bei der Kleinkreditbank</w:t>
            </w:r>
          </w:p>
          <w:p w:rsidR="008F69AD" w:rsidRPr="008F69AD" w:rsidRDefault="00642C17" w:rsidP="00642C17">
            <w:pPr>
              <w:autoSpaceDE w:val="0"/>
              <w:autoSpaceDN w:val="0"/>
              <w:adjustRightInd w:val="0"/>
              <w:rPr>
                <w:rFonts w:cs="Arial"/>
              </w:rPr>
            </w:pPr>
            <w:r w:rsidRPr="008F69AD">
              <w:rPr>
                <w:rFonts w:cs="Arial"/>
              </w:rPr>
              <w:t>R</w:t>
            </w:r>
            <w:r w:rsidR="008F69AD" w:rsidRPr="008F69AD">
              <w:rPr>
                <w:rFonts w:cs="Arial"/>
              </w:rPr>
              <w:t>atenweise</w:t>
            </w:r>
            <w:r>
              <w:rPr>
                <w:rFonts w:cs="Arial"/>
              </w:rPr>
              <w:t xml:space="preserve"> </w:t>
            </w:r>
            <w:r w:rsidR="008F69AD" w:rsidRPr="008F69AD">
              <w:rPr>
                <w:rFonts w:cs="Arial"/>
              </w:rPr>
              <w:t>abbezahlt</w:t>
            </w:r>
            <w:r>
              <w:rPr>
                <w:rFonts w:cs="Arial"/>
              </w:rPr>
              <w:t xml:space="preserve"> </w:t>
            </w:r>
            <w:r w:rsidR="008F69AD" w:rsidRPr="008F69AD">
              <w:rPr>
                <w:rFonts w:cs="Arial"/>
              </w:rPr>
              <w:t>werden.</w:t>
            </w:r>
          </w:p>
        </w:tc>
      </w:tr>
    </w:tbl>
    <w:p w:rsidR="008F69AD" w:rsidRDefault="008F69AD"/>
    <w:sectPr w:rsidR="008F69AD">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5E0" w:rsidRDefault="009855E0" w:rsidP="00395577">
      <w:r>
        <w:separator/>
      </w:r>
    </w:p>
  </w:endnote>
  <w:endnote w:type="continuationSeparator" w:id="0">
    <w:p w:rsidR="009855E0" w:rsidRDefault="009855E0" w:rsidP="00395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E1D" w:rsidRDefault="00047E1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E1D" w:rsidRDefault="00047E1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E1D" w:rsidRDefault="00047E1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5E0" w:rsidRDefault="009855E0" w:rsidP="00395577">
      <w:r>
        <w:separator/>
      </w:r>
    </w:p>
  </w:footnote>
  <w:footnote w:type="continuationSeparator" w:id="0">
    <w:p w:rsidR="009855E0" w:rsidRDefault="009855E0" w:rsidP="003955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E1D" w:rsidRDefault="00047E1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E1D" w:rsidRDefault="00047E1D">
    <w:pPr>
      <w:pStyle w:val="Kopfzeile"/>
    </w:pPr>
    <w:r>
      <w:t>2. Geld und Kauf</w:t>
    </w:r>
    <w:r>
      <w:tab/>
      <w:t>ABU</w:t>
    </w:r>
    <w:r>
      <w:tab/>
      <w:t>1. LJ.</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E1D" w:rsidRDefault="00047E1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9AD"/>
    <w:rsid w:val="00020D18"/>
    <w:rsid w:val="00047E1D"/>
    <w:rsid w:val="00395577"/>
    <w:rsid w:val="00642C17"/>
    <w:rsid w:val="007844C5"/>
    <w:rsid w:val="008B1FB2"/>
    <w:rsid w:val="008F69AD"/>
    <w:rsid w:val="009855E0"/>
    <w:rsid w:val="0099358F"/>
    <w:rsid w:val="00C04EB2"/>
    <w:rsid w:val="00C517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88B8"/>
  <w15:docId w15:val="{FDB4D2DF-6791-46FA-B8BA-69A95E8A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8F69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nhideWhenUsed/>
    <w:rsid w:val="00395577"/>
    <w:pPr>
      <w:tabs>
        <w:tab w:val="center" w:pos="4536"/>
        <w:tab w:val="right" w:pos="9072"/>
      </w:tabs>
    </w:pPr>
  </w:style>
  <w:style w:type="character" w:customStyle="1" w:styleId="KopfzeileZchn">
    <w:name w:val="Kopfzeile Zchn"/>
    <w:basedOn w:val="Absatz-Standardschriftart"/>
    <w:link w:val="Kopfzeile"/>
    <w:rsid w:val="00395577"/>
  </w:style>
  <w:style w:type="paragraph" w:styleId="Fuzeile">
    <w:name w:val="footer"/>
    <w:basedOn w:val="Standard"/>
    <w:link w:val="FuzeileZchn"/>
    <w:uiPriority w:val="99"/>
    <w:unhideWhenUsed/>
    <w:rsid w:val="00395577"/>
    <w:pPr>
      <w:tabs>
        <w:tab w:val="center" w:pos="4536"/>
        <w:tab w:val="right" w:pos="9072"/>
      </w:tabs>
    </w:pPr>
  </w:style>
  <w:style w:type="character" w:customStyle="1" w:styleId="FuzeileZchn">
    <w:name w:val="Fußzeile Zchn"/>
    <w:basedOn w:val="Absatz-Standardschriftart"/>
    <w:link w:val="Fuzeile"/>
    <w:uiPriority w:val="99"/>
    <w:rsid w:val="00395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41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1218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Gerber</dc:creator>
  <cp:keywords/>
  <dc:description/>
  <cp:lastModifiedBy>Aline Kellenberger</cp:lastModifiedBy>
  <cp:revision>8</cp:revision>
  <dcterms:created xsi:type="dcterms:W3CDTF">2013-03-12T10:16:00Z</dcterms:created>
  <dcterms:modified xsi:type="dcterms:W3CDTF">2018-01-08T13:34:00Z</dcterms:modified>
</cp:coreProperties>
</file>