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AE" w:rsidRDefault="00CE1FAE" w:rsidP="00FF26A1">
      <w:pPr>
        <w:pStyle w:val="berschrift1"/>
      </w:pPr>
      <w:r>
        <w:t>Raketentest von China</w:t>
      </w:r>
    </w:p>
    <w:p w:rsidR="005741F9" w:rsidRPr="005741F9" w:rsidRDefault="005741F9" w:rsidP="005741F9"/>
    <w:p w:rsidR="00026985" w:rsidRDefault="002B0E61" w:rsidP="008D356B">
      <w:r>
        <w:t xml:space="preserve">Von dem US-Verteidigungministerium wurde eine erhöhte Aktivität von Chinas Luftwaffe </w:t>
      </w:r>
      <w:r w:rsidR="00A91DDF">
        <w:t>festgestellt. Es wird vermutet, dass die Luftwaffe für Angriffe in den USA probt.</w:t>
      </w:r>
      <w:r w:rsidR="00E61BFD">
        <w:t xml:space="preserve"> Dies kann eine Folge des Handelsstreit der USA und China sein.</w:t>
      </w:r>
      <w:r w:rsidR="00037CB6">
        <w:t xml:space="preserve"> China hat einerseits auch in den letzten Jahren vielmehr in ihr Militär investiert als andere Jahre.</w:t>
      </w:r>
      <w:r w:rsidR="000661C3">
        <w:t xml:space="preserve"> </w:t>
      </w:r>
    </w:p>
    <w:p w:rsidR="00CE1FAE" w:rsidRDefault="005741F9" w:rsidP="008D356B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1929765</wp:posOffset>
            </wp:positionV>
            <wp:extent cx="4359910" cy="1952625"/>
            <wp:effectExtent l="0" t="0" r="2540" b="9525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1" name="Grafik 1" descr="C:\Users\owi104556\AppData\Local\Microsoft\Windows\INetCache\Content.Word\china-will-trotz-raketentest-weiter-oel-nach-nordkorea-lief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china-will-trotz-raketentest-weiter-oel-nach-nordkorea-liefer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1C3">
        <w:t>Auch die Marine von der Volksrepublik China hat im südchinesischem Meer Raketenabwehrübungen und Raketentest vollbracht.</w:t>
      </w:r>
      <w:r w:rsidR="005C03AD">
        <w:t xml:space="preserve"> All diese Aktivitäten sind wegen der potenziellen Gefahr von den USA, Japan und anderen Staaten.</w:t>
      </w:r>
      <w:r w:rsidR="001D662B">
        <w:t xml:space="preserve"> Diese Aktivitäten von dem Militär dienen als Übungen uns sollen sicherstellen, dass die Armee kriegsbereit ist.</w:t>
      </w:r>
      <w:r w:rsidR="00615B6F">
        <w:t xml:space="preserve"> Auch soll die tödliche Gefahr von d</w:t>
      </w:r>
      <w:r w:rsidR="005E4565">
        <w:t>en chinesischen Streitkräften</w:t>
      </w:r>
      <w:r w:rsidR="00615B6F">
        <w:t xml:space="preserve"> erhöht werden.</w:t>
      </w:r>
      <w:r w:rsidR="00026985">
        <w:t xml:space="preserve"> In Zukunft wird China warscheinlich weiterhin solche Militäraktionen durchführen und keine Güter von den USA annehmen.</w:t>
      </w:r>
      <w:r w:rsidR="00DC0772">
        <w:t xml:space="preserve"> Experten vermuten, dass sich die Aktivität verkleinert wird, wenn der Handelsstreit zwischen der USA und China</w:t>
      </w:r>
      <w:r w:rsidR="00DC4F3A">
        <w:t xml:space="preserve"> endlich vorbei ist.</w:t>
      </w:r>
    </w:p>
    <w:p w:rsidR="000A5A63" w:rsidRDefault="000A5A63" w:rsidP="008D356B"/>
    <w:p w:rsidR="000A5A63" w:rsidRDefault="000A5A63" w:rsidP="008D356B"/>
    <w:p w:rsidR="000A5A63" w:rsidRDefault="000A5A63" w:rsidP="008D356B"/>
    <w:p w:rsidR="000A5A63" w:rsidRDefault="000A5A63" w:rsidP="008D356B"/>
    <w:p w:rsidR="000A5A63" w:rsidRDefault="000A5A63" w:rsidP="008D356B"/>
    <w:p w:rsidR="000A5A63" w:rsidRDefault="000A5A63" w:rsidP="008D356B"/>
    <w:p w:rsidR="000A5A63" w:rsidRDefault="000A5A63" w:rsidP="008D356B"/>
    <w:p w:rsidR="000A5A63" w:rsidRDefault="000A5A63" w:rsidP="008D356B"/>
    <w:p w:rsidR="000A5A63" w:rsidRDefault="000A5A63" w:rsidP="008D356B"/>
    <w:p w:rsidR="000A5A63" w:rsidRDefault="001C6AB3" w:rsidP="008D356B">
      <w:r w:rsidRPr="001C6AB3">
        <w:t>G</w:t>
      </w:r>
      <w:r>
        <w:t>lossar</w:t>
      </w:r>
      <w:r w:rsidR="00D36B64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A63" w:rsidTr="000A5A63">
        <w:tc>
          <w:tcPr>
            <w:tcW w:w="4531" w:type="dxa"/>
          </w:tcPr>
          <w:p w:rsidR="000A5A63" w:rsidRDefault="005222C1" w:rsidP="008D356B">
            <w:r>
              <w:t>Verteidigungministerium</w:t>
            </w:r>
          </w:p>
        </w:tc>
        <w:tc>
          <w:tcPr>
            <w:tcW w:w="4531" w:type="dxa"/>
          </w:tcPr>
          <w:p w:rsidR="000A5A63" w:rsidRDefault="003A0E6A" w:rsidP="008D356B">
            <w:r>
              <w:t>Abteilung von Regierung für Streitkräfte</w:t>
            </w:r>
          </w:p>
        </w:tc>
      </w:tr>
      <w:tr w:rsidR="000A5A63" w:rsidTr="000A5A63">
        <w:tc>
          <w:tcPr>
            <w:tcW w:w="4531" w:type="dxa"/>
          </w:tcPr>
          <w:p w:rsidR="000A5A63" w:rsidRDefault="000A5A63" w:rsidP="008D356B">
            <w:r>
              <w:t>investiert</w:t>
            </w:r>
          </w:p>
        </w:tc>
        <w:tc>
          <w:tcPr>
            <w:tcW w:w="4531" w:type="dxa"/>
          </w:tcPr>
          <w:p w:rsidR="000A5A63" w:rsidRDefault="00235930" w:rsidP="008D356B">
            <w:r>
              <w:t>Geld dafür ausgeben</w:t>
            </w:r>
          </w:p>
        </w:tc>
      </w:tr>
      <w:tr w:rsidR="000A5A63" w:rsidTr="000A5A63">
        <w:tc>
          <w:tcPr>
            <w:tcW w:w="4531" w:type="dxa"/>
          </w:tcPr>
          <w:p w:rsidR="000A5A63" w:rsidRDefault="00235930" w:rsidP="008D356B">
            <w:r>
              <w:t>Marine</w:t>
            </w:r>
          </w:p>
        </w:tc>
        <w:tc>
          <w:tcPr>
            <w:tcW w:w="4531" w:type="dxa"/>
          </w:tcPr>
          <w:p w:rsidR="000A5A63" w:rsidRPr="00EB682D" w:rsidRDefault="00EB682D" w:rsidP="008D356B">
            <w:pPr>
              <w:rPr>
                <w:szCs w:val="24"/>
              </w:rPr>
            </w:pPr>
            <w:r w:rsidRPr="00EB682D">
              <w:rPr>
                <w:rFonts w:cs="Arial"/>
                <w:color w:val="222222"/>
                <w:szCs w:val="24"/>
                <w:shd w:val="clear" w:color="auto" w:fill="FFFFFF"/>
              </w:rPr>
              <w:t>Gesamtheit der zur </w:t>
            </w:r>
            <w:r w:rsidRPr="00EB682D">
              <w:rPr>
                <w:rFonts w:cs="Arial"/>
                <w:szCs w:val="24"/>
                <w:shd w:val="clear" w:color="auto" w:fill="FFFFFF"/>
              </w:rPr>
              <w:t>S</w:t>
            </w:r>
            <w:r w:rsidRPr="00EB682D">
              <w:rPr>
                <w:rFonts w:cs="Arial"/>
                <w:szCs w:val="24"/>
                <w:shd w:val="clear" w:color="auto" w:fill="FFFFFF"/>
              </w:rPr>
              <w:t>e</w:t>
            </w:r>
            <w:r w:rsidRPr="00EB682D">
              <w:rPr>
                <w:rFonts w:cs="Arial"/>
                <w:szCs w:val="24"/>
                <w:shd w:val="clear" w:color="auto" w:fill="FFFFFF"/>
              </w:rPr>
              <w:t>e</w:t>
            </w:r>
            <w:r w:rsidRPr="00EB682D">
              <w:rPr>
                <w:rFonts w:cs="Arial"/>
                <w:color w:val="222222"/>
                <w:szCs w:val="24"/>
                <w:shd w:val="clear" w:color="auto" w:fill="FFFFFF"/>
              </w:rPr>
              <w:t> fahrenden </w:t>
            </w:r>
            <w:r w:rsidRPr="00EB682D">
              <w:rPr>
                <w:rFonts w:cs="Arial"/>
                <w:szCs w:val="24"/>
                <w:shd w:val="clear" w:color="auto" w:fill="FFFFFF"/>
              </w:rPr>
              <w:t>Flotte</w:t>
            </w:r>
            <w:r w:rsidRPr="00EB682D">
              <w:rPr>
                <w:rFonts w:cs="Arial"/>
                <w:color w:val="222222"/>
                <w:szCs w:val="24"/>
                <w:shd w:val="clear" w:color="auto" w:fill="FFFFFF"/>
              </w:rPr>
              <w:t> eines </w:t>
            </w:r>
            <w:r w:rsidRPr="00EB682D">
              <w:rPr>
                <w:rFonts w:cs="Arial"/>
                <w:szCs w:val="24"/>
                <w:shd w:val="clear" w:color="auto" w:fill="FFFFFF"/>
              </w:rPr>
              <w:t>Staates</w:t>
            </w:r>
          </w:p>
        </w:tc>
      </w:tr>
      <w:tr w:rsidR="000A5A63" w:rsidTr="000A5A63">
        <w:tc>
          <w:tcPr>
            <w:tcW w:w="4531" w:type="dxa"/>
          </w:tcPr>
          <w:p w:rsidR="000A5A63" w:rsidRDefault="00633EA2" w:rsidP="008D356B">
            <w:r>
              <w:t>Volksrepublik</w:t>
            </w:r>
          </w:p>
        </w:tc>
        <w:tc>
          <w:tcPr>
            <w:tcW w:w="4531" w:type="dxa"/>
          </w:tcPr>
          <w:p w:rsidR="000A5A63" w:rsidRDefault="009B6110" w:rsidP="008D356B">
            <w:r>
              <w:rPr>
                <w:rFonts w:cs="Arial"/>
                <w:color w:val="222222"/>
                <w:shd w:val="clear" w:color="auto" w:fill="FFFFFF"/>
              </w:rPr>
              <w:t>v</w:t>
            </w:r>
            <w:r w:rsidR="00E061B3">
              <w:rPr>
                <w:rFonts w:cs="Arial"/>
                <w:color w:val="222222"/>
                <w:shd w:val="clear" w:color="auto" w:fill="FFFFFF"/>
              </w:rPr>
              <w:t>olksdemokratisch gesteuerte Republik </w:t>
            </w:r>
          </w:p>
        </w:tc>
      </w:tr>
      <w:tr w:rsidR="000A5A63" w:rsidTr="000A5A63">
        <w:tc>
          <w:tcPr>
            <w:tcW w:w="4531" w:type="dxa"/>
          </w:tcPr>
          <w:p w:rsidR="000A5A63" w:rsidRDefault="008F0DC1" w:rsidP="008D356B">
            <w:r>
              <w:t>potenziellen</w:t>
            </w:r>
          </w:p>
        </w:tc>
        <w:tc>
          <w:tcPr>
            <w:tcW w:w="4531" w:type="dxa"/>
          </w:tcPr>
          <w:p w:rsidR="000A5A63" w:rsidRDefault="00224CBC" w:rsidP="008D356B">
            <w:r>
              <w:t>möglich</w:t>
            </w:r>
          </w:p>
        </w:tc>
      </w:tr>
      <w:tr w:rsidR="000A5A63" w:rsidTr="000A5A63">
        <w:tc>
          <w:tcPr>
            <w:tcW w:w="4531" w:type="dxa"/>
          </w:tcPr>
          <w:p w:rsidR="000A5A63" w:rsidRDefault="0091177F" w:rsidP="008D356B">
            <w:r>
              <w:t>Handelsstreit</w:t>
            </w:r>
          </w:p>
        </w:tc>
        <w:tc>
          <w:tcPr>
            <w:tcW w:w="4531" w:type="dxa"/>
          </w:tcPr>
          <w:p w:rsidR="000A5A63" w:rsidRDefault="008046C7" w:rsidP="008D356B">
            <w:r>
              <w:t>Güter von anderem Land nicht annehmen.</w:t>
            </w:r>
          </w:p>
        </w:tc>
      </w:tr>
      <w:tr w:rsidR="000A5A63" w:rsidTr="000A5A63">
        <w:tc>
          <w:tcPr>
            <w:tcW w:w="4531" w:type="dxa"/>
          </w:tcPr>
          <w:p w:rsidR="000A5A63" w:rsidRDefault="0039488A" w:rsidP="008D356B">
            <w:r>
              <w:t>Raketenabwehrübungen</w:t>
            </w:r>
          </w:p>
        </w:tc>
        <w:tc>
          <w:tcPr>
            <w:tcW w:w="4531" w:type="dxa"/>
          </w:tcPr>
          <w:p w:rsidR="000A5A63" w:rsidRDefault="006B57C9" w:rsidP="008D356B">
            <w:r>
              <w:t>Übung um Raketen abwehren zu können.</w:t>
            </w:r>
          </w:p>
        </w:tc>
      </w:tr>
      <w:tr w:rsidR="000A5A63" w:rsidTr="000A5A63">
        <w:tc>
          <w:tcPr>
            <w:tcW w:w="4531" w:type="dxa"/>
          </w:tcPr>
          <w:p w:rsidR="000A5A63" w:rsidRDefault="00DD1F07" w:rsidP="008D356B">
            <w:r>
              <w:t>Experten</w:t>
            </w:r>
          </w:p>
        </w:tc>
        <w:tc>
          <w:tcPr>
            <w:tcW w:w="4531" w:type="dxa"/>
          </w:tcPr>
          <w:p w:rsidR="000A5A63" w:rsidRDefault="008C6187" w:rsidP="008D356B">
            <w:r>
              <w:t>Menschen, die auf einem Gebiet sehr viel wissen.</w:t>
            </w:r>
            <w:bookmarkStart w:id="0" w:name="_GoBack"/>
            <w:bookmarkEnd w:id="0"/>
          </w:p>
        </w:tc>
      </w:tr>
    </w:tbl>
    <w:p w:rsidR="000A5A63" w:rsidRDefault="000A5A63" w:rsidP="008D356B"/>
    <w:sectPr w:rsidR="000A5A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AE"/>
    <w:rsid w:val="00026985"/>
    <w:rsid w:val="00037CB6"/>
    <w:rsid w:val="000661C3"/>
    <w:rsid w:val="000A5A63"/>
    <w:rsid w:val="00171EF8"/>
    <w:rsid w:val="001C6AB3"/>
    <w:rsid w:val="001D662B"/>
    <w:rsid w:val="00224CBC"/>
    <w:rsid w:val="00235930"/>
    <w:rsid w:val="002B0E61"/>
    <w:rsid w:val="00322A43"/>
    <w:rsid w:val="0037600D"/>
    <w:rsid w:val="0039488A"/>
    <w:rsid w:val="003A0E6A"/>
    <w:rsid w:val="005222C1"/>
    <w:rsid w:val="00544B48"/>
    <w:rsid w:val="005741F9"/>
    <w:rsid w:val="005C03AD"/>
    <w:rsid w:val="005E4565"/>
    <w:rsid w:val="00611150"/>
    <w:rsid w:val="00615B6F"/>
    <w:rsid w:val="00633EA2"/>
    <w:rsid w:val="006B57C9"/>
    <w:rsid w:val="007A24FD"/>
    <w:rsid w:val="008046C7"/>
    <w:rsid w:val="008C6187"/>
    <w:rsid w:val="008D356B"/>
    <w:rsid w:val="008F0DC1"/>
    <w:rsid w:val="0091177F"/>
    <w:rsid w:val="009B6110"/>
    <w:rsid w:val="00A91DDF"/>
    <w:rsid w:val="00BA4AB0"/>
    <w:rsid w:val="00CE1FAE"/>
    <w:rsid w:val="00D36B64"/>
    <w:rsid w:val="00DC0772"/>
    <w:rsid w:val="00DC4F3A"/>
    <w:rsid w:val="00DD1F07"/>
    <w:rsid w:val="00E061B3"/>
    <w:rsid w:val="00E61BFD"/>
    <w:rsid w:val="00EB682D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ED5A4"/>
  <w15:chartTrackingRefBased/>
  <w15:docId w15:val="{92BBA99B-37BB-49DD-813C-AE5E1DA2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1F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F26A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26A1"/>
    <w:rPr>
      <w:rFonts w:ascii="Arial" w:eastAsiaTheme="majorEastAsia" w:hAnsi="Arial" w:cstheme="majorBidi"/>
      <w:b/>
      <w:sz w:val="32"/>
      <w:szCs w:val="32"/>
    </w:rPr>
  </w:style>
  <w:style w:type="table" w:styleId="Tabellenraster">
    <w:name w:val="Table Grid"/>
    <w:basedOn w:val="NormaleTabelle"/>
    <w:uiPriority w:val="39"/>
    <w:rsid w:val="000A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C6AB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B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41</cp:revision>
  <dcterms:created xsi:type="dcterms:W3CDTF">2018-08-17T13:05:00Z</dcterms:created>
  <dcterms:modified xsi:type="dcterms:W3CDTF">2018-08-24T13:15:00Z</dcterms:modified>
</cp:coreProperties>
</file>