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2AE" w:rsidRPr="002D76D5" w:rsidRDefault="00F611D2">
      <w:pPr>
        <w:rPr>
          <w:rFonts w:ascii="Arial" w:hAnsi="Arial" w:cs="Arial"/>
          <w:b/>
          <w:sz w:val="24"/>
          <w:szCs w:val="20"/>
        </w:rPr>
      </w:pPr>
      <w:r>
        <w:rPr>
          <w:rFonts w:ascii="Arial" w:hAnsi="Arial" w:cs="Arial"/>
          <w:noProof/>
          <w:sz w:val="20"/>
          <w:szCs w:val="20"/>
        </w:rPr>
        <w:drawing>
          <wp:anchor distT="0" distB="0" distL="114300" distR="114300" simplePos="0" relativeHeight="251659264" behindDoc="1" locked="0" layoutInCell="1" allowOverlap="1" wp14:anchorId="12E514F2" wp14:editId="796138FD">
            <wp:simplePos x="0" y="0"/>
            <wp:positionH relativeFrom="margin">
              <wp:align>right</wp:align>
            </wp:positionH>
            <wp:positionV relativeFrom="paragraph">
              <wp:posOffset>9525</wp:posOffset>
            </wp:positionV>
            <wp:extent cx="2219325" cy="1249045"/>
            <wp:effectExtent l="0" t="0" r="9525" b="8255"/>
            <wp:wrapTight wrapText="bothSides">
              <wp:wrapPolygon edited="0">
                <wp:start x="0" y="0"/>
                <wp:lineTo x="0" y="21413"/>
                <wp:lineTo x="21507" y="21413"/>
                <wp:lineTo x="2150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2AE" w:rsidRPr="002D76D5">
        <w:rPr>
          <w:rFonts w:ascii="Arial" w:hAnsi="Arial" w:cs="Arial"/>
          <w:b/>
          <w:sz w:val="24"/>
          <w:szCs w:val="20"/>
        </w:rPr>
        <w:t>Proteste in Hongkong</w:t>
      </w:r>
      <w:r w:rsidRPr="00F611D2">
        <w:rPr>
          <w:rFonts w:ascii="Arial" w:hAnsi="Arial" w:cs="Arial"/>
          <w:noProof/>
          <w:sz w:val="20"/>
          <w:szCs w:val="20"/>
        </w:rPr>
        <w:t xml:space="preserve"> </w:t>
      </w:r>
    </w:p>
    <w:p w:rsidR="004C4293" w:rsidRPr="00DA18F9" w:rsidRDefault="003852AE">
      <w:pPr>
        <w:rPr>
          <w:rFonts w:ascii="Arial" w:hAnsi="Arial" w:cs="Arial"/>
          <w:color w:val="333333"/>
          <w:sz w:val="20"/>
          <w:szCs w:val="20"/>
          <w:shd w:val="clear" w:color="auto" w:fill="FFFFFF"/>
        </w:rPr>
      </w:pPr>
      <w:r w:rsidRPr="00DA18F9">
        <w:rPr>
          <w:rFonts w:ascii="Arial" w:hAnsi="Arial" w:cs="Arial"/>
          <w:sz w:val="20"/>
          <w:szCs w:val="20"/>
        </w:rPr>
        <w:t>Die Proteste in Hongkong sind eine Reihe von Demonstrationen in der chinesischen Sonderverwaltungszone Hongkong</w:t>
      </w:r>
      <w:r w:rsidR="004C122D" w:rsidRPr="00DA18F9">
        <w:rPr>
          <w:rFonts w:ascii="Arial" w:hAnsi="Arial" w:cs="Arial"/>
          <w:sz w:val="20"/>
          <w:szCs w:val="20"/>
        </w:rPr>
        <w:t xml:space="preserve"> und in anderen Städten ausserhalb von China</w:t>
      </w:r>
      <w:r w:rsidR="00F962C9" w:rsidRPr="00DA18F9">
        <w:rPr>
          <w:rFonts w:ascii="Arial" w:hAnsi="Arial" w:cs="Arial"/>
          <w:sz w:val="20"/>
          <w:szCs w:val="20"/>
        </w:rPr>
        <w:t>,</w:t>
      </w:r>
      <w:r w:rsidR="004C122D" w:rsidRPr="00DA18F9">
        <w:rPr>
          <w:rFonts w:ascii="Arial" w:hAnsi="Arial" w:cs="Arial"/>
          <w:sz w:val="20"/>
          <w:szCs w:val="20"/>
        </w:rPr>
        <w:t xml:space="preserve"> </w:t>
      </w:r>
      <w:r w:rsidR="004C122D" w:rsidRPr="00DA18F9">
        <w:rPr>
          <w:rFonts w:ascii="Arial" w:hAnsi="Arial" w:cs="Arial"/>
          <w:color w:val="222222"/>
          <w:sz w:val="20"/>
          <w:szCs w:val="20"/>
          <w:shd w:val="clear" w:color="auto" w:fill="FFFFFF"/>
        </w:rPr>
        <w:t xml:space="preserve">die </w:t>
      </w:r>
      <w:r w:rsidR="00F362B6" w:rsidRPr="00DA18F9">
        <w:rPr>
          <w:rFonts w:ascii="Arial" w:hAnsi="Arial" w:cs="Arial"/>
          <w:color w:val="333333"/>
          <w:sz w:val="20"/>
          <w:szCs w:val="20"/>
          <w:shd w:val="clear" w:color="auto" w:fill="FFFFFF"/>
        </w:rPr>
        <w:t>für mehr Demokratie und gegen eine wachsende Einflussnahme Pekings</w:t>
      </w:r>
      <w:r w:rsidR="00FA0993" w:rsidRPr="00DA18F9">
        <w:rPr>
          <w:rFonts w:ascii="Arial" w:hAnsi="Arial" w:cs="Arial"/>
          <w:color w:val="333333"/>
          <w:sz w:val="20"/>
          <w:szCs w:val="20"/>
          <w:shd w:val="clear" w:color="auto" w:fill="FFFFFF"/>
        </w:rPr>
        <w:t xml:space="preserve"> protestieren</w:t>
      </w:r>
      <w:r w:rsidR="00F362B6" w:rsidRPr="00DA18F9">
        <w:rPr>
          <w:rFonts w:ascii="Arial" w:hAnsi="Arial" w:cs="Arial"/>
          <w:color w:val="333333"/>
          <w:sz w:val="20"/>
          <w:szCs w:val="20"/>
          <w:shd w:val="clear" w:color="auto" w:fill="FFFFFF"/>
        </w:rPr>
        <w:t>.</w:t>
      </w:r>
      <w:r w:rsidR="00FA0993" w:rsidRPr="00DA18F9">
        <w:rPr>
          <w:rFonts w:ascii="Arial" w:hAnsi="Arial" w:cs="Arial"/>
          <w:color w:val="333333"/>
          <w:sz w:val="20"/>
          <w:szCs w:val="20"/>
          <w:shd w:val="clear" w:color="auto" w:fill="FFFFFF"/>
        </w:rPr>
        <w:t xml:space="preserve"> </w:t>
      </w:r>
      <w:r w:rsidR="004C4293" w:rsidRPr="00DA18F9">
        <w:rPr>
          <w:rFonts w:ascii="Arial" w:hAnsi="Arial" w:cs="Arial"/>
          <w:color w:val="333333"/>
          <w:sz w:val="20"/>
          <w:szCs w:val="20"/>
          <w:shd w:val="clear" w:color="auto" w:fill="FFFFFF"/>
        </w:rPr>
        <w:t>Die Einwohner Hongkongs sehen das Recht auf freie Meinungsäusserung sowie Presse- und Versammlungsfreiheit in Gefahr.</w:t>
      </w:r>
      <w:r w:rsidR="004C4293" w:rsidRPr="00DA18F9">
        <w:rPr>
          <w:rFonts w:ascii="Arial" w:hAnsi="Arial" w:cs="Arial"/>
          <w:color w:val="333333"/>
          <w:sz w:val="20"/>
          <w:szCs w:val="20"/>
          <w:shd w:val="clear" w:color="auto" w:fill="FFFFFF"/>
        </w:rPr>
        <w:t xml:space="preserve"> </w:t>
      </w:r>
    </w:p>
    <w:p w:rsidR="00651374" w:rsidRPr="00651374" w:rsidRDefault="004C4293" w:rsidP="00651374">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 xml:space="preserve">Auslöser der Proteste war eine umstrittene Gesetzesvorlage, die Auslieferungen an das chinesische Festland ermöglicht hätte. </w:t>
      </w:r>
      <w:r w:rsidR="00617B25" w:rsidRPr="00DA18F9">
        <w:rPr>
          <w:rFonts w:ascii="Arial" w:hAnsi="Arial" w:cs="Arial"/>
          <w:color w:val="000000"/>
          <w:sz w:val="20"/>
          <w:szCs w:val="20"/>
        </w:rPr>
        <w:t>In</w:t>
      </w:r>
      <w:r w:rsidR="00274A31">
        <w:rPr>
          <w:rFonts w:ascii="Arial" w:hAnsi="Arial" w:cs="Arial"/>
          <w:color w:val="000000"/>
          <w:sz w:val="20"/>
          <w:szCs w:val="20"/>
        </w:rPr>
        <w:t xml:space="preserve"> </w:t>
      </w:r>
      <w:r w:rsidR="00617B25" w:rsidRPr="00DA18F9">
        <w:rPr>
          <w:rFonts w:ascii="Arial" w:hAnsi="Arial" w:cs="Arial"/>
          <w:color w:val="000000"/>
          <w:sz w:val="20"/>
          <w:szCs w:val="20"/>
        </w:rPr>
        <w:t>China</w:t>
      </w:r>
      <w:r w:rsidRPr="00DA18F9">
        <w:rPr>
          <w:rFonts w:ascii="Arial" w:hAnsi="Arial" w:cs="Arial"/>
          <w:color w:val="000000"/>
          <w:sz w:val="20"/>
          <w:szCs w:val="20"/>
        </w:rPr>
        <w:t xml:space="preserve"> kontrolliert die kommunistische Partei die Gerichte. </w:t>
      </w:r>
      <w:hyperlink r:id="rId6" w:history="1"/>
      <w:r w:rsidRPr="00DA18F9">
        <w:rPr>
          <w:rFonts w:ascii="Arial" w:hAnsi="Arial" w:cs="Arial"/>
          <w:color w:val="000000"/>
          <w:sz w:val="20"/>
          <w:szCs w:val="20"/>
        </w:rPr>
        <w:t xml:space="preserve">In den vergangenen Wochen hat sich der </w:t>
      </w:r>
      <w:r w:rsidRPr="00C03CD8">
        <w:rPr>
          <w:rFonts w:ascii="Arial" w:hAnsi="Arial" w:cs="Arial"/>
          <w:color w:val="000000"/>
          <w:sz w:val="20"/>
          <w:szCs w:val="20"/>
        </w:rPr>
        <w:t>Protest </w:t>
      </w:r>
      <w:hyperlink r:id="rId7" w:history="1">
        <w:r w:rsidRPr="00C03CD8">
          <w:rPr>
            <w:rStyle w:val="Hyperlink"/>
            <w:rFonts w:ascii="Arial" w:hAnsi="Arial" w:cs="Arial"/>
            <w:color w:val="24324C"/>
            <w:sz w:val="20"/>
            <w:szCs w:val="20"/>
            <w:u w:val="none"/>
            <w:bdr w:val="none" w:sz="0" w:space="0" w:color="auto" w:frame="1"/>
          </w:rPr>
          <w:t>zu einer breiteren Bewegung für Demokratie</w:t>
        </w:r>
      </w:hyperlink>
      <w:r w:rsidRPr="00DA18F9">
        <w:rPr>
          <w:rFonts w:ascii="Arial" w:hAnsi="Arial" w:cs="Arial"/>
          <w:color w:val="000000"/>
          <w:sz w:val="20"/>
          <w:szCs w:val="20"/>
        </w:rPr>
        <w:t xml:space="preserve"> in Hongkong entwickelt. Hinzu kommt die über Jahre gewachsene Unzufriedenheit </w:t>
      </w:r>
      <w:r w:rsidR="00196D95" w:rsidRPr="00DA18F9">
        <w:rPr>
          <w:rFonts w:ascii="Arial" w:hAnsi="Arial" w:cs="Arial"/>
          <w:color w:val="000000"/>
          <w:sz w:val="20"/>
          <w:szCs w:val="20"/>
        </w:rPr>
        <w:t>übersteigende</w:t>
      </w:r>
      <w:r w:rsidRPr="00DA18F9">
        <w:rPr>
          <w:rFonts w:ascii="Arial" w:hAnsi="Arial" w:cs="Arial"/>
          <w:color w:val="000000"/>
          <w:sz w:val="20"/>
          <w:szCs w:val="20"/>
        </w:rPr>
        <w:t xml:space="preserve"> Lebenshaltungskosten und Ungleichheit in einer der teuersten und bevölkerungsreichsten Städte der Welt.</w:t>
      </w:r>
    </w:p>
    <w:p w:rsidR="004C4293" w:rsidRPr="00DA18F9" w:rsidRDefault="004C4293" w:rsidP="00323DAE">
      <w:pPr>
        <w:pStyle w:val="text"/>
        <w:shd w:val="clear" w:color="auto" w:fill="FFFFFF"/>
        <w:spacing w:before="0" w:beforeAutospacing="0" w:after="12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Vereinbarung, mit der die ehemalige britische Kolonie 1997 wieder unter chinesische Kontrolle gebracht wurde, sieht vor, dass die halbautonome Region Hongkong durch eine unabhängige Justiz, eine freie Presse und eine offene Marktwirtschaft ein "</w:t>
      </w:r>
      <w:r w:rsidRPr="0046073C">
        <w:rPr>
          <w:rFonts w:ascii="Arial" w:hAnsi="Arial" w:cs="Arial"/>
          <w:b/>
          <w:color w:val="000000"/>
          <w:sz w:val="20"/>
          <w:szCs w:val="20"/>
        </w:rPr>
        <w:t>hohes Maß an Autonomie</w:t>
      </w:r>
      <w:r w:rsidRPr="00DA18F9">
        <w:rPr>
          <w:rFonts w:ascii="Arial" w:hAnsi="Arial" w:cs="Arial"/>
          <w:color w:val="000000"/>
          <w:sz w:val="20"/>
          <w:szCs w:val="20"/>
        </w:rPr>
        <w:t>" für 50 Jahre ab Vertragsunterzeichnung erhalten bleiben. Das vereinbarte Prinzip lautet "</w:t>
      </w:r>
      <w:r w:rsidRPr="0046073C">
        <w:rPr>
          <w:rFonts w:ascii="Arial" w:hAnsi="Arial" w:cs="Arial"/>
          <w:b/>
          <w:color w:val="000000"/>
          <w:sz w:val="20"/>
          <w:szCs w:val="20"/>
        </w:rPr>
        <w:t>ein Land, zwei Systeme</w:t>
      </w:r>
      <w:r w:rsidRPr="00DA18F9">
        <w:rPr>
          <w:rFonts w:ascii="Arial" w:hAnsi="Arial" w:cs="Arial"/>
          <w:color w:val="000000"/>
          <w:sz w:val="20"/>
          <w:szCs w:val="20"/>
        </w:rPr>
        <w:t>".</w:t>
      </w:r>
    </w:p>
    <w:p w:rsidR="004C4293" w:rsidRPr="00C77D3E" w:rsidRDefault="004C4293" w:rsidP="00C77D3E">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Das Auslieferungsgesetz wurde als ein Versuch gesehen, dies zu untergraben. Die Befürchtung ist, dass Peking dadurch die Möglichkeit gegeben werde, Aktivisten für mehr Demokratie unter dem Justizsystem des Festlandes vor Gericht zu stellen. Deshalb reicht den Demonstranten die </w:t>
      </w:r>
      <w:r w:rsidRPr="00C03CD8">
        <w:rPr>
          <w:rFonts w:ascii="Arial" w:hAnsi="Arial" w:cs="Arial"/>
          <w:color w:val="000000"/>
          <w:sz w:val="20"/>
          <w:szCs w:val="20"/>
          <w:bdr w:val="none" w:sz="0" w:space="0" w:color="auto" w:frame="1"/>
        </w:rPr>
        <w:t>vorläufige Aussetzung des Gesetzesvorhabens</w:t>
      </w:r>
      <w:r w:rsidRPr="00DA18F9">
        <w:rPr>
          <w:rFonts w:ascii="Arial" w:hAnsi="Arial" w:cs="Arial"/>
          <w:color w:val="000000"/>
          <w:sz w:val="20"/>
          <w:szCs w:val="20"/>
        </w:rPr>
        <w:t> nicht.</w:t>
      </w:r>
    </w:p>
    <w:p w:rsidR="004C4293" w:rsidRPr="00DA18F9" w:rsidRDefault="004C4293" w:rsidP="00323DAE">
      <w:pPr>
        <w:pStyle w:val="text"/>
        <w:shd w:val="clear" w:color="auto" w:fill="FFFFFF"/>
        <w:spacing w:before="0" w:beforeAutospacing="0" w:after="12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Demonstranten haben angekündigt, ihre Bewegung so lange fortzusetzen, bis ihre Kernforderungen erfüllt sind. Dazu gehören konkret der Rücktritt der Regierungschefin Carrie Lam, eine unabhängige Untersuchung der Polizei-Taktik, eine Amnestie für die Verhafteten und eine dauerhafte Rücknahme des Auslieferungsgesetzes.</w:t>
      </w:r>
    </w:p>
    <w:p w:rsidR="004C4293" w:rsidRPr="00DA18F9" w:rsidRDefault="004C4293" w:rsidP="00323DAE">
      <w:pPr>
        <w:pStyle w:val="text"/>
        <w:shd w:val="clear" w:color="auto" w:fill="FFFFFF"/>
        <w:spacing w:before="0" w:beforeAutospacing="0" w:after="12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Bewegung kämpft aber auch für vollständige Demokratie in der Stadt. Kritik gibt es vor allem daran, dass die Spitze der Stadt</w:t>
      </w:r>
      <w:r w:rsidR="00AE0A88">
        <w:rPr>
          <w:rFonts w:ascii="Arial" w:hAnsi="Arial" w:cs="Arial"/>
          <w:color w:val="000000"/>
          <w:sz w:val="20"/>
          <w:szCs w:val="20"/>
        </w:rPr>
        <w:t>r</w:t>
      </w:r>
      <w:r w:rsidRPr="00DA18F9">
        <w:rPr>
          <w:rFonts w:ascii="Arial" w:hAnsi="Arial" w:cs="Arial"/>
          <w:color w:val="000000"/>
          <w:sz w:val="20"/>
          <w:szCs w:val="20"/>
        </w:rPr>
        <w:t>egierung von einem Komitee gewählt wird, deren Mitglieder eine Pro-Peking-Einstellung haben.</w:t>
      </w:r>
    </w:p>
    <w:p w:rsidR="00DA18F9" w:rsidRPr="00C03CD8" w:rsidRDefault="004C4293" w:rsidP="00323DAE">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Hongkonger Regierungschefin Lam hat auf Druck der Öffentlichkeit die </w:t>
      </w:r>
      <w:r w:rsidRPr="00C03CD8">
        <w:rPr>
          <w:rFonts w:ascii="Arial" w:hAnsi="Arial" w:cs="Arial"/>
          <w:color w:val="000000"/>
          <w:sz w:val="20"/>
          <w:szCs w:val="20"/>
          <w:bdr w:val="none" w:sz="0" w:space="0" w:color="auto" w:frame="1"/>
        </w:rPr>
        <w:t>Aussetzung des Auslieferungsgesetzes</w:t>
      </w:r>
      <w:r w:rsidRPr="00DA18F9">
        <w:rPr>
          <w:rFonts w:ascii="Arial" w:hAnsi="Arial" w:cs="Arial"/>
          <w:color w:val="000000"/>
          <w:sz w:val="20"/>
          <w:szCs w:val="20"/>
        </w:rPr>
        <w:t> </w:t>
      </w:r>
      <w:r w:rsidRPr="00C03CD8">
        <w:rPr>
          <w:rFonts w:ascii="Arial" w:hAnsi="Arial" w:cs="Arial"/>
          <w:color w:val="000000"/>
          <w:sz w:val="20"/>
          <w:szCs w:val="20"/>
        </w:rPr>
        <w:t xml:space="preserve">angeordnet. </w:t>
      </w:r>
    </w:p>
    <w:p w:rsidR="00246CA5" w:rsidRDefault="004C4293" w:rsidP="00323DAE">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sidRPr="00C03CD8">
        <w:rPr>
          <w:rFonts w:ascii="Arial" w:hAnsi="Arial" w:cs="Arial"/>
          <w:color w:val="000000"/>
          <w:sz w:val="20"/>
          <w:szCs w:val="20"/>
        </w:rPr>
        <w:t>Die </w:t>
      </w:r>
      <w:hyperlink r:id="rId8" w:history="1">
        <w:r w:rsidRPr="00C03CD8">
          <w:rPr>
            <w:rStyle w:val="Hyperlink"/>
            <w:rFonts w:ascii="Arial" w:hAnsi="Arial" w:cs="Arial"/>
            <w:color w:val="24324C"/>
            <w:sz w:val="20"/>
            <w:szCs w:val="20"/>
            <w:u w:val="none"/>
            <w:bdr w:val="none" w:sz="0" w:space="0" w:color="auto" w:frame="1"/>
          </w:rPr>
          <w:t>chinesische Regierung verurteilte die Proteste bisher scharf</w:t>
        </w:r>
      </w:hyperlink>
      <w:r w:rsidRPr="00C03CD8">
        <w:rPr>
          <w:rFonts w:ascii="Arial" w:hAnsi="Arial" w:cs="Arial"/>
          <w:color w:val="000000"/>
          <w:sz w:val="20"/>
          <w:szCs w:val="20"/>
        </w:rPr>
        <w:t>, hat es jedoch - zumindest öffentlich - der halbautonomen Regierung Hongkongs überlassen, sich mit der Situation auseinanderzusetzen. </w:t>
      </w:r>
      <w:hyperlink r:id="rId9" w:history="1">
        <w:r w:rsidRPr="00C03CD8">
          <w:rPr>
            <w:rStyle w:val="Hyperlink"/>
            <w:rFonts w:ascii="Arial" w:hAnsi="Arial" w:cs="Arial"/>
            <w:color w:val="24324C"/>
            <w:sz w:val="20"/>
            <w:szCs w:val="20"/>
            <w:u w:val="none"/>
            <w:bdr w:val="none" w:sz="0" w:space="0" w:color="auto" w:frame="1"/>
          </w:rPr>
          <w:t>Zudem beschuldigte Peking das Ausland</w:t>
        </w:r>
      </w:hyperlink>
      <w:r w:rsidRPr="00C03CD8">
        <w:rPr>
          <w:rFonts w:ascii="Arial" w:hAnsi="Arial" w:cs="Arial"/>
          <w:color w:val="000000"/>
          <w:sz w:val="20"/>
          <w:szCs w:val="20"/>
        </w:rPr>
        <w:t>, die Unruhen zu verschärfen. </w:t>
      </w:r>
    </w:p>
    <w:p w:rsidR="00C77D3E" w:rsidRDefault="00C77D3E" w:rsidP="00323DAE">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p>
    <w:p w:rsidR="00246CA5" w:rsidRDefault="00246CA5" w:rsidP="00323DAE">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Pr>
          <w:rFonts w:ascii="Arial" w:hAnsi="Arial" w:cs="Arial"/>
          <w:color w:val="000000"/>
          <w:sz w:val="20"/>
          <w:szCs w:val="20"/>
        </w:rPr>
        <w:t>G</w:t>
      </w:r>
      <w:r w:rsidR="00C77D3E">
        <w:rPr>
          <w:rFonts w:ascii="Arial" w:hAnsi="Arial" w:cs="Arial"/>
          <w:color w:val="000000"/>
          <w:sz w:val="20"/>
          <w:szCs w:val="20"/>
        </w:rPr>
        <w:t>l</w:t>
      </w:r>
      <w:r>
        <w:rPr>
          <w:rFonts w:ascii="Arial" w:hAnsi="Arial" w:cs="Arial"/>
          <w:color w:val="000000"/>
          <w:sz w:val="20"/>
          <w:szCs w:val="20"/>
        </w:rPr>
        <w:t>ossar</w:t>
      </w:r>
      <w:bookmarkStart w:id="0" w:name="_GoBack"/>
      <w:bookmarkEnd w:id="0"/>
    </w:p>
    <w:tbl>
      <w:tblPr>
        <w:tblStyle w:val="Tabellenraster"/>
        <w:tblpPr w:leftFromText="141" w:rightFromText="141" w:vertAnchor="text" w:horzAnchor="margin" w:tblpY="96"/>
        <w:tblW w:w="0" w:type="auto"/>
        <w:tblLook w:val="04A0" w:firstRow="1" w:lastRow="0" w:firstColumn="1" w:lastColumn="0" w:noHBand="0" w:noVBand="1"/>
      </w:tblPr>
      <w:tblGrid>
        <w:gridCol w:w="4531"/>
        <w:gridCol w:w="4531"/>
      </w:tblGrid>
      <w:tr w:rsidR="00246CA5" w:rsidTr="00246CA5">
        <w:tc>
          <w:tcPr>
            <w:tcW w:w="4531" w:type="dxa"/>
          </w:tcPr>
          <w:p w:rsidR="00246CA5" w:rsidRDefault="00246CA5"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sz w:val="20"/>
                <w:szCs w:val="20"/>
              </w:rPr>
              <w:t>Sonderverwaltungszone</w:t>
            </w:r>
          </w:p>
        </w:tc>
        <w:tc>
          <w:tcPr>
            <w:tcW w:w="4531" w:type="dxa"/>
          </w:tcPr>
          <w:p w:rsidR="00246CA5" w:rsidRDefault="0072680C" w:rsidP="00246CA5">
            <w:pPr>
              <w:pStyle w:val="text"/>
              <w:spacing w:before="0" w:beforeAutospacing="0" w:after="0" w:afterAutospacing="0" w:line="314" w:lineRule="atLeast"/>
              <w:ind w:right="150"/>
              <w:textAlignment w:val="baseline"/>
              <w:rPr>
                <w:rFonts w:ascii="Arial" w:hAnsi="Arial" w:cs="Arial"/>
                <w:color w:val="000000"/>
                <w:sz w:val="20"/>
                <w:szCs w:val="20"/>
              </w:rPr>
            </w:pPr>
            <w:r>
              <w:rPr>
                <w:rFonts w:ascii="Arial" w:hAnsi="Arial" w:cs="Arial"/>
                <w:color w:val="000000"/>
                <w:sz w:val="20"/>
                <w:szCs w:val="20"/>
              </w:rPr>
              <w:t>Lokale Regierung (Ein Land, Zwei Systeme)</w:t>
            </w:r>
          </w:p>
        </w:tc>
      </w:tr>
      <w:tr w:rsidR="00246CA5" w:rsidTr="00246CA5">
        <w:tc>
          <w:tcPr>
            <w:tcW w:w="4531" w:type="dxa"/>
          </w:tcPr>
          <w:p w:rsidR="00246CA5" w:rsidRDefault="00982176"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Justiz</w:t>
            </w:r>
          </w:p>
        </w:tc>
        <w:tc>
          <w:tcPr>
            <w:tcW w:w="4531" w:type="dxa"/>
          </w:tcPr>
          <w:p w:rsidR="00246CA5" w:rsidRDefault="00DF76E4" w:rsidP="00246CA5">
            <w:pPr>
              <w:pStyle w:val="text"/>
              <w:spacing w:before="0" w:beforeAutospacing="0" w:after="0" w:afterAutospacing="0" w:line="314" w:lineRule="atLeast"/>
              <w:ind w:right="150"/>
              <w:textAlignment w:val="baseline"/>
              <w:rPr>
                <w:rFonts w:ascii="Arial" w:hAnsi="Arial" w:cs="Arial"/>
                <w:color w:val="000000"/>
                <w:sz w:val="20"/>
                <w:szCs w:val="20"/>
              </w:rPr>
            </w:pPr>
            <w:r>
              <w:rPr>
                <w:rFonts w:ascii="Arial" w:hAnsi="Arial" w:cs="Arial"/>
                <w:color w:val="000000"/>
                <w:sz w:val="20"/>
                <w:szCs w:val="20"/>
              </w:rPr>
              <w:t>Rechtswesen in einem Land</w:t>
            </w:r>
          </w:p>
        </w:tc>
      </w:tr>
      <w:tr w:rsidR="00246CA5" w:rsidTr="00246CA5">
        <w:tc>
          <w:tcPr>
            <w:tcW w:w="4531" w:type="dxa"/>
          </w:tcPr>
          <w:p w:rsidR="00246CA5" w:rsidRDefault="002177C8"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Autonomie</w:t>
            </w:r>
          </w:p>
        </w:tc>
        <w:tc>
          <w:tcPr>
            <w:tcW w:w="4531" w:type="dxa"/>
          </w:tcPr>
          <w:p w:rsidR="00246CA5" w:rsidRDefault="0080487A" w:rsidP="00246CA5">
            <w:pPr>
              <w:pStyle w:val="text"/>
              <w:spacing w:before="0" w:beforeAutospacing="0" w:after="0" w:afterAutospacing="0" w:line="314" w:lineRule="atLeast"/>
              <w:ind w:right="150"/>
              <w:textAlignment w:val="baseline"/>
              <w:rPr>
                <w:rFonts w:ascii="Arial" w:hAnsi="Arial" w:cs="Arial"/>
                <w:color w:val="000000"/>
                <w:sz w:val="20"/>
                <w:szCs w:val="20"/>
              </w:rPr>
            </w:pPr>
            <w:r>
              <w:rPr>
                <w:rFonts w:ascii="Arial" w:hAnsi="Arial" w:cs="Arial"/>
                <w:color w:val="000000"/>
                <w:sz w:val="20"/>
                <w:szCs w:val="20"/>
              </w:rPr>
              <w:t>Selbständigkeit der Regierung</w:t>
            </w:r>
          </w:p>
        </w:tc>
      </w:tr>
      <w:tr w:rsidR="00246CA5" w:rsidTr="00246CA5">
        <w:tc>
          <w:tcPr>
            <w:tcW w:w="4531" w:type="dxa"/>
          </w:tcPr>
          <w:p w:rsidR="00246CA5" w:rsidRDefault="004F0FD1"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Kolonie</w:t>
            </w:r>
          </w:p>
        </w:tc>
        <w:tc>
          <w:tcPr>
            <w:tcW w:w="4531" w:type="dxa"/>
          </w:tcPr>
          <w:p w:rsidR="00246CA5" w:rsidRDefault="0080487A" w:rsidP="00246CA5">
            <w:pPr>
              <w:pStyle w:val="text"/>
              <w:spacing w:before="0" w:beforeAutospacing="0" w:after="0" w:afterAutospacing="0" w:line="314" w:lineRule="atLeast"/>
              <w:ind w:right="150"/>
              <w:textAlignment w:val="baseline"/>
              <w:rPr>
                <w:rFonts w:ascii="Arial" w:hAnsi="Arial" w:cs="Arial"/>
                <w:color w:val="000000"/>
                <w:sz w:val="20"/>
                <w:szCs w:val="20"/>
              </w:rPr>
            </w:pPr>
            <w:r>
              <w:rPr>
                <w:rFonts w:ascii="Arial" w:hAnsi="Arial" w:cs="Arial"/>
                <w:color w:val="000000"/>
                <w:sz w:val="20"/>
                <w:szCs w:val="20"/>
              </w:rPr>
              <w:t>Auswärtiges abhängiges Gebiet eines Staates</w:t>
            </w:r>
          </w:p>
        </w:tc>
      </w:tr>
      <w:tr w:rsidR="00246CA5" w:rsidTr="00246CA5">
        <w:tc>
          <w:tcPr>
            <w:tcW w:w="4531" w:type="dxa"/>
          </w:tcPr>
          <w:p w:rsidR="00246CA5" w:rsidRDefault="00A42BCA"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Komitee</w:t>
            </w:r>
          </w:p>
        </w:tc>
        <w:tc>
          <w:tcPr>
            <w:tcW w:w="4531" w:type="dxa"/>
          </w:tcPr>
          <w:p w:rsidR="00246CA5" w:rsidRDefault="00DF7C73" w:rsidP="00246CA5">
            <w:pPr>
              <w:pStyle w:val="text"/>
              <w:spacing w:before="0" w:beforeAutospacing="0" w:after="0" w:afterAutospacing="0" w:line="314" w:lineRule="atLeast"/>
              <w:ind w:right="150"/>
              <w:textAlignment w:val="baseline"/>
              <w:rPr>
                <w:rFonts w:ascii="Arial" w:hAnsi="Arial" w:cs="Arial"/>
                <w:color w:val="000000"/>
                <w:sz w:val="20"/>
                <w:szCs w:val="20"/>
              </w:rPr>
            </w:pPr>
            <w:r>
              <w:rPr>
                <w:rFonts w:ascii="Arial" w:hAnsi="Arial" w:cs="Arial"/>
                <w:color w:val="000000"/>
                <w:sz w:val="20"/>
                <w:szCs w:val="20"/>
              </w:rPr>
              <w:t>Gruppe von Personen, die besondere Aufgaben erfüllen müssen.</w:t>
            </w:r>
          </w:p>
        </w:tc>
      </w:tr>
      <w:tr w:rsidR="002D2B1F" w:rsidTr="00246CA5">
        <w:tc>
          <w:tcPr>
            <w:tcW w:w="4531" w:type="dxa"/>
          </w:tcPr>
          <w:p w:rsidR="002D2B1F" w:rsidRPr="00DA18F9" w:rsidRDefault="002D2B1F"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Amnestie</w:t>
            </w:r>
          </w:p>
        </w:tc>
        <w:tc>
          <w:tcPr>
            <w:tcW w:w="4531" w:type="dxa"/>
          </w:tcPr>
          <w:p w:rsidR="002D2B1F" w:rsidRPr="00097E53" w:rsidRDefault="00F000A3" w:rsidP="00246CA5">
            <w:pPr>
              <w:pStyle w:val="text"/>
              <w:spacing w:before="0" w:beforeAutospacing="0" w:after="0" w:afterAutospacing="0" w:line="314" w:lineRule="atLeast"/>
              <w:ind w:right="150"/>
              <w:textAlignment w:val="baseline"/>
              <w:rPr>
                <w:rFonts w:ascii="Arial" w:hAnsi="Arial" w:cs="Arial"/>
                <w:color w:val="000000"/>
                <w:sz w:val="20"/>
                <w:szCs w:val="20"/>
              </w:rPr>
            </w:pPr>
            <w:r w:rsidRPr="00097E53">
              <w:rPr>
                <w:rFonts w:ascii="Arial" w:hAnsi="Arial" w:cs="Arial"/>
                <w:color w:val="222222"/>
                <w:sz w:val="20"/>
                <w:shd w:val="clear" w:color="auto" w:fill="FFFFFF"/>
              </w:rPr>
              <w:t>Erlass oder Milderung der Strafe</w:t>
            </w:r>
          </w:p>
        </w:tc>
      </w:tr>
    </w:tbl>
    <w:p w:rsidR="004C4293" w:rsidRPr="00DA18F9" w:rsidRDefault="004C4293" w:rsidP="00C77D3E">
      <w:pPr>
        <w:rPr>
          <w:rFonts w:ascii="Arial" w:hAnsi="Arial" w:cs="Arial"/>
          <w:sz w:val="20"/>
          <w:szCs w:val="20"/>
        </w:rPr>
      </w:pPr>
    </w:p>
    <w:sectPr w:rsidR="004C4293" w:rsidRPr="00DA18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1B29"/>
    <w:multiLevelType w:val="multilevel"/>
    <w:tmpl w:val="705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AE"/>
    <w:rsid w:val="00097E53"/>
    <w:rsid w:val="00196D95"/>
    <w:rsid w:val="002177C8"/>
    <w:rsid w:val="00246CA5"/>
    <w:rsid w:val="00274A31"/>
    <w:rsid w:val="002D2B1F"/>
    <w:rsid w:val="002D76D5"/>
    <w:rsid w:val="00323DAE"/>
    <w:rsid w:val="003852AE"/>
    <w:rsid w:val="00386CC2"/>
    <w:rsid w:val="0046073C"/>
    <w:rsid w:val="004C122D"/>
    <w:rsid w:val="004C4293"/>
    <w:rsid w:val="004F0FD1"/>
    <w:rsid w:val="00617B25"/>
    <w:rsid w:val="00651374"/>
    <w:rsid w:val="0072680C"/>
    <w:rsid w:val="007D2BA8"/>
    <w:rsid w:val="0080487A"/>
    <w:rsid w:val="00982176"/>
    <w:rsid w:val="00A42BCA"/>
    <w:rsid w:val="00AE0A88"/>
    <w:rsid w:val="00C03CD8"/>
    <w:rsid w:val="00C14C14"/>
    <w:rsid w:val="00C329B3"/>
    <w:rsid w:val="00C5546B"/>
    <w:rsid w:val="00C77D3E"/>
    <w:rsid w:val="00D91508"/>
    <w:rsid w:val="00DA18F9"/>
    <w:rsid w:val="00DF76E4"/>
    <w:rsid w:val="00DF7C73"/>
    <w:rsid w:val="00E96D1C"/>
    <w:rsid w:val="00F000A3"/>
    <w:rsid w:val="00F362B6"/>
    <w:rsid w:val="00F611D2"/>
    <w:rsid w:val="00F962C9"/>
    <w:rsid w:val="00FA09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F678"/>
  <w15:chartTrackingRefBased/>
  <w15:docId w15:val="{92E78E56-0DD7-41C0-9520-4AE54536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rsid w:val="004C429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4C4293"/>
    <w:rPr>
      <w:color w:val="0000FF"/>
      <w:u w:val="single"/>
    </w:rPr>
  </w:style>
  <w:style w:type="table" w:styleId="Tabellenraster">
    <w:name w:val="Table Grid"/>
    <w:basedOn w:val="NormaleTabelle"/>
    <w:uiPriority w:val="39"/>
    <w:rsid w:val="002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477059">
      <w:bodyDiv w:val="1"/>
      <w:marLeft w:val="0"/>
      <w:marRight w:val="0"/>
      <w:marTop w:val="0"/>
      <w:marBottom w:val="0"/>
      <w:divBdr>
        <w:top w:val="none" w:sz="0" w:space="0" w:color="auto"/>
        <w:left w:val="none" w:sz="0" w:space="0" w:color="auto"/>
        <w:bottom w:val="none" w:sz="0" w:space="0" w:color="auto"/>
        <w:right w:val="none" w:sz="0" w:space="0" w:color="auto"/>
      </w:divBdr>
    </w:div>
    <w:div w:id="1196844772">
      <w:bodyDiv w:val="1"/>
      <w:marLeft w:val="0"/>
      <w:marRight w:val="0"/>
      <w:marTop w:val="0"/>
      <w:marBottom w:val="0"/>
      <w:divBdr>
        <w:top w:val="none" w:sz="0" w:space="0" w:color="auto"/>
        <w:left w:val="none" w:sz="0" w:space="0" w:color="auto"/>
        <w:bottom w:val="none" w:sz="0" w:space="0" w:color="auto"/>
        <w:right w:val="none" w:sz="0" w:space="0" w:color="auto"/>
      </w:divBdr>
    </w:div>
    <w:div w:id="1224876020">
      <w:bodyDiv w:val="1"/>
      <w:marLeft w:val="0"/>
      <w:marRight w:val="0"/>
      <w:marTop w:val="0"/>
      <w:marBottom w:val="0"/>
      <w:divBdr>
        <w:top w:val="none" w:sz="0" w:space="0" w:color="auto"/>
        <w:left w:val="none" w:sz="0" w:space="0" w:color="auto"/>
        <w:bottom w:val="none" w:sz="0" w:space="0" w:color="auto"/>
        <w:right w:val="none" w:sz="0" w:space="0" w:color="auto"/>
      </w:divBdr>
    </w:div>
    <w:div w:id="1317151670">
      <w:bodyDiv w:val="1"/>
      <w:marLeft w:val="0"/>
      <w:marRight w:val="0"/>
      <w:marTop w:val="0"/>
      <w:marBottom w:val="0"/>
      <w:divBdr>
        <w:top w:val="none" w:sz="0" w:space="0" w:color="auto"/>
        <w:left w:val="none" w:sz="0" w:space="0" w:color="auto"/>
        <w:bottom w:val="none" w:sz="0" w:space="0" w:color="auto"/>
        <w:right w:val="none" w:sz="0" w:space="0" w:color="auto"/>
      </w:divBdr>
    </w:div>
    <w:div w:id="21218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gesschau.de/ausland/china-hongkong-105.html" TargetMode="External"/><Relationship Id="rId3" Type="http://schemas.openxmlformats.org/officeDocument/2006/relationships/settings" Target="settings.xml"/><Relationship Id="rId7" Type="http://schemas.openxmlformats.org/officeDocument/2006/relationships/hyperlink" Target="https://www.tagesschau.de/ausland/hongkong-proteste-1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gesschau.de/ausland/hongkong-709.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gesschau.de/ausland/china-hongkong-10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33</cp:revision>
  <cp:lastPrinted>2019-10-16T09:40:00Z</cp:lastPrinted>
  <dcterms:created xsi:type="dcterms:W3CDTF">2019-10-16T09:05:00Z</dcterms:created>
  <dcterms:modified xsi:type="dcterms:W3CDTF">2019-10-16T09:44:00Z</dcterms:modified>
</cp:coreProperties>
</file>