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Opis danych wykorzystywanych w projekcie ML Trading Bot</w:t>
      </w:r>
    </w:p>
    <w:p>
      <w:pPr>
        <w:pStyle w:val="Heading2"/>
      </w:pPr>
      <w:r>
        <w:t>Close</w:t>
      </w:r>
    </w:p>
    <w:p>
      <w:r>
        <w:t>Cena zamknięcia – to cena, po której zakończył się handel danego dnia lub interwału (np. godziny).</w:t>
      </w:r>
    </w:p>
    <w:p>
      <w:pPr>
        <w:pStyle w:val="Heading2"/>
      </w:pPr>
      <w:r>
        <w:t>Open</w:t>
      </w:r>
    </w:p>
    <w:p>
      <w:r>
        <w:t>Cena otwarcia – cena, po której rozpoczął się handel danego dnia lub interwału.</w:t>
      </w:r>
    </w:p>
    <w:p>
      <w:pPr>
        <w:pStyle w:val="Heading2"/>
      </w:pPr>
      <w:r>
        <w:t>High</w:t>
      </w:r>
    </w:p>
    <w:p>
      <w:r>
        <w:t>Cena maksymalna – najwyższa cena, jaką osiągnął instrument w danym okresie.</w:t>
      </w:r>
    </w:p>
    <w:p>
      <w:pPr>
        <w:pStyle w:val="Heading2"/>
      </w:pPr>
      <w:r>
        <w:t>Low</w:t>
      </w:r>
    </w:p>
    <w:p>
      <w:r>
        <w:t>Cena minimalna – najniższa cena w danym okresie.</w:t>
      </w:r>
    </w:p>
    <w:p>
      <w:pPr>
        <w:pStyle w:val="Heading2"/>
      </w:pPr>
      <w:r>
        <w:t>Volume</w:t>
      </w:r>
    </w:p>
    <w:p>
      <w:r>
        <w:t>Wolumen – liczba akcji lub kontraktów, które zostały wymienione w danym czasie. Pokazuje aktywność handlową.</w:t>
      </w:r>
    </w:p>
    <w:p>
      <w:pPr>
        <w:pStyle w:val="Heading2"/>
      </w:pPr>
      <w:r>
        <w:t>SMA (Simple Moving Average)</w:t>
      </w:r>
    </w:p>
    <w:p>
      <w:r>
        <w:t>Średnia krocząca prosta – np. SMA20 to średnia z ostatnich 20 dni. Pokazuje ogólny kierunek trendu.</w:t>
      </w:r>
    </w:p>
    <w:p>
      <w:pPr>
        <w:pStyle w:val="Heading2"/>
      </w:pPr>
      <w:r>
        <w:t>EMA (Exponential Moving Average)</w:t>
      </w:r>
    </w:p>
    <w:p>
      <w:r>
        <w:t>Średnia krocząca wykładnicza – jak SMA, ale większą wagę mają najnowsze dane. Lepiej reaguje na zmiany trendu.</w:t>
      </w:r>
    </w:p>
    <w:p>
      <w:pPr>
        <w:pStyle w:val="Heading2"/>
      </w:pPr>
      <w:r>
        <w:t>RSI (Relative Strength Index)</w:t>
      </w:r>
    </w:p>
    <w:p>
      <w:r>
        <w:t>Wskaźnik siły względnej – waha się między 0 a 100 i pokazuje, czy akcja jest wykupiona (&gt;70) lub wyprzedana (&lt;30).</w:t>
      </w:r>
    </w:p>
    <w:p>
      <w:pPr>
        <w:pStyle w:val="Heading2"/>
      </w:pPr>
      <w:r>
        <w:t>MACD (Moving Average Convergence Divergence)</w:t>
      </w:r>
    </w:p>
    <w:p>
      <w:r>
        <w:t>Różnica między dwoma średnimi kroczącymi (szybką i wolną). Pomaga znaleźć momenty kupna/sprzedaży.</w:t>
      </w:r>
    </w:p>
    <w:p>
      <w:pPr>
        <w:pStyle w:val="Heading2"/>
      </w:pPr>
      <w:r>
        <w:t>Bollinger Bands</w:t>
      </w:r>
    </w:p>
    <w:p>
      <w:r>
        <w:t>Wstęgi Bollingera – pokazują zakres wahań ceny wokół średniej. Kiedy cena wychodzi poza zakres, może to oznaczać zmianę trendu.</w:t>
      </w:r>
    </w:p>
    <w:p>
      <w:pPr>
        <w:pStyle w:val="Heading2"/>
      </w:pPr>
      <w:r>
        <w:t>Signal</w:t>
      </w:r>
    </w:p>
    <w:p>
      <w:r>
        <w:t>Sygnał inwestycyjny – wartość 1 oznacza sygnał kupna, -1 oznacza sprzedaż, a 0 oznacza brak działania.</w:t>
      </w:r>
    </w:p>
    <w:p>
      <w:pPr>
        <w:pStyle w:val="Heading2"/>
      </w:pPr>
      <w:r>
        <w:t>Sharpe Ratio</w:t>
      </w:r>
    </w:p>
    <w:p>
      <w:r>
        <w:t>Miara ryzyka do zysku – im wyższa, tym lepiej. Pokazuje, jak dobrze strategia wynagradza za podjęte ryzyko.</w:t>
      </w:r>
    </w:p>
    <w:p>
      <w:pPr>
        <w:pStyle w:val="Heading2"/>
      </w:pPr>
      <w:r>
        <w:t>Sortino Ratio</w:t>
      </w:r>
    </w:p>
    <w:p>
      <w:r>
        <w:t>Jak Sharpe, ale bierze pod uwagę tylko spadki, więc lepiej pokazuje negatywne ryzyko.</w:t>
      </w:r>
    </w:p>
    <w:p>
      <w:pPr>
        <w:pStyle w:val="Heading2"/>
      </w:pPr>
      <w:r>
        <w:t>Max Drawdown</w:t>
      </w:r>
    </w:p>
    <w:p>
      <w:r>
        <w:t>Największy spadek wartości portfela od szczytu do dołka – pokazuje, ile można było stracić w najgorszym momencie.</w:t>
      </w:r>
    </w:p>
    <w:p>
      <w:pPr>
        <w:pStyle w:val="Heading2"/>
      </w:pPr>
      <w:r>
        <w:t>CAGR (Compounded Annual Growth Rate)</w:t>
      </w:r>
    </w:p>
    <w:p>
      <w:r>
        <w:t>Średni roczny wzrost – mówi o tym, jak szybko rósł portfel w czasie.</w:t>
      </w:r>
    </w:p>
    <w:p>
      <w:pPr>
        <w:pStyle w:val="Heading2"/>
      </w:pPr>
      <w:r>
        <w:t>MAR Ratio</w:t>
      </w:r>
    </w:p>
    <w:p>
      <w:r>
        <w:t>Stosunek CAGR do max drawdown – im wyższy, tym lepiej. Pokazuje, jak stabilny jest wzrost.</w:t>
      </w:r>
    </w:p>
    <w:p>
      <w:pPr>
        <w:pStyle w:val="Heading2"/>
      </w:pPr>
      <w:r>
        <w:t>Final Equity</w:t>
      </w:r>
    </w:p>
    <w:p>
      <w:r>
        <w:t>Końcowa wartość portfela po zakończeniu inwestycji.</w:t>
      </w:r>
    </w:p>
    <w:p>
      <w:pPr>
        <w:pStyle w:val="Heading2"/>
      </w:pPr>
      <w:r>
        <w:t>Ticker</w:t>
      </w:r>
    </w:p>
    <w:p>
      <w:r>
        <w:t>Skrócona nazwa instrumentu giełdowego, np. AAPL (Apple), TSLA (Tesla).</w:t>
      </w:r>
    </w:p>
    <w:p>
      <w:pPr>
        <w:pStyle w:val="Heading2"/>
      </w:pPr>
      <w:r>
        <w:t>Interval</w:t>
      </w:r>
    </w:p>
    <w:p>
      <w:r>
        <w:t>Przedział czasowy danych – np. 1d (dzienny), 1h (godzinny), 1wk (tygodniowy).</w:t>
      </w:r>
    </w:p>
    <w:p>
      <w:pPr>
        <w:pStyle w:val="Heading2"/>
      </w:pPr>
      <w:r>
        <w:t>Strategy</w:t>
      </w:r>
    </w:p>
    <w:p>
      <w:r>
        <w:t>Strategia inwestycyjna – sposób, w jaki generowane są sygnały kupna/sprzedaży.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