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30613"/>
          <w:sz w:val="32"/>
        </w:rPr>
        <w:t>PLANO DE GERENCIAMENTO DE CONFIGURAÇÃO</w:t>
      </w:r>
    </w:p>
    <w:p>
      <w:pPr>
        <w:jc w:val="center"/>
      </w:pPr>
      <w:r>
        <w:rPr>
          <w:color w:val="4A4A4A"/>
          <w:sz w:val="24"/>
        </w:rPr>
        <w:t>Enfoque DevOps — Integração e Entrega Contínuas (CI/CD)</w:t>
        <w:br/>
        <w:t>Versão 1.0</w:t>
        <w:br/>
      </w:r>
    </w:p>
    <w:p>
      <w:r>
        <w:rPr>
          <w:b/>
          <w:color w:val="E30613"/>
          <w:sz w:val="24"/>
        </w:rPr>
        <w:t>Identificação do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t>Projeto</w:t>
            </w:r>
          </w:p>
        </w:tc>
        <w:tc>
          <w:tcPr>
            <w:tcW w:type="dxa" w:w="4320"/>
          </w:tcPr>
          <w:p>
            <w:r>
              <w:t>Portal Brenner</w:t>
            </w:r>
          </w:p>
        </w:tc>
      </w:tr>
      <w:tr>
        <w:tc>
          <w:tcPr>
            <w:tcW w:type="dxa" w:w="4320"/>
          </w:tcPr>
          <w:p>
            <w:r>
              <w:t>Gerente de Projeto</w:t>
            </w:r>
          </w:p>
        </w:tc>
        <w:tc>
          <w:tcPr>
            <w:tcW w:type="dxa" w:w="4320"/>
          </w:tcPr>
          <w:p>
            <w:r>
              <w:t>Natã Gabriel de Oliveira</w:t>
            </w:r>
          </w:p>
        </w:tc>
      </w:tr>
      <w:tr>
        <w:tc>
          <w:tcPr>
            <w:tcW w:type="dxa" w:w="4320"/>
          </w:tcPr>
          <w:p>
            <w:r>
              <w:t>Gerente/Responsável de GCS-DevOps</w:t>
            </w:r>
          </w:p>
        </w:tc>
        <w:tc>
          <w:tcPr>
            <w:tcW w:type="dxa" w:w="4320"/>
          </w:tcPr>
          <w:p>
            <w:r>
              <w:t>Natã Gabriel de Oliveira</w:t>
            </w:r>
          </w:p>
        </w:tc>
      </w:tr>
      <w:tr>
        <w:tc>
          <w:tcPr>
            <w:tcW w:type="dxa" w:w="4320"/>
          </w:tcPr>
          <w:p>
            <w:r>
              <w:t>Fábrica de Software / Squad</w:t>
            </w:r>
          </w:p>
        </w:tc>
        <w:tc>
          <w:tcPr>
            <w:tcW w:type="dxa" w:w="4320"/>
          </w:tcPr>
          <w:p>
            <w:r>
              <w:t>Natã Gabriel de Oliveira (TI Único)</w:t>
            </w:r>
          </w:p>
        </w:tc>
      </w:tr>
      <w:tr>
        <w:tc>
          <w:tcPr>
            <w:tcW w:type="dxa" w:w="4320"/>
          </w:tcPr>
          <w:p>
            <w:r>
              <w:t>Repositório principal</w:t>
            </w:r>
          </w:p>
        </w:tc>
        <w:tc>
          <w:tcPr>
            <w:tcW w:type="dxa" w:w="4320"/>
          </w:tcPr>
          <w:p>
            <w:r>
              <w:t>https://github.com/brenner-solucoes/intranet</w:t>
            </w:r>
          </w:p>
        </w:tc>
      </w:tr>
    </w:tbl>
    <w:p/>
    <w:p>
      <w:r>
        <w:rPr>
          <w:b/>
          <w:color w:val="E30613"/>
          <w:sz w:val="24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Autor</w:t>
            </w:r>
          </w:p>
        </w:tc>
      </w:tr>
      <w:tr>
        <w:tc>
          <w:tcPr>
            <w:tcW w:type="dxa" w:w="2160"/>
          </w:tcPr>
          <w:p>
            <w:r>
              <w:t>26/08/2026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Elaboração do documento alinhado à stack real (Node 24, React 19) e infraestrutura on-premise (Synology NAS).</w:t>
            </w:r>
          </w:p>
        </w:tc>
        <w:tc>
          <w:tcPr>
            <w:tcW w:type="dxa" w:w="2160"/>
          </w:tcPr>
          <w:p>
            <w:r>
              <w:t>Natã Gabriel de Oliveira</w:t>
            </w:r>
          </w:p>
        </w:tc>
      </w:tr>
    </w:tbl>
    <w:p/>
    <w:p>
      <w:r>
        <w:rPr>
          <w:b/>
          <w:color w:val="005099"/>
          <w:sz w:val="28"/>
        </w:rPr>
        <w:t>1. Introdução</w:t>
      </w:r>
    </w:p>
    <w:p>
      <w:r>
        <w:t>Este Plano de Gerenciamento de Configuração (PGC) descreve as atividades de Gestão de Configuração de Software (GCS) executadas ao longo do ciclo de vida do Portal Brenner. A ênfase recai sobre práticas DevOps pragmáticas, adequando Integração Contínua (CI) e Implantação Contínua (CD) à realidade da infraestrutura on-premise da empresa (Synology DS224+).</w:t>
      </w:r>
    </w:p>
    <w:p>
      <w:r>
        <w:rPr>
          <w:b/>
          <w:color w:val="E30613"/>
          <w:sz w:val="24"/>
        </w:rPr>
        <w:t>1.1 Finalidade</w:t>
      </w:r>
    </w:p>
    <w:p>
      <w:r>
        <w:t>Estabelecer um padrão simples, rastreável e efetivo para o versionamento do monorepo, controle de mudanças e deployments, apoiado pela automação contínua.</w:t>
      </w:r>
    </w:p>
    <w:p>
      <w:r>
        <w:rPr>
          <w:b/>
          <w:color w:val="E30613"/>
          <w:sz w:val="24"/>
        </w:rPr>
        <w:t>1.2 Escopo</w:t>
      </w:r>
    </w:p>
    <w:p>
      <w:r>
        <w:t>Destinado ao Tech Lead responsável pelo projeto, englobando a manutenção do ecossistema, banco de dados (PostgreSQL) e armazenamento (MinIO).</w:t>
      </w:r>
    </w:p>
    <w:p>
      <w:r>
        <w:rPr>
          <w:b/>
          <w:color w:val="E30613"/>
          <w:sz w:val="24"/>
        </w:rPr>
        <w:t>1.3 Definições, Acrônimos e Abreviações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GCS</w:t>
            </w:r>
          </w:p>
        </w:tc>
        <w:tc>
          <w:tcPr>
            <w:tcW w:type="dxa" w:w="4320"/>
          </w:tcPr>
          <w:p>
            <w:r>
              <w:t>Gestão de Configuração de Software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Integração Contínua e Entrega/Implantação Contínua</w:t>
            </w:r>
          </w:p>
        </w:tc>
      </w:tr>
      <w:tr>
        <w:tc>
          <w:tcPr>
            <w:tcW w:type="dxa" w:w="4320"/>
          </w:tcPr>
          <w:p>
            <w:r>
              <w:t>NAS</w:t>
            </w:r>
          </w:p>
        </w:tc>
        <w:tc>
          <w:tcPr>
            <w:tcW w:type="dxa" w:w="4320"/>
          </w:tcPr>
          <w:p>
            <w:r>
              <w:t>Network Attached Storage (Synology DS224+)</w:t>
            </w:r>
          </w:p>
        </w:tc>
      </w:tr>
      <w:tr>
        <w:tc>
          <w:tcPr>
            <w:tcW w:type="dxa" w:w="4320"/>
          </w:tcPr>
          <w:p>
            <w:r>
              <w:t>CCM</w:t>
            </w:r>
          </w:p>
        </w:tc>
        <w:tc>
          <w:tcPr>
            <w:tcW w:type="dxa" w:w="4320"/>
          </w:tcPr>
          <w:p>
            <w:r>
              <w:t>Comitê de Controle de Mudanças</w:t>
            </w:r>
          </w:p>
        </w:tc>
      </w:tr>
      <w:tr>
        <w:tc>
          <w:tcPr>
            <w:tcW w:type="dxa" w:w="4320"/>
          </w:tcPr>
          <w:p>
            <w:r>
              <w:t>SemVer</w:t>
            </w:r>
          </w:p>
        </w:tc>
        <w:tc>
          <w:tcPr>
            <w:tcW w:type="dxa" w:w="4320"/>
          </w:tcPr>
          <w:p>
            <w:r>
              <w:t>Versionamento Semântico (ex: v1.0.0)</w:t>
            </w:r>
          </w:p>
        </w:tc>
      </w:tr>
    </w:tbl>
    <w:p/>
    <w:p>
      <w:r>
        <w:rPr>
          <w:b/>
          <w:color w:val="E30613"/>
          <w:sz w:val="24"/>
        </w:rPr>
        <w:t>1.4 Referências</w:t>
      </w:r>
    </w:p>
    <w:p>
      <w:r>
        <w:t>• Documentos Base de GCS.</w:t>
        <w:br/>
        <w:t>• Documento de Arquitetura e Matriz de Riscos (infra-riscos.docx).</w:t>
        <w:br/>
        <w:t>• Modelo de Dados e Enums (modelo-dados.docx).</w:t>
        <w:br/>
        <w:t>• Especificação do Produto e Lista de Tarefas (prd.docx, lista-tarefas.docx).</w:t>
      </w:r>
    </w:p>
    <w:p>
      <w:r>
        <w:rPr>
          <w:b/>
          <w:color w:val="E30613"/>
          <w:sz w:val="24"/>
        </w:rPr>
        <w:t>1.5 Visão Geral</w:t>
      </w:r>
    </w:p>
    <w:p>
      <w:r>
        <w:t>Em vez de adotar um fluxo altamente burocrático, este plano foca em garantir que o próprio código, pipeline de CI (via GitHub Actions) e histórico do Git atestem a estabilidade da aplicação.</w:t>
      </w:r>
    </w:p>
    <w:p>
      <w:r>
        <w:rPr>
          <w:b/>
          <w:color w:val="005099"/>
          <w:sz w:val="28"/>
        </w:rPr>
        <w:t>2. Cultura DevOps e Papéis na Gerência de Configuração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Papel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Responsabilidades</w:t>
            </w:r>
          </w:p>
        </w:tc>
      </w:tr>
      <w:tr>
        <w:tc>
          <w:tcPr>
            <w:tcW w:type="dxa" w:w="4320"/>
          </w:tcPr>
          <w:p>
            <w:r>
              <w:t>Engenheiro DevOps / Tech Lead</w:t>
            </w:r>
          </w:p>
        </w:tc>
        <w:tc>
          <w:tcPr>
            <w:tcW w:type="dxa" w:w="4320"/>
          </w:tcPr>
          <w:p>
            <w:r>
              <w:t>Desenvolve o sistema (SOLID), cria testes (Vitest/Supertest), constrói pipelines no GitHub e orquestra o Docker no NAS.</w:t>
            </w:r>
          </w:p>
        </w:tc>
      </w:tr>
      <w:tr>
        <w:tc>
          <w:tcPr>
            <w:tcW w:type="dxa" w:w="4320"/>
          </w:tcPr>
          <w:p>
            <w:r>
              <w:t>Comitê de Controle (CCM)</w:t>
            </w:r>
          </w:p>
        </w:tc>
        <w:tc>
          <w:tcPr>
            <w:tcW w:type="dxa" w:w="4320"/>
          </w:tcPr>
          <w:p>
            <w:r>
              <w:t>Comitê simplificado que avalia janelas de manutenção com a Diretoria e Marketing em caso de atualizações severas do servidor ou schema de BD.</w:t>
            </w:r>
          </w:p>
        </w:tc>
      </w:tr>
    </w:tbl>
    <w:p/>
    <w:p>
      <w:r>
        <w:rPr>
          <w:b/>
          <w:color w:val="005099"/>
          <w:sz w:val="28"/>
        </w:rPr>
        <w:t>3. Ferramentas, Ambientes e Infraestrutura</w:t>
      </w:r>
    </w:p>
    <w:p>
      <w:r>
        <w:rPr>
          <w:b/>
          <w:color w:val="E30613"/>
          <w:sz w:val="24"/>
        </w:rPr>
        <w:t>3.1 Ferramentas do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Ferramenta(s)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Finalidade</w:t>
            </w:r>
          </w:p>
        </w:tc>
      </w:tr>
      <w:tr>
        <w:tc>
          <w:tcPr>
            <w:tcW w:type="dxa" w:w="2880"/>
          </w:tcPr>
          <w:p>
            <w:r>
              <w:t>Controle de versão</w:t>
            </w:r>
          </w:p>
        </w:tc>
        <w:tc>
          <w:tcPr>
            <w:tcW w:type="dxa" w:w="2880"/>
          </w:tcPr>
          <w:p>
            <w:r>
              <w:t>Git + GitHub</w:t>
            </w:r>
          </w:p>
        </w:tc>
        <w:tc>
          <w:tcPr>
            <w:tcW w:type="dxa" w:w="2880"/>
          </w:tcPr>
          <w:p>
            <w:r>
              <w:t>Versionamento completo do Monorepo</w:t>
            </w:r>
          </w:p>
        </w:tc>
      </w:tr>
      <w:tr>
        <w:tc>
          <w:tcPr>
            <w:tcW w:type="dxa" w:w="2880"/>
          </w:tcPr>
          <w:p>
            <w:r>
              <w:t>Orquestração de CI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Análise de Lint (ESLint Flat), tipagem estrita (TS 5) e testes</w:t>
            </w:r>
          </w:p>
        </w:tc>
      </w:tr>
      <w:tr>
        <w:tc>
          <w:tcPr>
            <w:tcW w:type="dxa" w:w="2880"/>
          </w:tcPr>
          <w:p>
            <w:r>
              <w:t>Empacotamento</w:t>
            </w:r>
          </w:p>
        </w:tc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Construção isolada das imagens React e Node</w:t>
            </w:r>
          </w:p>
        </w:tc>
      </w:tr>
      <w:tr>
        <w:tc>
          <w:tcPr>
            <w:tcW w:type="dxa" w:w="2880"/>
          </w:tcPr>
          <w:p>
            <w:r>
              <w:t>Orquestração CD</w:t>
            </w:r>
          </w:p>
        </w:tc>
        <w:tc>
          <w:tcPr>
            <w:tcW w:type="dxa" w:w="2880"/>
          </w:tcPr>
          <w:p>
            <w:r>
              <w:t>Docker Compose</w:t>
            </w:r>
          </w:p>
        </w:tc>
        <w:tc>
          <w:tcPr>
            <w:tcW w:type="dxa" w:w="2880"/>
          </w:tcPr>
          <w:p>
            <w:r>
              <w:t>Subida da arquitetura no Synology NAS via network bridge</w:t>
            </w:r>
          </w:p>
        </w:tc>
      </w:tr>
      <w:tr>
        <w:tc>
          <w:tcPr>
            <w:tcW w:type="dxa" w:w="2880"/>
          </w:tcPr>
          <w:p>
            <w:r>
              <w:t>Gestão de Dependências</w:t>
            </w:r>
          </w:p>
        </w:tc>
        <w:tc>
          <w:tcPr>
            <w:tcW w:type="dxa" w:w="2880"/>
          </w:tcPr>
          <w:p>
            <w:r>
              <w:t>NPM + Dependabot</w:t>
            </w:r>
          </w:p>
        </w:tc>
        <w:tc>
          <w:tcPr>
            <w:tcW w:type="dxa" w:w="2880"/>
          </w:tcPr>
          <w:p>
            <w:r>
              <w:t>Monitoramento e auditoria de vulnerabilidades</w:t>
            </w:r>
          </w:p>
        </w:tc>
      </w:tr>
    </w:tbl>
    <w:p/>
    <w:p>
      <w:r>
        <w:rPr>
          <w:b/>
          <w:color w:val="E30613"/>
          <w:sz w:val="24"/>
        </w:rPr>
        <w:t>3.2 Ambientes e Infraestrutura</w:t>
      </w:r>
    </w:p>
    <w:p>
      <w:r>
        <w:t>• Desenvolvimento: Execução local (PC) rodando DB (5433) e MinIO.</w:t>
        <w:br/>
        <w:t>• Homologação: Ambiente de staging no Synology NAS (.env.staging) nas portas Web (8080) e API (3002). Gatilho: merge em "develop".</w:t>
        <w:br/>
        <w:t>• Produção: Ambiente definitivo rodando atrás do proxy reverso nas portas Web (8081) e API (3000). Gatilho: Tag de versão e merge na "main".</w:t>
      </w:r>
    </w:p>
    <w:p>
      <w:r>
        <w:rPr>
          <w:b/>
          <w:color w:val="E30613"/>
          <w:sz w:val="24"/>
        </w:rPr>
        <w:t>3.3 Estratégia de Branching e Versionamento</w:t>
      </w:r>
    </w:p>
    <w:p>
      <w:r>
        <w:t>Trunk-Based / GitHub Flow: O fluxo inicia-se a partir da ramificação de "develop" para branches temporárias ("feature/*"). Releases para a "main" obrigatoriamente disparam a criação de uma tag SemVer (ex: v0.2.0) alinhada ao package.json.</w:t>
      </w:r>
    </w:p>
    <w:p>
      <w:r>
        <w:rPr>
          <w:b/>
          <w:color w:val="005099"/>
          <w:sz w:val="28"/>
        </w:rPr>
        <w:t>4. Identificação da Configuração</w:t>
      </w:r>
    </w:p>
    <w:p>
      <w:r>
        <w:rPr>
          <w:b/>
          <w:color w:val="E30613"/>
          <w:sz w:val="24"/>
        </w:rPr>
        <w:t>4.1 Itens de Configuração</w:t>
      </w:r>
    </w:p>
    <w:p>
      <w:r>
        <w:t>• Camada de Backend (Node 24, Express 5, Prisma 6) e Frontend (React 19, Tailwind CSS 4).</w:t>
        <w:br/>
        <w:t>• Descrições de Infraestrutura (docker-compose.yml, nginx.conf).</w:t>
        <w:br/>
        <w:t>• Variáveis de ambiente segregadas (.env.test, .env.staging, .env.production).</w:t>
      </w:r>
    </w:p>
    <w:p>
      <w:r>
        <w:rPr>
          <w:b/>
          <w:color w:val="005099"/>
          <w:sz w:val="28"/>
        </w:rPr>
        <w:t>5. Integração Contínua (CI) e Quality Gates</w:t>
      </w:r>
    </w:p>
    <w:p>
      <w:r>
        <w:t>Nenhum código é promovido à "develop" se apresentar falhas críticas. O CI valida:</w:t>
        <w:br/>
        <w:t>1. 100% de sucesso nos testes (com foco em guards de rota e AuthMiddleware JWT).</w:t>
        <w:br/>
        <w:t>2. Tipagem estrita mantida (sem "any").</w:t>
        <w:br/>
        <w:t>3. Verificação do schema estrutural (db:validate).</w:t>
      </w:r>
    </w:p>
    <w:p>
      <w:r>
        <w:rPr>
          <w:b/>
          <w:color w:val="005099"/>
          <w:sz w:val="28"/>
        </w:rPr>
        <w:t>6. Implantação Contínua (CD) e Recuperação</w:t>
      </w:r>
    </w:p>
    <w:p>
      <w:r>
        <w:t>O deployment operacional é realizado por scripts dedicados (ex: npm run nas:prod:deploy). Em caso de corrupção sistêmica, executa-se rollback do banco de dados via scripts (restore-nas-prod.sh) consumindo o backup gerado pelas rotinas 3-2-1 da Brenner.</w:t>
      </w:r>
    </w:p>
    <w:p>
      <w:r>
        <w:rPr>
          <w:b/>
          <w:color w:val="005099"/>
          <w:sz w:val="28"/>
        </w:rPr>
        <w:t>7. Infraestrutura como Código (IaC)</w:t>
      </w:r>
    </w:p>
    <w:p>
      <w:r>
        <w:t>O espelhamento das pastas físicas no host é imprescindível para a estabilidade. Os volumes (/docker/intranet/data_prod e /docker/intranet/uploads) garantem a manutenção de banco de dados e repositórios do MinIO independentemente do ciclo de vida dos containers.</w:t>
      </w:r>
    </w:p>
    <w:p>
      <w:r>
        <w:rPr>
          <w:b/>
          <w:color w:val="005099"/>
          <w:sz w:val="28"/>
        </w:rPr>
        <w:t>8. Comitê de Controle de Mudança (CCM)</w:t>
      </w:r>
    </w:p>
    <w:p>
      <w:r>
        <w:t>Operando de forma otimizada (apenas um desenvolvedor de TI), a governança não restringe o avanço. Atualizações de rotina e features do MVP ocorrem independentemente. Consultas formais de risco (CCM) ativam-se apenas perante downtimes prolongados ou refatorações severas de arquitetura com downtime.</w:t>
      </w:r>
    </w:p>
    <w:p>
      <w:r>
        <w:rPr>
          <w:b/>
          <w:color w:val="005099"/>
          <w:sz w:val="28"/>
        </w:rPr>
        <w:t>9. Baselines, Releases e Marcos</w:t>
      </w:r>
    </w:p>
    <w:p>
      <w:r>
        <w:t>Marcos Definidos:</w:t>
        <w:br/>
        <w:t>1. Planejamento (ER, PRD e Matrizes).</w:t>
        <w:br/>
        <w:t>2. Infraestrutura NAS e Docker.</w:t>
        <w:br/>
        <w:t>3. Base do Backend (Auth JWT).</w:t>
        <w:br/>
        <w:t>4. Interface React.</w:t>
        <w:br/>
        <w:t>5. Deploy final com testes e Proxy Reverso.</w:t>
        <w:br/>
        <w:t>A cada encerramento de escopo (milestone), a versão do repositório deve refletir estritamente o metadado atual via SemVer.</w:t>
      </w:r>
    </w:p>
    <w:p>
      <w:r>
        <w:rPr>
          <w:b/>
          <w:color w:val="005099"/>
          <w:sz w:val="28"/>
        </w:rPr>
        <w:t>10. Treinamento e Segurança</w:t>
      </w:r>
    </w:p>
    <w:p>
      <w:r>
        <w:t>O treinamento concentra-se na navegabilidade autoguiada para os colaboradores (UX), sem necessidade de onboarding excessivo. A camada de segurança garante blindagem local pela LAN e criptografia dos passwords via BCrypt.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