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B63"/>
          <w:sz w:val="28"/>
          <w:szCs w:val="28"/>
        </w:rPr>
        <w:t xml:space="preserve">Does incorporating nontidal data improve prediction of tidal </w:t>
      </w:r>
      <w:r>
        <w:rPr>
          <w:rFonts w:ascii="Calibri" w:cs="Calibri" w:eastAsia="Calibri" w:hAnsi="Calibri"/>
          <w:b/>
          <w:bCs/>
          <w:i/>
          <w:iCs/>
          <w:color w:val="1F3B63"/>
          <w:sz w:val="28"/>
          <w:szCs w:val="28"/>
        </w:rPr>
        <w:t xml:space="preserve">Enterococcus</w:t>
      </w:r>
      <w:r>
        <w:rPr>
          <w:rFonts w:ascii="Calibri" w:cs="Calibri" w:eastAsia="Calibri" w:hAnsi="Calibri"/>
          <w:b/>
          <w:bCs/>
          <w:color w:val="1F3B63"/>
          <w:sz w:val="28"/>
          <w:szCs w:val="28"/>
        </w:rPr>
        <w:t xml:space="preserve">?</w:t>
      </w:r>
    </w:p>
    <w:p>
      <w:pPr>
        <w:spacing w:after="60"/>
      </w:pPr>
      <w:r>
        <w:rPr>
          <w:rFonts w:ascii="Calibri" w:cs="Calibri" w:eastAsia="Calibri" w:hAnsi="Calibri"/>
          <w:i/>
          <w:iCs/>
          <w:color w:val="595959"/>
          <w:sz w:val="20"/>
          <w:szCs w:val="20"/>
        </w:rPr>
        <w:t xml:space="preserve">Blue Water Baltimore Ambient Water Quality Monitoring Program, 2013-2024. Draft results section.</w:t>
      </w:r>
    </w:p>
    <w:p>
      <w:pPr>
        <w:pBdr>
          <w:bottom w:val="single" w:color="1F3B63" w:sz="6"/>
        </w:pBdr>
        <w:spacing w:after="160"/>
      </w:pPr>
    </w:p>
    <w:p>
      <w:pPr>
        <w:pStyle w:val="Heading2"/>
        <w:spacing w:after="120" w:before="240"/>
      </w:pPr>
      <w:r>
        <w:rPr>
          <w:rFonts w:ascii="Calibri" w:cs="Calibri" w:eastAsia="Calibri" w:hAnsi="Calibri"/>
          <w:b/>
          <w:bCs/>
          <w:color w:val="1F3B63"/>
        </w:rPr>
        <w:t xml:space="preserve">Question</w:t>
      </w:r>
    </w:p>
    <w:p>
      <w:pPr>
        <w:spacing w:after="140" w:line="276"/>
      </w:pPr>
      <w:r>
        <w:rPr>
          <w:rFonts w:ascii="Calibri" w:cs="Calibri" w:eastAsia="Calibri" w:hAnsi="Calibri"/>
          <w:sz w:val="22"/>
          <w:szCs w:val="22"/>
        </w:rPr>
        <w:t xml:space="preserve">I tested whether nontidal (upstream stream) monitoring data helps predict </w:t>
      </w:r>
      <w:r>
        <w:rPr>
          <w:rFonts w:ascii="Calibri" w:cs="Calibri" w:eastAsia="Calibri" w:hAnsi="Calibri"/>
          <w:i/>
          <w:iCs/>
          <w:sz w:val="22"/>
          <w:szCs w:val="22"/>
        </w:rPr>
        <w:t xml:space="preserve">Enterococcus</w:t>
      </w:r>
      <w:r>
        <w:rPr>
          <w:rFonts w:ascii="Calibri" w:cs="Calibri" w:eastAsia="Calibri" w:hAnsi="Calibri"/>
          <w:sz w:val="22"/>
          <w:szCs w:val="22"/>
        </w:rPr>
        <w:t xml:space="preserve"> at the tidal harbor stations (Patapsco / Baltimore Harbor). Gwynns Falls and Jones Falls drain into the harbor, so their water quality could be an early indicator of harbor bacteria.</w:t>
      </w:r>
    </w:p>
    <w:p>
      <w:pPr>
        <w:pStyle w:val="Heading2"/>
        <w:spacing w:after="120" w:before="240"/>
      </w:pPr>
      <w:r>
        <w:rPr>
          <w:rFonts w:ascii="Calibri" w:cs="Calibri" w:eastAsia="Calibri" w:hAnsi="Calibri"/>
          <w:b/>
          <w:bCs/>
          <w:color w:val="1F3B63"/>
        </w:rPr>
        <w:t xml:space="preserve">Approach</w:t>
      </w:r>
    </w:p>
    <w:p>
      <w:pPr>
        <w:spacing w:after="140" w:line="276"/>
      </w:pPr>
      <w:r>
        <w:rPr>
          <w:rFonts w:ascii="Calibri" w:cs="Calibri" w:eastAsia="Calibri" w:hAnsi="Calibri"/>
          <w:sz w:val="22"/>
          <w:szCs w:val="22"/>
        </w:rPr>
        <w:t xml:space="preserve">A nested-model comparison, holding the samples, cross-validation folds, and model fixed: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4960"/>
        <w:gridCol w:w="2700"/>
      </w:tblGrid>
      <w:tr>
        <w:trPr>
          <w:tblHeader/>
        </w:trPr>
        <w:tc>
          <w:tcPr>
            <w:tcW w:type="dxa" w:w="1700"/>
            <w:shd w:fill="EAF0F7" w:color="auto" w:val="clear"/>
            <w:tcMar>
              <w:top w:type="dxa" w:w="60"/>
              <w:left w:type="dxa" w:w="100"/>
              <w:bottom w:type="dxa" w:w="60"/>
              <w:right w:type="dxa" w:w="100"/>
            </w:tcMar>
          </w:tcPr>
          <w:p>
            <w:pPr>
              <w:spacing w:after="0" w:line="264"/>
              <w:jc w:val="left"/>
            </w:pPr>
            <w:r>
              <w:rPr>
                <w:rFonts w:ascii="Calibri" w:cs="Calibri" w:eastAsia="Calibri" w:hAnsi="Calibri"/>
                <w:b/>
                <w:bCs/>
                <w:color w:val="1F3B63"/>
                <w:sz w:val="20"/>
                <w:szCs w:val="20"/>
              </w:rPr>
              <w:t xml:space="preserve">Model</w:t>
            </w:r>
          </w:p>
        </w:tc>
        <w:tc>
          <w:tcPr>
            <w:tcW w:type="dxa" w:w="4960"/>
            <w:shd w:fill="EAF0F7" w:color="auto" w:val="clear"/>
            <w:tcMar>
              <w:top w:type="dxa" w:w="60"/>
              <w:left w:type="dxa" w:w="100"/>
              <w:bottom w:type="dxa" w:w="60"/>
              <w:right w:type="dxa" w:w="100"/>
            </w:tcMar>
          </w:tcPr>
          <w:p>
            <w:pPr>
              <w:spacing w:after="0" w:line="264"/>
              <w:jc w:val="left"/>
            </w:pPr>
            <w:r>
              <w:rPr>
                <w:rFonts w:ascii="Calibri" w:cs="Calibri" w:eastAsia="Calibri" w:hAnsi="Calibri"/>
                <w:b/>
                <w:bCs/>
                <w:color w:val="1F3B63"/>
                <w:sz w:val="20"/>
                <w:szCs w:val="20"/>
              </w:rPr>
              <w:t xml:space="preserve">Predictors</w:t>
            </w:r>
          </w:p>
        </w:tc>
        <w:tc>
          <w:tcPr>
            <w:tcW w:type="dxa" w:w="2700"/>
            <w:shd w:fill="EAF0F7" w:color="auto" w:val="clear"/>
            <w:tcMar>
              <w:top w:type="dxa" w:w="60"/>
              <w:left w:type="dxa" w:w="100"/>
              <w:bottom w:type="dxa" w:w="60"/>
              <w:right w:type="dxa" w:w="100"/>
            </w:tcMar>
          </w:tcPr>
          <w:p>
            <w:pPr>
              <w:spacing w:after="0" w:line="264"/>
              <w:jc w:val="left"/>
            </w:pPr>
            <w:r>
              <w:rPr>
                <w:rFonts w:ascii="Calibri" w:cs="Calibri" w:eastAsia="Calibri" w:hAnsi="Calibri"/>
                <w:b/>
                <w:bCs/>
                <w:color w:val="1F3B63"/>
                <w:sz w:val="20"/>
                <w:szCs w:val="20"/>
              </w:rPr>
              <w:t xml:space="preserve">Purpose</w:t>
            </w:r>
          </w:p>
        </w:tc>
      </w:tr>
      <w:tr>
        <w:tc>
          <w:tcPr>
            <w:tcW w:type="dxa" w:w="1700"/>
            <w:tcMar>
              <w:top w:type="dxa" w:w="60"/>
              <w:left w:type="dxa" w:w="100"/>
              <w:bottom w:type="dxa" w:w="60"/>
              <w:right w:type="dxa" w:w="100"/>
            </w:tcMar>
          </w:tcPr>
          <w:p>
            <w:pPr>
              <w:spacing w:after="0" w:line="264"/>
              <w:jc w:val="left"/>
            </w:pPr>
            <w:r>
              <w:rPr>
                <w:rFonts w:ascii="Calibri" w:cs="Calibri" w:eastAsia="Calibri" w:hAnsi="Calibri"/>
                <w:b/>
                <w:bCs/>
                <w:color w:val="000000"/>
                <w:sz w:val="20"/>
                <w:szCs w:val="20"/>
              </w:rPr>
              <w:t xml:space="preserve">T1 (base)</w:t>
            </w:r>
          </w:p>
        </w:tc>
        <w:tc>
          <w:tcPr>
            <w:tcW w:type="dxa" w:w="4960"/>
            <w:tcMar>
              <w:top w:type="dxa" w:w="60"/>
              <w:left w:type="dxa" w:w="100"/>
              <w:bottom w:type="dxa" w:w="60"/>
              <w:right w:type="dxa" w:w="100"/>
            </w:tcMar>
          </w:tcPr>
          <w:p>
            <w:pPr>
              <w:spacing w:after="0" w:line="264"/>
              <w:jc w:val="left"/>
            </w:pPr>
            <w:r>
              <w:rPr>
                <w:rFonts w:ascii="Calibri" w:cs="Calibri" w:eastAsia="Calibri" w:hAnsi="Calibri"/>
                <w:b w:val="false"/>
                <w:bCs w:val="false"/>
                <w:color w:val="000000"/>
                <w:sz w:val="20"/>
                <w:szCs w:val="20"/>
              </w:rPr>
              <w:t xml:space="preserve">Season, station location and site, and the harbor’s own in-situ panel (nutrient chemistry plus surface sonde: temperature, pH, conductance, salinity, DO)</w:t>
            </w:r>
          </w:p>
        </w:tc>
        <w:tc>
          <w:tcPr>
            <w:tcW w:type="dxa" w:w="2700"/>
            <w:tcMar>
              <w:top w:type="dxa" w:w="60"/>
              <w:left w:type="dxa" w:w="100"/>
              <w:bottom w:type="dxa" w:w="60"/>
              <w:right w:type="dxa" w:w="100"/>
            </w:tcMar>
          </w:tcPr>
          <w:p>
            <w:pPr>
              <w:spacing w:after="0" w:line="264"/>
              <w:jc w:val="left"/>
            </w:pPr>
            <w:r>
              <w:rPr>
                <w:rFonts w:ascii="Calibri" w:cs="Calibri" w:eastAsia="Calibri" w:hAnsi="Calibri"/>
                <w:b w:val="false"/>
                <w:bCs w:val="false"/>
                <w:color w:val="000000"/>
                <w:sz w:val="20"/>
                <w:szCs w:val="20"/>
              </w:rPr>
              <w:t xml:space="preserve">Harbor-only baseline</w:t>
            </w:r>
          </w:p>
        </w:tc>
      </w:tr>
      <w:tr>
        <w:tc>
          <w:tcPr>
            <w:tcW w:type="dxa" w:w="1700"/>
            <w:tcMar>
              <w:top w:type="dxa" w:w="60"/>
              <w:left w:type="dxa" w:w="100"/>
              <w:bottom w:type="dxa" w:w="60"/>
              <w:right w:type="dxa" w:w="100"/>
            </w:tcMar>
          </w:tcPr>
          <w:p>
            <w:pPr>
              <w:spacing w:after="0" w:line="264"/>
              <w:jc w:val="left"/>
            </w:pPr>
            <w:r>
              <w:rPr>
                <w:rFonts w:ascii="Calibri" w:cs="Calibri" w:eastAsia="Calibri" w:hAnsi="Calibri"/>
                <w:b/>
                <w:bCs/>
                <w:color w:val="000000"/>
                <w:sz w:val="20"/>
                <w:szCs w:val="20"/>
              </w:rPr>
              <w:t xml:space="preserve">T2 (+ nontidal)</w:t>
            </w:r>
          </w:p>
        </w:tc>
        <w:tc>
          <w:tcPr>
            <w:tcW w:type="dxa" w:w="4960"/>
            <w:tcMar>
              <w:top w:type="dxa" w:w="60"/>
              <w:left w:type="dxa" w:w="100"/>
              <w:bottom w:type="dxa" w:w="60"/>
              <w:right w:type="dxa" w:w="100"/>
            </w:tcMar>
          </w:tcPr>
          <w:p>
            <w:pPr>
              <w:spacing w:after="0" w:line="264"/>
              <w:jc w:val="left"/>
            </w:pPr>
            <w:r>
              <w:rPr>
                <w:rFonts w:ascii="Calibri" w:cs="Calibri" w:eastAsia="Calibri" w:hAnsi="Calibri"/>
                <w:b w:val="false"/>
                <w:bCs w:val="false"/>
                <w:color w:val="000000"/>
                <w:sz w:val="20"/>
                <w:szCs w:val="20"/>
              </w:rPr>
              <w:t xml:space="preserve">T1 plus the upstream stream network: stream Enterococcus (network mean and max, and per-watershed), plus stream turbidity, total phosphorus, DO, nitrate, conductance, temperature</w:t>
            </w:r>
          </w:p>
        </w:tc>
        <w:tc>
          <w:tcPr>
            <w:tcW w:type="dxa" w:w="2700"/>
            <w:tcMar>
              <w:top w:type="dxa" w:w="60"/>
              <w:left w:type="dxa" w:w="100"/>
              <w:bottom w:type="dxa" w:w="60"/>
              <w:right w:type="dxa" w:w="100"/>
            </w:tcMar>
          </w:tcPr>
          <w:p>
            <w:pPr>
              <w:spacing w:after="0" w:line="264"/>
              <w:jc w:val="left"/>
            </w:pPr>
            <w:r>
              <w:rPr>
                <w:rFonts w:ascii="Calibri" w:cs="Calibri" w:eastAsia="Calibri" w:hAnsi="Calibri"/>
                <w:b w:val="false"/>
                <w:bCs w:val="false"/>
                <w:color w:val="000000"/>
                <w:sz w:val="20"/>
                <w:szCs w:val="20"/>
              </w:rPr>
              <w:t xml:space="preserve">Test of added value</w:t>
            </w:r>
          </w:p>
        </w:tc>
      </w:tr>
      <w:tr>
        <w:tc>
          <w:tcPr>
            <w:tcW w:type="dxa" w:w="1700"/>
            <w:tcMar>
              <w:top w:type="dxa" w:w="60"/>
              <w:left w:type="dxa" w:w="100"/>
              <w:bottom w:type="dxa" w:w="60"/>
              <w:right w:type="dxa" w:w="100"/>
            </w:tcMar>
          </w:tcPr>
          <w:p>
            <w:pPr>
              <w:spacing w:after="0" w:line="264"/>
              <w:jc w:val="left"/>
            </w:pPr>
            <w:r>
              <w:rPr>
                <w:rFonts w:ascii="Calibri" w:cs="Calibri" w:eastAsia="Calibri" w:hAnsi="Calibri"/>
                <w:b/>
                <w:bCs/>
                <w:color w:val="000000"/>
                <w:sz w:val="20"/>
                <w:szCs w:val="20"/>
              </w:rPr>
              <w:t xml:space="preserve">T3 (nontidal only)</w:t>
            </w:r>
          </w:p>
        </w:tc>
        <w:tc>
          <w:tcPr>
            <w:tcW w:type="dxa" w:w="4960"/>
            <w:tcMar>
              <w:top w:type="dxa" w:w="60"/>
              <w:left w:type="dxa" w:w="100"/>
              <w:bottom w:type="dxa" w:w="60"/>
              <w:right w:type="dxa" w:w="100"/>
            </w:tcMar>
          </w:tcPr>
          <w:p>
            <w:pPr>
              <w:spacing w:after="0" w:line="264"/>
              <w:jc w:val="left"/>
            </w:pPr>
            <w:r>
              <w:rPr>
                <w:rFonts w:ascii="Calibri" w:cs="Calibri" w:eastAsia="Calibri" w:hAnsi="Calibri"/>
                <w:b w:val="false"/>
                <w:bCs w:val="false"/>
                <w:color w:val="000000"/>
                <w:sz w:val="20"/>
                <w:szCs w:val="20"/>
              </w:rPr>
              <w:t xml:space="preserve">Season, location, and upstream stream data (no harbor chemistry)</w:t>
            </w:r>
          </w:p>
        </w:tc>
        <w:tc>
          <w:tcPr>
            <w:tcW w:type="dxa" w:w="2700"/>
            <w:tcMar>
              <w:top w:type="dxa" w:w="60"/>
              <w:left w:type="dxa" w:w="100"/>
              <w:bottom w:type="dxa" w:w="60"/>
              <w:right w:type="dxa" w:w="100"/>
            </w:tcMar>
          </w:tcPr>
          <w:p>
            <w:pPr>
              <w:spacing w:after="0" w:line="264"/>
              <w:jc w:val="left"/>
            </w:pPr>
            <w:r>
              <w:rPr>
                <w:rFonts w:ascii="Calibri" w:cs="Calibri" w:eastAsia="Calibri" w:hAnsi="Calibri"/>
                <w:b w:val="false"/>
                <w:bCs w:val="false"/>
                <w:color w:val="000000"/>
                <w:sz w:val="20"/>
                <w:szCs w:val="20"/>
              </w:rPr>
              <w:t xml:space="preserve">Can upstream data alone predict the harbor?</w:t>
            </w:r>
          </w:p>
        </w:tc>
      </w:tr>
    </w:tbl>
    <w:p>
      <w:pPr>
        <w:spacing w:after="140" w:before="120"/>
      </w:pPr>
      <w:r>
        <w:rPr>
          <w:rFonts w:ascii="Calibri" w:cs="Calibri" w:eastAsia="Calibri" w:hAnsi="Calibri"/>
          <w:b/>
          <w:bCs/>
          <w:sz w:val="22"/>
          <w:szCs w:val="22"/>
        </w:rPr>
        <w:t xml:space="preserve">Target: </w:t>
      </w:r>
      <w:r>
        <w:rPr>
          <w:rFonts w:ascii="Calibri" w:cs="Calibri" w:eastAsia="Calibri" w:hAnsi="Calibri"/>
          <w:sz w:val="22"/>
          <w:szCs w:val="22"/>
        </w:rPr>
        <w:t xml:space="preserve">harmonized Enterococcus, modeled as log</w:t>
      </w:r>
      <w:r>
        <w:rPr>
          <w:rFonts w:ascii="Calibri" w:cs="Calibri" w:eastAsia="Calibri" w:hAnsi="Calibri"/>
          <w:sz w:val="16"/>
          <w:szCs w:val="16"/>
        </w:rPr>
        <w:t xml:space="preserve">10</w:t>
      </w:r>
      <w:r>
        <w:rPr>
          <w:rFonts w:ascii="Calibri" w:cs="Calibri" w:eastAsia="Calibri" w:hAnsi="Calibri"/>
          <w:sz w:val="22"/>
          <w:szCs w:val="22"/>
        </w:rPr>
        <w:t xml:space="preserve">(MPN+1) for regression and as exceedance of the 104 MPN/100 mL single-sample standard for classification. </w:t>
      </w:r>
      <w:r>
        <w:rPr>
          <w:rFonts w:ascii="Calibri" w:cs="Calibri" w:eastAsia="Calibri" w:hAnsi="Calibri"/>
          <w:b/>
          <w:bCs/>
          <w:sz w:val="22"/>
          <w:szCs w:val="22"/>
        </w:rPr>
        <w:t xml:space="preserve">Matching: </w:t>
      </w:r>
      <w:r>
        <w:rPr>
          <w:rFonts w:ascii="Calibri" w:cs="Calibri" w:eastAsia="Calibri" w:hAnsi="Calibri"/>
          <w:sz w:val="22"/>
          <w:szCs w:val="22"/>
        </w:rPr>
        <w:t xml:space="preserve">harbor and stream samples rarely fall on the same day, but the nearest stream survey is within 1 day for the median harbor sample and within 7 days for about 87% of them. Each harbor sample is matched to the nearest stream reading within 7 days; a backward-only match gives the same result. </w:t>
      </w:r>
      <w:r>
        <w:rPr>
          <w:rFonts w:ascii="Calibri" w:cs="Calibri" w:eastAsia="Calibri" w:hAnsi="Calibri"/>
          <w:b/>
          <w:bCs/>
          <w:sz w:val="22"/>
          <w:szCs w:val="22"/>
        </w:rPr>
        <w:t xml:space="preserve">Validation: </w:t>
      </w:r>
      <w:r>
        <w:rPr>
          <w:rFonts w:ascii="Calibri" w:cs="Calibri" w:eastAsia="Calibri" w:hAnsi="Calibri"/>
          <w:sz w:val="22"/>
          <w:szCs w:val="22"/>
        </w:rPr>
        <w:t xml:space="preserve">year-blocked cross-validation, holding out whole calendar years so no sampling week is split across train and test. All metrics are out-of-fold.</w:t>
      </w:r>
    </w:p>
    <w:p>
      <w:pPr>
        <w:pStyle w:val="Heading2"/>
        <w:spacing w:after="120" w:before="240"/>
      </w:pPr>
      <w:r>
        <w:rPr>
          <w:rFonts w:ascii="Calibri" w:cs="Calibri" w:eastAsia="Calibri" w:hAnsi="Calibri"/>
          <w:b/>
          <w:bCs/>
          <w:color w:val="1F3B63"/>
        </w:rPr>
        <w:t xml:space="preserve">Results</w:t>
      </w:r>
    </w:p>
    <w:p>
      <w:pPr>
        <w:spacing w:after="140" w:line="276"/>
      </w:pPr>
      <w:r>
        <w:rPr>
          <w:rFonts w:ascii="Calibri" w:cs="Calibri" w:eastAsia="Calibri" w:hAnsi="Calibri"/>
          <w:sz w:val="22"/>
          <w:szCs w:val="22"/>
        </w:rPr>
        <w:t xml:space="preserve">Adding upstream data improves the harbor model on every metric. On the matched subset (harbor samples with an upstream survey within 7 days; n = 3,121, exceedance rate 16.6%):</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360"/>
        <w:gridCol w:w="1500"/>
        <w:gridCol w:w="1500"/>
        <w:gridCol w:w="1500"/>
        <w:gridCol w:w="1500"/>
      </w:tblGrid>
      <w:tr>
        <w:trPr>
          <w:tblHeader/>
        </w:trPr>
        <w:tc>
          <w:tcPr>
            <w:tcW w:type="dxa" w:w="3360"/>
            <w:shd w:fill="EAF0F7" w:color="auto" w:val="clear"/>
            <w:tcMar>
              <w:top w:type="dxa" w:w="60"/>
              <w:left w:type="dxa" w:w="100"/>
              <w:bottom w:type="dxa" w:w="60"/>
              <w:right w:type="dxa" w:w="100"/>
            </w:tcMar>
          </w:tcPr>
          <w:p>
            <w:pPr>
              <w:spacing w:after="0" w:line="264"/>
              <w:jc w:val="left"/>
            </w:pPr>
            <w:r>
              <w:rPr>
                <w:rFonts w:ascii="Calibri" w:cs="Calibri" w:eastAsia="Calibri" w:hAnsi="Calibri"/>
                <w:b/>
                <w:bCs/>
                <w:color w:val="1F3B63"/>
                <w:sz w:val="20"/>
                <w:szCs w:val="20"/>
              </w:rPr>
              <w:t xml:space="preserve">Model</w:t>
            </w:r>
          </w:p>
        </w:tc>
        <w:tc>
          <w:tcPr>
            <w:tcW w:type="dxa" w:w="1500"/>
            <w:shd w:fill="EAF0F7" w:color="auto" w:val="clear"/>
            <w:tcMar>
              <w:top w:type="dxa" w:w="60"/>
              <w:left w:type="dxa" w:w="100"/>
              <w:bottom w:type="dxa" w:w="60"/>
              <w:right w:type="dxa" w:w="100"/>
            </w:tcMar>
          </w:tcPr>
          <w:p>
            <w:pPr>
              <w:spacing w:after="0" w:line="264"/>
              <w:jc w:val="center"/>
            </w:pPr>
            <w:r>
              <w:rPr>
                <w:rFonts w:ascii="Calibri" w:cs="Calibri" w:eastAsia="Calibri" w:hAnsi="Calibri"/>
                <w:b/>
                <w:bCs/>
                <w:color w:val="1F3B63"/>
                <w:sz w:val="20"/>
                <w:szCs w:val="20"/>
              </w:rPr>
              <w:t xml:space="preserve">R² (log₁₀)</w:t>
            </w:r>
          </w:p>
        </w:tc>
        <w:tc>
          <w:tcPr>
            <w:tcW w:type="dxa" w:w="1500"/>
            <w:shd w:fill="EAF0F7" w:color="auto" w:val="clear"/>
            <w:tcMar>
              <w:top w:type="dxa" w:w="60"/>
              <w:left w:type="dxa" w:w="100"/>
              <w:bottom w:type="dxa" w:w="60"/>
              <w:right w:type="dxa" w:w="100"/>
            </w:tcMar>
          </w:tcPr>
          <w:p>
            <w:pPr>
              <w:spacing w:after="0" w:line="264"/>
              <w:jc w:val="center"/>
            </w:pPr>
            <w:r>
              <w:rPr>
                <w:rFonts w:ascii="Calibri" w:cs="Calibri" w:eastAsia="Calibri" w:hAnsi="Calibri"/>
                <w:b/>
                <w:bCs/>
                <w:color w:val="1F3B63"/>
                <w:sz w:val="20"/>
                <w:szCs w:val="20"/>
              </w:rPr>
              <w:t xml:space="preserve">RMSE</w:t>
            </w:r>
          </w:p>
        </w:tc>
        <w:tc>
          <w:tcPr>
            <w:tcW w:type="dxa" w:w="1500"/>
            <w:shd w:fill="EAF0F7" w:color="auto" w:val="clear"/>
            <w:tcMar>
              <w:top w:type="dxa" w:w="60"/>
              <w:left w:type="dxa" w:w="100"/>
              <w:bottom w:type="dxa" w:w="60"/>
              <w:right w:type="dxa" w:w="100"/>
            </w:tcMar>
          </w:tcPr>
          <w:p>
            <w:pPr>
              <w:spacing w:after="0" w:line="264"/>
              <w:jc w:val="center"/>
            </w:pPr>
            <w:r>
              <w:rPr>
                <w:rFonts w:ascii="Calibri" w:cs="Calibri" w:eastAsia="Calibri" w:hAnsi="Calibri"/>
                <w:b/>
                <w:bCs/>
                <w:color w:val="1F3B63"/>
                <w:sz w:val="20"/>
                <w:szCs w:val="20"/>
              </w:rPr>
              <w:t xml:space="preserve">ROC-AUC</w:t>
            </w:r>
          </w:p>
        </w:tc>
        <w:tc>
          <w:tcPr>
            <w:tcW w:type="dxa" w:w="1500"/>
            <w:shd w:fill="EAF0F7" w:color="auto" w:val="clear"/>
            <w:tcMar>
              <w:top w:type="dxa" w:w="60"/>
              <w:left w:type="dxa" w:w="100"/>
              <w:bottom w:type="dxa" w:w="60"/>
              <w:right w:type="dxa" w:w="100"/>
            </w:tcMar>
          </w:tcPr>
          <w:p>
            <w:pPr>
              <w:spacing w:after="0" w:line="264"/>
              <w:jc w:val="center"/>
            </w:pPr>
            <w:r>
              <w:rPr>
                <w:rFonts w:ascii="Calibri" w:cs="Calibri" w:eastAsia="Calibri" w:hAnsi="Calibri"/>
                <w:b/>
                <w:bCs/>
                <w:color w:val="1F3B63"/>
                <w:sz w:val="20"/>
                <w:szCs w:val="20"/>
              </w:rPr>
              <w:t xml:space="preserve">PR-AUC</w:t>
            </w:r>
          </w:p>
        </w:tc>
      </w:tr>
      <w:tr>
        <w:tc>
          <w:tcPr>
            <w:tcW w:type="dxa" w:w="3360"/>
            <w:tcMar>
              <w:top w:type="dxa" w:w="60"/>
              <w:left w:type="dxa" w:w="100"/>
              <w:bottom w:type="dxa" w:w="60"/>
              <w:right w:type="dxa" w:w="100"/>
            </w:tcMar>
          </w:tcPr>
          <w:p>
            <w:pPr>
              <w:spacing w:after="0" w:line="264"/>
              <w:jc w:val="left"/>
            </w:pPr>
            <w:r>
              <w:rPr>
                <w:rFonts w:ascii="Calibri" w:cs="Calibri" w:eastAsia="Calibri" w:hAnsi="Calibri"/>
                <w:b/>
                <w:bCs/>
                <w:color w:val="000000"/>
                <w:sz w:val="20"/>
                <w:szCs w:val="20"/>
              </w:rPr>
              <w:t xml:space="preserve">T1, harbor in-situ WQ (base)</w:t>
            </w:r>
          </w:p>
        </w:tc>
        <w:tc>
          <w:tcPr>
            <w:tcW w:type="dxa" w:w="1500"/>
            <w:tcMar>
              <w:top w:type="dxa" w:w="60"/>
              <w:left w:type="dxa" w:w="100"/>
              <w:bottom w:type="dxa" w:w="60"/>
              <w:right w:type="dxa" w:w="100"/>
            </w:tcMar>
          </w:tcPr>
          <w:p>
            <w:pPr>
              <w:spacing w:after="0" w:line="264"/>
              <w:jc w:val="center"/>
            </w:pPr>
            <w:r>
              <w:rPr>
                <w:rFonts w:ascii="Calibri" w:cs="Calibri" w:eastAsia="Calibri" w:hAnsi="Calibri"/>
                <w:b w:val="false"/>
                <w:bCs w:val="false"/>
                <w:color w:val="000000"/>
                <w:sz w:val="20"/>
                <w:szCs w:val="20"/>
              </w:rPr>
              <w:t xml:space="preserve">0.165</w:t>
            </w:r>
          </w:p>
        </w:tc>
        <w:tc>
          <w:tcPr>
            <w:tcW w:type="dxa" w:w="1500"/>
            <w:tcMar>
              <w:top w:type="dxa" w:w="60"/>
              <w:left w:type="dxa" w:w="100"/>
              <w:bottom w:type="dxa" w:w="60"/>
              <w:right w:type="dxa" w:w="100"/>
            </w:tcMar>
          </w:tcPr>
          <w:p>
            <w:pPr>
              <w:spacing w:after="0" w:line="264"/>
              <w:jc w:val="center"/>
            </w:pPr>
            <w:r>
              <w:rPr>
                <w:rFonts w:ascii="Calibri" w:cs="Calibri" w:eastAsia="Calibri" w:hAnsi="Calibri"/>
                <w:b w:val="false"/>
                <w:bCs w:val="false"/>
                <w:color w:val="000000"/>
                <w:sz w:val="20"/>
                <w:szCs w:val="20"/>
              </w:rPr>
              <w:t xml:space="preserve">0.904</w:t>
            </w:r>
          </w:p>
        </w:tc>
        <w:tc>
          <w:tcPr>
            <w:tcW w:type="dxa" w:w="1500"/>
            <w:tcMar>
              <w:top w:type="dxa" w:w="60"/>
              <w:left w:type="dxa" w:w="100"/>
              <w:bottom w:type="dxa" w:w="60"/>
              <w:right w:type="dxa" w:w="100"/>
            </w:tcMar>
          </w:tcPr>
          <w:p>
            <w:pPr>
              <w:spacing w:after="0" w:line="264"/>
              <w:jc w:val="center"/>
            </w:pPr>
            <w:r>
              <w:rPr>
                <w:rFonts w:ascii="Calibri" w:cs="Calibri" w:eastAsia="Calibri" w:hAnsi="Calibri"/>
                <w:b w:val="false"/>
                <w:bCs w:val="false"/>
                <w:color w:val="000000"/>
                <w:sz w:val="20"/>
                <w:szCs w:val="20"/>
              </w:rPr>
              <w:t xml:space="preserve">0.746</w:t>
            </w:r>
          </w:p>
        </w:tc>
        <w:tc>
          <w:tcPr>
            <w:tcW w:type="dxa" w:w="1500"/>
            <w:tcMar>
              <w:top w:type="dxa" w:w="60"/>
              <w:left w:type="dxa" w:w="100"/>
              <w:bottom w:type="dxa" w:w="60"/>
              <w:right w:type="dxa" w:w="100"/>
            </w:tcMar>
          </w:tcPr>
          <w:p>
            <w:pPr>
              <w:spacing w:after="0" w:line="264"/>
              <w:jc w:val="center"/>
            </w:pPr>
            <w:r>
              <w:rPr>
                <w:rFonts w:ascii="Calibri" w:cs="Calibri" w:eastAsia="Calibri" w:hAnsi="Calibri"/>
                <w:b w:val="false"/>
                <w:bCs w:val="false"/>
                <w:color w:val="000000"/>
                <w:sz w:val="20"/>
                <w:szCs w:val="20"/>
              </w:rPr>
              <w:t xml:space="preserve">0.357</w:t>
            </w:r>
          </w:p>
        </w:tc>
      </w:tr>
      <w:tr>
        <w:tc>
          <w:tcPr>
            <w:tcW w:type="dxa" w:w="3360"/>
            <w:tcMar>
              <w:top w:type="dxa" w:w="60"/>
              <w:left w:type="dxa" w:w="100"/>
              <w:bottom w:type="dxa" w:w="60"/>
              <w:right w:type="dxa" w:w="100"/>
            </w:tcMar>
          </w:tcPr>
          <w:p>
            <w:pPr>
              <w:spacing w:after="0" w:line="264"/>
              <w:jc w:val="left"/>
            </w:pPr>
            <w:r>
              <w:rPr>
                <w:rFonts w:ascii="Calibri" w:cs="Calibri" w:eastAsia="Calibri" w:hAnsi="Calibri"/>
                <w:b/>
                <w:bCs/>
                <w:color w:val="000000"/>
                <w:sz w:val="20"/>
                <w:szCs w:val="20"/>
              </w:rPr>
              <w:t xml:space="preserve">T2, plus nontidal data</w:t>
            </w:r>
          </w:p>
        </w:tc>
        <w:tc>
          <w:tcPr>
            <w:tcW w:type="dxa" w:w="1500"/>
            <w:tcMar>
              <w:top w:type="dxa" w:w="60"/>
              <w:left w:type="dxa" w:w="100"/>
              <w:bottom w:type="dxa" w:w="60"/>
              <w:right w:type="dxa" w:w="100"/>
            </w:tcMar>
          </w:tcPr>
          <w:p>
            <w:pPr>
              <w:spacing w:after="0" w:line="264"/>
              <w:jc w:val="center"/>
            </w:pPr>
            <w:r>
              <w:rPr>
                <w:rFonts w:ascii="Calibri" w:cs="Calibri" w:eastAsia="Calibri" w:hAnsi="Calibri"/>
                <w:b w:val="false"/>
                <w:bCs w:val="false"/>
                <w:color w:val="000000"/>
                <w:sz w:val="20"/>
                <w:szCs w:val="20"/>
              </w:rPr>
              <w:t xml:space="preserve">0.278</w:t>
            </w:r>
          </w:p>
        </w:tc>
        <w:tc>
          <w:tcPr>
            <w:tcW w:type="dxa" w:w="1500"/>
            <w:tcMar>
              <w:top w:type="dxa" w:w="60"/>
              <w:left w:type="dxa" w:w="100"/>
              <w:bottom w:type="dxa" w:w="60"/>
              <w:right w:type="dxa" w:w="100"/>
            </w:tcMar>
          </w:tcPr>
          <w:p>
            <w:pPr>
              <w:spacing w:after="0" w:line="264"/>
              <w:jc w:val="center"/>
            </w:pPr>
            <w:r>
              <w:rPr>
                <w:rFonts w:ascii="Calibri" w:cs="Calibri" w:eastAsia="Calibri" w:hAnsi="Calibri"/>
                <w:b w:val="false"/>
                <w:bCs w:val="false"/>
                <w:color w:val="000000"/>
                <w:sz w:val="20"/>
                <w:szCs w:val="20"/>
              </w:rPr>
              <w:t xml:space="preserve">0.841</w:t>
            </w:r>
          </w:p>
        </w:tc>
        <w:tc>
          <w:tcPr>
            <w:tcW w:type="dxa" w:w="1500"/>
            <w:tcMar>
              <w:top w:type="dxa" w:w="60"/>
              <w:left w:type="dxa" w:w="100"/>
              <w:bottom w:type="dxa" w:w="60"/>
              <w:right w:type="dxa" w:w="100"/>
            </w:tcMar>
          </w:tcPr>
          <w:p>
            <w:pPr>
              <w:spacing w:after="0" w:line="264"/>
              <w:jc w:val="center"/>
            </w:pPr>
            <w:r>
              <w:rPr>
                <w:rFonts w:ascii="Calibri" w:cs="Calibri" w:eastAsia="Calibri" w:hAnsi="Calibri"/>
                <w:b w:val="false"/>
                <w:bCs w:val="false"/>
                <w:color w:val="000000"/>
                <w:sz w:val="20"/>
                <w:szCs w:val="20"/>
              </w:rPr>
              <w:t xml:space="preserve">0.802</w:t>
            </w:r>
          </w:p>
        </w:tc>
        <w:tc>
          <w:tcPr>
            <w:tcW w:type="dxa" w:w="1500"/>
            <w:tcMar>
              <w:top w:type="dxa" w:w="60"/>
              <w:left w:type="dxa" w:w="100"/>
              <w:bottom w:type="dxa" w:w="60"/>
              <w:right w:type="dxa" w:w="100"/>
            </w:tcMar>
          </w:tcPr>
          <w:p>
            <w:pPr>
              <w:spacing w:after="0" w:line="264"/>
              <w:jc w:val="center"/>
            </w:pPr>
            <w:r>
              <w:rPr>
                <w:rFonts w:ascii="Calibri" w:cs="Calibri" w:eastAsia="Calibri" w:hAnsi="Calibri"/>
                <w:b w:val="false"/>
                <w:bCs w:val="false"/>
                <w:color w:val="000000"/>
                <w:sz w:val="20"/>
                <w:szCs w:val="20"/>
              </w:rPr>
              <w:t xml:space="preserve">0.496</w:t>
            </w:r>
          </w:p>
        </w:tc>
      </w:tr>
      <w:tr>
        <w:tc>
          <w:tcPr>
            <w:tcW w:type="dxa" w:w="3360"/>
            <w:tcMar>
              <w:top w:type="dxa" w:w="60"/>
              <w:left w:type="dxa" w:w="100"/>
              <w:bottom w:type="dxa" w:w="60"/>
              <w:right w:type="dxa" w:w="100"/>
            </w:tcMar>
          </w:tcPr>
          <w:p>
            <w:pPr>
              <w:spacing w:after="0" w:line="264"/>
              <w:jc w:val="left"/>
            </w:pPr>
            <w:r>
              <w:rPr>
                <w:rFonts w:ascii="Calibri" w:cs="Calibri" w:eastAsia="Calibri" w:hAnsi="Calibri"/>
                <w:b/>
                <w:bCs/>
                <w:color w:val="000000"/>
                <w:sz w:val="20"/>
                <w:szCs w:val="20"/>
              </w:rPr>
              <w:t xml:space="preserve">T3, nontidal only</w:t>
            </w:r>
          </w:p>
        </w:tc>
        <w:tc>
          <w:tcPr>
            <w:tcW w:type="dxa" w:w="1500"/>
            <w:tcMar>
              <w:top w:type="dxa" w:w="60"/>
              <w:left w:type="dxa" w:w="100"/>
              <w:bottom w:type="dxa" w:w="60"/>
              <w:right w:type="dxa" w:w="100"/>
            </w:tcMar>
          </w:tcPr>
          <w:p>
            <w:pPr>
              <w:spacing w:after="0" w:line="264"/>
              <w:jc w:val="center"/>
            </w:pPr>
            <w:r>
              <w:rPr>
                <w:rFonts w:ascii="Calibri" w:cs="Calibri" w:eastAsia="Calibri" w:hAnsi="Calibri"/>
                <w:b w:val="false"/>
                <w:bCs w:val="false"/>
                <w:color w:val="000000"/>
                <w:sz w:val="20"/>
                <w:szCs w:val="20"/>
              </w:rPr>
              <w:t xml:space="preserve">0.224</w:t>
            </w:r>
          </w:p>
        </w:tc>
        <w:tc>
          <w:tcPr>
            <w:tcW w:type="dxa" w:w="1500"/>
            <w:tcMar>
              <w:top w:type="dxa" w:w="60"/>
              <w:left w:type="dxa" w:w="100"/>
              <w:bottom w:type="dxa" w:w="60"/>
              <w:right w:type="dxa" w:w="100"/>
            </w:tcMar>
          </w:tcPr>
          <w:p>
            <w:pPr>
              <w:spacing w:after="0" w:line="264"/>
              <w:jc w:val="center"/>
            </w:pPr>
            <w:r>
              <w:rPr>
                <w:rFonts w:ascii="Calibri" w:cs="Calibri" w:eastAsia="Calibri" w:hAnsi="Calibri"/>
                <w:b w:val="false"/>
                <w:bCs w:val="false"/>
                <w:color w:val="000000"/>
                <w:sz w:val="20"/>
                <w:szCs w:val="20"/>
              </w:rPr>
              <w:t xml:space="preserve">0.872</w:t>
            </w:r>
          </w:p>
        </w:tc>
        <w:tc>
          <w:tcPr>
            <w:tcW w:type="dxa" w:w="1500"/>
            <w:tcMar>
              <w:top w:type="dxa" w:w="60"/>
              <w:left w:type="dxa" w:w="100"/>
              <w:bottom w:type="dxa" w:w="60"/>
              <w:right w:type="dxa" w:w="100"/>
            </w:tcMar>
          </w:tcPr>
          <w:p>
            <w:pPr>
              <w:spacing w:after="0" w:line="264"/>
              <w:jc w:val="center"/>
            </w:pPr>
            <w:r>
              <w:rPr>
                <w:rFonts w:ascii="Calibri" w:cs="Calibri" w:eastAsia="Calibri" w:hAnsi="Calibri"/>
                <w:b w:val="false"/>
                <w:bCs w:val="false"/>
                <w:color w:val="000000"/>
                <w:sz w:val="20"/>
                <w:szCs w:val="20"/>
              </w:rPr>
              <w:t xml:space="preserve">0.788</w:t>
            </w:r>
          </w:p>
        </w:tc>
        <w:tc>
          <w:tcPr>
            <w:tcW w:type="dxa" w:w="1500"/>
            <w:tcMar>
              <w:top w:type="dxa" w:w="60"/>
              <w:left w:type="dxa" w:w="100"/>
              <w:bottom w:type="dxa" w:w="60"/>
              <w:right w:type="dxa" w:w="100"/>
            </w:tcMar>
          </w:tcPr>
          <w:p>
            <w:pPr>
              <w:spacing w:after="0" w:line="264"/>
              <w:jc w:val="center"/>
            </w:pPr>
            <w:r>
              <w:rPr>
                <w:rFonts w:ascii="Calibri" w:cs="Calibri" w:eastAsia="Calibri" w:hAnsi="Calibri"/>
                <w:b w:val="false"/>
                <w:bCs w:val="false"/>
                <w:color w:val="000000"/>
                <w:sz w:val="20"/>
                <w:szCs w:val="20"/>
              </w:rPr>
              <w:t xml:space="preserve">0.450</w:t>
            </w:r>
          </w:p>
        </w:tc>
      </w:tr>
      <w:tr>
        <w:tc>
          <w:tcPr>
            <w:tcW w:type="dxa" w:w="3360"/>
            <w:tcMar>
              <w:top w:type="dxa" w:w="60"/>
              <w:left w:type="dxa" w:w="100"/>
              <w:bottom w:type="dxa" w:w="60"/>
              <w:right w:type="dxa" w:w="100"/>
            </w:tcMar>
          </w:tcPr>
          <w:p>
            <w:pPr>
              <w:spacing w:after="0" w:line="264"/>
              <w:jc w:val="left"/>
            </w:pPr>
            <w:r>
              <w:rPr>
                <w:rFonts w:ascii="Calibri" w:cs="Calibri" w:eastAsia="Calibri" w:hAnsi="Calibri"/>
                <w:b/>
                <w:bCs/>
                <w:color w:val="000000"/>
                <w:sz w:val="20"/>
                <w:szCs w:val="20"/>
              </w:rPr>
              <w:t xml:space="preserve">Change (T2 minus T1)</w:t>
            </w:r>
          </w:p>
        </w:tc>
        <w:tc>
          <w:tcPr>
            <w:tcW w:type="dxa" w:w="1500"/>
            <w:tcMar>
              <w:top w:type="dxa" w:w="60"/>
              <w:left w:type="dxa" w:w="100"/>
              <w:bottom w:type="dxa" w:w="60"/>
              <w:right w:type="dxa" w:w="100"/>
            </w:tcMar>
          </w:tcPr>
          <w:p>
            <w:pPr>
              <w:spacing w:after="0" w:line="264"/>
              <w:jc w:val="center"/>
            </w:pPr>
            <w:r>
              <w:rPr>
                <w:rFonts w:ascii="Calibri" w:cs="Calibri" w:eastAsia="Calibri" w:hAnsi="Calibri"/>
                <w:b w:val="false"/>
                <w:bCs w:val="false"/>
                <w:color w:val="000000"/>
                <w:sz w:val="20"/>
                <w:szCs w:val="20"/>
              </w:rPr>
              <w:t xml:space="preserve">+0.113</w:t>
            </w:r>
          </w:p>
        </w:tc>
        <w:tc>
          <w:tcPr>
            <w:tcW w:type="dxa" w:w="1500"/>
            <w:tcMar>
              <w:top w:type="dxa" w:w="60"/>
              <w:left w:type="dxa" w:w="100"/>
              <w:bottom w:type="dxa" w:w="60"/>
              <w:right w:type="dxa" w:w="100"/>
            </w:tcMar>
          </w:tcPr>
          <w:p>
            <w:pPr>
              <w:spacing w:after="0" w:line="264"/>
              <w:jc w:val="center"/>
            </w:pPr>
            <w:r>
              <w:rPr>
                <w:rFonts w:ascii="Calibri" w:cs="Calibri" w:eastAsia="Calibri" w:hAnsi="Calibri"/>
                <w:b w:val="false"/>
                <w:bCs w:val="false"/>
                <w:color w:val="000000"/>
                <w:sz w:val="20"/>
                <w:szCs w:val="20"/>
              </w:rPr>
              <w:t xml:space="preserve">−0.063</w:t>
            </w:r>
          </w:p>
        </w:tc>
        <w:tc>
          <w:tcPr>
            <w:tcW w:type="dxa" w:w="1500"/>
            <w:tcMar>
              <w:top w:type="dxa" w:w="60"/>
              <w:left w:type="dxa" w:w="100"/>
              <w:bottom w:type="dxa" w:w="60"/>
              <w:right w:type="dxa" w:w="100"/>
            </w:tcMar>
          </w:tcPr>
          <w:p>
            <w:pPr>
              <w:spacing w:after="0" w:line="264"/>
              <w:jc w:val="center"/>
            </w:pPr>
            <w:r>
              <w:rPr>
                <w:rFonts w:ascii="Calibri" w:cs="Calibri" w:eastAsia="Calibri" w:hAnsi="Calibri"/>
                <w:b w:val="false"/>
                <w:bCs w:val="false"/>
                <w:color w:val="000000"/>
                <w:sz w:val="20"/>
                <w:szCs w:val="20"/>
              </w:rPr>
              <w:t xml:space="preserve">+0.056</w:t>
            </w:r>
          </w:p>
        </w:tc>
        <w:tc>
          <w:tcPr>
            <w:tcW w:type="dxa" w:w="1500"/>
            <w:tcMar>
              <w:top w:type="dxa" w:w="60"/>
              <w:left w:type="dxa" w:w="100"/>
              <w:bottom w:type="dxa" w:w="60"/>
              <w:right w:type="dxa" w:w="100"/>
            </w:tcMar>
          </w:tcPr>
          <w:p>
            <w:pPr>
              <w:spacing w:after="0" w:line="264"/>
              <w:jc w:val="center"/>
            </w:pPr>
            <w:r>
              <w:rPr>
                <w:rFonts w:ascii="Calibri" w:cs="Calibri" w:eastAsia="Calibri" w:hAnsi="Calibri"/>
                <w:b w:val="false"/>
                <w:bCs w:val="false"/>
                <w:color w:val="000000"/>
                <w:sz w:val="20"/>
                <w:szCs w:val="20"/>
              </w:rPr>
              <w:t xml:space="preserve">+0.139</w:t>
            </w:r>
          </w:p>
        </w:tc>
      </w:tr>
    </w:tbl>
    <w:p>
      <w:pPr>
        <w:spacing w:after="140" w:before="120"/>
      </w:pPr>
      <w:r>
        <w:rPr>
          <w:rFonts w:ascii="Calibri" w:cs="Calibri" w:eastAsia="Calibri" w:hAnsi="Calibri"/>
          <w:sz w:val="22"/>
          <w:szCs w:val="22"/>
        </w:rPr>
        <w:t xml:space="preserve">On the full harbor sample (n = 3,581) the improvement is smaller but in the same direction (R² +0.024, AUC +0.053, PR-AUC +0.121). The added block is significant: with year fixed effects, regression of log</w:t>
      </w:r>
      <w:r>
        <w:rPr>
          <w:rFonts w:ascii="Calibri" w:cs="Calibri" w:eastAsia="Calibri" w:hAnsi="Calibri"/>
          <w:sz w:val="16"/>
          <w:szCs w:val="16"/>
        </w:rPr>
        <w:t xml:space="preserve">10</w:t>
      </w:r>
      <w:r>
        <w:rPr>
          <w:rFonts w:ascii="Calibri" w:cs="Calibri" w:eastAsia="Calibri" w:hAnsi="Calibri"/>
          <w:sz w:val="22"/>
          <w:szCs w:val="22"/>
        </w:rPr>
        <w:t xml:space="preserve">(Enterococcus) rises from adjusted R² 0.335 to 0.386 (partial-F = 22.4, p &lt; 0.001), and exceedance pseudo-R² rises from 0.273 to 0.344 (likelihood-ratio chi² = 200, p &lt; 0.001). The improvement is stable across random seeds and models (Random Forest change in R² = +0.116, Gradient Boosting +0.072).</w:t>
      </w:r>
    </w:p>
    <w:p>
      <w:pPr>
        <w:spacing w:after="40" w:before="80"/>
        <w:jc w:val="center"/>
      </w:pPr>
      <w:r>
        <w:drawing>
          <wp:inline distT="0" distB="0" distL="0" distR="0">
            <wp:extent cx="5905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143125"/>
                    </a:xfrm>
                    <a:prstGeom prst="rect">
                      <a:avLst/>
                    </a:prstGeom>
                  </pic:spPr>
                </pic:pic>
              </a:graphicData>
            </a:graphic>
          </wp:inline>
        </w:drawing>
      </w:r>
    </w:p>
    <w:p>
      <w:pPr>
        <w:spacing w:after="200"/>
        <w:jc w:val="center"/>
      </w:pPr>
      <w:r>
        <w:rPr>
          <w:rFonts w:ascii="Calibri" w:cs="Calibri" w:eastAsia="Calibri" w:hAnsi="Calibri"/>
          <w:b/>
          <w:bCs/>
          <w:color w:val="595959"/>
          <w:sz w:val="18"/>
          <w:szCs w:val="18"/>
        </w:rPr>
        <w:t xml:space="preserve">Figure 1. </w:t>
      </w:r>
      <w:r>
        <w:rPr>
          <w:rFonts w:ascii="Calibri" w:cs="Calibri" w:eastAsia="Calibri" w:hAnsi="Calibri"/>
          <w:color w:val="595959"/>
          <w:sz w:val="18"/>
          <w:szCs w:val="18"/>
        </w:rPr>
        <w:t xml:space="preserve">Nested-model comparison on the matched subset, year-blocked cross-validation. Adding upstream nontidal data raises both regression skill and exceedance AUC over the harbor-only baseline.</w:t>
      </w:r>
    </w:p>
    <w:p>
      <w:pPr>
        <w:spacing w:after="40" w:before="80"/>
        <w:jc w:val="center"/>
      </w:pPr>
      <w:r>
        <w:drawing>
          <wp:inline distT="0" distB="0" distL="0" distR="0">
            <wp:extent cx="447675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2457450"/>
                    </a:xfrm>
                    <a:prstGeom prst="rect">
                      <a:avLst/>
                    </a:prstGeom>
                  </pic:spPr>
                </pic:pic>
              </a:graphicData>
            </a:graphic>
          </wp:inline>
        </w:drawing>
      </w:r>
    </w:p>
    <w:p>
      <w:pPr>
        <w:spacing w:after="200"/>
        <w:jc w:val="center"/>
      </w:pPr>
      <w:r>
        <w:rPr>
          <w:rFonts w:ascii="Calibri" w:cs="Calibri" w:eastAsia="Calibri" w:hAnsi="Calibri"/>
          <w:b/>
          <w:bCs/>
          <w:color w:val="595959"/>
          <w:sz w:val="18"/>
          <w:szCs w:val="18"/>
        </w:rPr>
        <w:t xml:space="preserve">Figure 2. </w:t>
      </w:r>
      <w:r>
        <w:rPr>
          <w:rFonts w:ascii="Calibri" w:cs="Calibri" w:eastAsia="Calibri" w:hAnsi="Calibri"/>
          <w:color w:val="595959"/>
          <w:sz w:val="18"/>
          <w:szCs w:val="18"/>
        </w:rPr>
        <w:t xml:space="preserve">The share of harbor samples exceeding 104 MPN/100 mL rises steadily with same-week upstream stream Enterococcus, from about 1% to about 38%.</w:t>
      </w:r>
    </w:p>
    <w:p>
      <w:pPr>
        <w:spacing w:after="40" w:before="80"/>
        <w:jc w:val="center"/>
      </w:pPr>
      <w:r>
        <w:drawing>
          <wp:inline distT="0" distB="0" distL="0" distR="0">
            <wp:extent cx="447675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524125"/>
                    </a:xfrm>
                    <a:prstGeom prst="rect">
                      <a:avLst/>
                    </a:prstGeom>
                  </pic:spPr>
                </pic:pic>
              </a:graphicData>
            </a:graphic>
          </wp:inline>
        </w:drawing>
      </w:r>
    </w:p>
    <w:p>
      <w:pPr>
        <w:spacing w:after="200"/>
        <w:jc w:val="center"/>
      </w:pPr>
      <w:r>
        <w:rPr>
          <w:rFonts w:ascii="Calibri" w:cs="Calibri" w:eastAsia="Calibri" w:hAnsi="Calibri"/>
          <w:b/>
          <w:bCs/>
          <w:color w:val="595959"/>
          <w:sz w:val="18"/>
          <w:szCs w:val="18"/>
        </w:rPr>
        <w:t xml:space="preserve">Figure 3. </w:t>
      </w:r>
      <w:r>
        <w:rPr>
          <w:rFonts w:ascii="Calibri" w:cs="Calibri" w:eastAsia="Calibri" w:hAnsi="Calibri"/>
          <w:color w:val="595959"/>
          <w:sz w:val="18"/>
          <w:szCs w:val="18"/>
        </w:rPr>
        <w:t xml:space="preserve">Random-Forest importance. Upstream stream Enterococcus (Jones Falls, pooled network) is the strongest added predictor, followed by stream turbidity and phosphorus.</w:t>
      </w:r>
    </w:p>
    <w:p>
      <w:pPr>
        <w:pStyle w:val="Heading2"/>
        <w:spacing w:after="120" w:before="240"/>
      </w:pPr>
      <w:r>
        <w:rPr>
          <w:rFonts w:ascii="Calibri" w:cs="Calibri" w:eastAsia="Calibri" w:hAnsi="Calibri"/>
          <w:b/>
          <w:bCs/>
          <w:color w:val="1F3B63"/>
        </w:rPr>
        <w:t xml:space="preserve">Interpretation</w:t>
      </w:r>
    </w:p>
    <w:p>
      <w:pPr>
        <w:spacing w:after="140" w:line="276"/>
      </w:pPr>
      <w:r>
        <w:rPr>
          <w:rFonts w:ascii="Calibri" w:cs="Calibri" w:eastAsia="Calibri" w:hAnsi="Calibri"/>
          <w:sz w:val="22"/>
          <w:szCs w:val="22"/>
        </w:rPr>
        <w:t xml:space="preserve">Adding nontidal stream data clearly improves prediction of harbor </w:t>
      </w:r>
      <w:r>
        <w:rPr>
          <w:rFonts w:ascii="Calibri" w:cs="Calibri" w:eastAsia="Calibri" w:hAnsi="Calibri"/>
          <w:i/>
          <w:iCs/>
          <w:sz w:val="22"/>
          <w:szCs w:val="22"/>
        </w:rPr>
        <w:t xml:space="preserve">Enterococcus</w:t>
      </w:r>
      <w:r>
        <w:rPr>
          <w:rFonts w:ascii="Calibri" w:cs="Calibri" w:eastAsia="Calibri" w:hAnsi="Calibri"/>
          <w:sz w:val="22"/>
          <w:szCs w:val="22"/>
        </w:rPr>
        <w:t xml:space="preserve">, and upstream data alone (T3) predicts almost as well as the harbor’s own chemistry, which is useful where harbor chemistry is limited. The strongest signal is the streams’ own bacteria, consistent with the streams carrying a load that the harbor then registers.</w:t>
      </w:r>
    </w:p>
    <w:p>
      <w:pPr>
        <w:spacing w:after="140" w:line="276"/>
      </w:pPr>
      <w:r>
        <w:rPr>
          <w:rFonts w:ascii="Calibri" w:cs="Calibri" w:eastAsia="Calibri" w:hAnsi="Calibri"/>
          <w:sz w:val="22"/>
          <w:szCs w:val="22"/>
        </w:rPr>
        <w:t xml:space="preserve">One caveat: upstream bacteria are rain-driven, so some of this improvement may overlap with the antecedent-rainfall signal that was strong in the harbor in Section 1. Adding the rainfall term to the baseline before comparing T1 and T2 would separate the stream-transport effect from shared weather, and is the recommended next step. The daily USGS discharge series, once available, plugs into the same upstream feature set to test whether streamflow adds anything on top of stream chemistry.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27a18bc1fd961745d8f60b7c5aaf0a1f6c592f5.png"/><Relationship Id="rId8" Type="http://schemas.openxmlformats.org/officeDocument/2006/relationships/image" Target="media/72156d7b82a386a500589491ad38b0b85451fb6e.png"/><Relationship Id="rId9" Type="http://schemas.openxmlformats.org/officeDocument/2006/relationships/image" Target="media/a8ca9df5c5cf02e41567162246bdb8df9ccf9b5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2026-09-21T14:27:48.898Z</dcterms:created>
  <dcterms:modified xsi:type="dcterms:W3CDTF">2026-09-21T14:27:48.919Z</dcterms:modified>
</cp:coreProperties>
</file>

<file path=docProps/custom.xml><?xml version="1.0" encoding="utf-8"?>
<Properties xmlns="http://schemas.openxmlformats.org/officeDocument/2006/custom-properties" xmlns:vt="http://schemas.openxmlformats.org/officeDocument/2006/docPropsVTypes"/>
</file>