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drawing>
          <wp:inline distT="0" distB="0" distL="0" distR="0">
            <wp:extent cx="2286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57250"/>
                    </a:xfrm>
                    <a:prstGeom prst="rect">
                      <a:avLst/>
                    </a:prstGeom>
                  </pic:spPr>
                </pic:pic>
              </a:graphicData>
            </a:graphic>
          </wp:inline>
        </w:drawing>
      </w:r>
    </w:p>
    <w:p>
      <w:pPr>
        <w:spacing w:before="500"/>
        <w:jc w:val="center"/>
      </w:pPr>
      <w:r>
        <w:rPr>
          <w:rFonts w:ascii="IBM Plex Sans" w:cs="IBM Plex Sans" w:eastAsia="IBM Plex Sans" w:hAnsi="IBM Plex Sans"/>
          <w:b/>
          <w:bCs/>
          <w:color w:val="5B6472"/>
          <w:spacing w:val="20"/>
          <w:sz w:val="22"/>
          <w:szCs w:val="22"/>
        </w:rPr>
        <w:t xml:space="preserve">PRODUCT REQUIREMENTS DOCUMENT</w:t>
      </w:r>
    </w:p>
    <w:p>
      <w:pPr>
        <w:spacing w:before="160"/>
        <w:jc w:val="center"/>
      </w:pPr>
      <w:r>
        <w:rPr>
          <w:rFonts w:ascii="Sora" w:cs="Sora" w:eastAsia="Sora" w:hAnsi="Sora"/>
          <w:b/>
          <w:bCs/>
          <w:color w:val="1B2F86"/>
          <w:sz w:val="64"/>
          <w:szCs w:val="64"/>
        </w:rPr>
        <w:t xml:space="preserve">WellNest AI</w:t>
      </w:r>
    </w:p>
    <w:p>
      <w:pPr>
        <w:spacing w:after="500" w:before="120"/>
        <w:jc w:val="center"/>
      </w:pPr>
      <w:r>
        <w:rPr>
          <w:rFonts w:ascii="Sora" w:cs="Sora" w:eastAsia="Sora" w:hAnsi="Sora"/>
          <w:i/>
          <w:iCs/>
          <w:color w:val="2E9B4F"/>
          <w:sz w:val="26"/>
          <w:szCs w:val="26"/>
        </w:rPr>
        <w:t xml:space="preserve">Understand. Track. Heal Together.</w:t>
      </w:r>
    </w:p>
    <w:p>
      <w:pPr>
        <w:spacing w:before="900"/>
        <w:jc w:val="center"/>
      </w:pPr>
      <w:r>
        <w:rPr>
          <w:rFonts w:ascii="IBM Plex Sans" w:cs="IBM Plex Sans" w:eastAsia="IBM Plex Sans" w:hAnsi="IBM Plex Sans"/>
          <w:color w:val="5B6472"/>
          <w:sz w:val="21"/>
          <w:szCs w:val="21"/>
        </w:rPr>
        <w:t xml:space="preserve">Version 1.0 — Hackathon MVP</w:t>
      </w:r>
    </w:p>
    <w:p>
      <w:pPr>
        <w:jc w:val="center"/>
      </w:pPr>
      <w:r>
        <w:rPr>
          <w:rFonts w:ascii="IBM Plex Sans" w:cs="IBM Plex Sans" w:eastAsia="IBM Plex Sans" w:hAnsi="IBM Plex Sans"/>
          <w:color w:val="5B6472"/>
          <w:sz w:val="21"/>
          <w:szCs w:val="21"/>
        </w:rPr>
        <w:t xml:space="preserve">WeTech AI Hackathon 2026 · Track: Social Impact — Healthcare</w:t>
      </w:r>
    </w:p>
    <w:p>
      <w:pPr>
        <w:spacing w:before="40"/>
        <w:jc w:val="center"/>
      </w:pPr>
      <w:r>
        <w:rPr>
          <w:rFonts w:ascii="IBM Plex Sans" w:cs="IBM Plex Sans" w:eastAsia="IBM Plex Sans" w:hAnsi="IBM Plex Sans"/>
          <w:color w:val="5B6472"/>
          <w:sz w:val="21"/>
          <w:szCs w:val="21"/>
        </w:rPr>
        <w:t xml:space="preserve">Prepared by Team WellNest</w:t>
      </w:r>
    </w:p>
    <w:p>
      <w:pPr>
        <w:spacing w:before="40"/>
        <w:jc w:val="center"/>
      </w:pPr>
      <w:r>
        <w:rPr>
          <w:rFonts w:ascii="IBM Plex Sans" w:cs="IBM Plex Sans" w:eastAsia="IBM Plex Sans" w:hAnsi="IBM Plex Sans"/>
          <w:color w:val="5B6472"/>
          <w:sz w:val="21"/>
          <w:szCs w:val="21"/>
        </w:rPr>
        <w:t xml:space="preserve">September 2026</w:t>
      </w:r>
    </w:p>
    <w:p>
      <w:r>
        <w:br w:type="page"/>
      </w:r>
    </w:p>
    <w:p>
      <w:pPr>
        <w:sectPr>
          <w:pgSz w:w="11906" w:h="16838" w:orient="portrait"/>
          <w:pgMar w:top="900" w:right="1000" w:bottom="900" w:left="1000" w:header="708" w:footer="708" w:gutter="0"/>
          <w:pgNumType/>
          <w:docGrid w:linePitch="360"/>
        </w:sectPr>
      </w:pPr>
    </w:p>
    <w:p>
      <w:pPr>
        <w:pStyle w:val="Heading1"/>
        <w:spacing w:after="200" w:before="420"/>
      </w:pPr>
      <w:r>
        <w:rPr>
          <w:rFonts w:ascii="Sora" w:cs="Sora" w:eastAsia="Sora" w:hAnsi="Sora"/>
          <w:b/>
          <w:bCs/>
          <w:color w:val="1B2F86"/>
        </w:rPr>
        <w:t xml:space="preserve">Contents</w:t>
      </w:r>
    </w:p>
    <w:p>
      <w:pPr>
        <w:spacing w:after="160"/>
      </w:pPr>
      <w:r>
        <w:rPr>
          <w:rFonts w:ascii="IBM Plex Sans" w:cs="IBM Plex Sans" w:eastAsia="IBM Plex Sans" w:hAnsi="IBM Plex Sans"/>
          <w:i/>
          <w:iCs/>
          <w:color w:val="5B6472"/>
          <w:sz w:val="18"/>
          <w:szCs w:val="18"/>
        </w:rPr>
        <w:t xml:space="preserve">(Right-click below and choose “Update Field” — or press Ctrl+A then F9 — to generate the page list.)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rPr>
          <w:rFonts w:ascii="Sora" w:cs="Sora" w:eastAsia="Sora" w:hAnsi="Sora"/>
          <w:b/>
          <w:bCs/>
          <w:color w:val="1B2F86"/>
        </w:rPr>
        <w:t xml:space="preserve">1. Product Overview</w:t>
      </w:r>
    </w:p>
    <w:p>
      <w:pPr>
        <w:spacing w:after="80"/>
      </w:pPr>
      <w:r>
        <w:rPr>
          <w:rFonts w:ascii="IBM Plex Sans" w:cs="IBM Plex Sans" w:eastAsia="IBM Plex Sans" w:hAnsi="IBM Plex Sans"/>
          <w:b/>
          <w:bCs/>
          <w:color w:val="14171F"/>
          <w:sz w:val="21"/>
          <w:szCs w:val="21"/>
        </w:rPr>
        <w:t xml:space="preserve">Product name: </w:t>
      </w:r>
      <w:r>
        <w:rPr>
          <w:rFonts w:ascii="IBM Plex Sans" w:cs="IBM Plex Sans" w:eastAsia="IBM Plex Sans" w:hAnsi="IBM Plex Sans"/>
          <w:color w:val="5B6472"/>
          <w:sz w:val="21"/>
          <w:szCs w:val="21"/>
        </w:rPr>
        <w:t xml:space="preserve">WellNest AI</w:t>
      </w:r>
    </w:p>
    <w:p>
      <w:pPr>
        <w:spacing w:after="160" w:line="280"/>
      </w:pPr>
      <w:r>
        <w:rPr>
          <w:rFonts w:ascii="IBM Plex Sans" w:cs="IBM Plex Sans" w:eastAsia="IBM Plex Sans" w:hAnsi="IBM Plex Sans"/>
          <w:color w:val="14171F"/>
          <w:sz w:val="21"/>
          <w:szCs w:val="21"/>
        </w:rPr>
        <w:t xml:space="preserve">WellNest AI is an AI-powered healthcare companion that helps patients and caregivers understand medical information, manage medications, track treatment plans, and navigate their healthcare journey with confidence.</w:t>
      </w:r>
    </w:p>
    <w:p>
      <w:pPr>
        <w:spacing w:after="160" w:line="280"/>
      </w:pPr>
      <w:r>
        <w:rPr>
          <w:rFonts w:ascii="IBM Plex Sans" w:cs="IBM Plex Sans" w:eastAsia="IBM Plex Sans" w:hAnsi="IBM Plex Sans"/>
          <w:color w:val="14171F"/>
          <w:sz w:val="21"/>
          <w:szCs w:val="21"/>
        </w:rPr>
        <w:t xml:space="preserve">Rather than functioning as a general AI chatbot, WellNest is designed to become a patient's long-term healthcare companion by organizing medical records into a personalised health journey and providing actionable guidance after every hospital visit.</w:t>
      </w:r>
    </w:p>
    <w:p>
      <w:pPr>
        <w:pStyle w:val="Heading1"/>
        <w:spacing w:after="200" w:before="420"/>
      </w:pPr>
      <w:r>
        <w:rPr>
          <w:rFonts w:ascii="Sora" w:cs="Sora" w:eastAsia="Sora" w:hAnsi="Sora"/>
          <w:b/>
          <w:bCs/>
          <w:color w:val="1B2F86"/>
        </w:rPr>
        <w:t xml:space="preserve">2. Problem Statement</w:t>
      </w:r>
    </w:p>
    <w:p>
      <w:pPr>
        <w:spacing w:after="160" w:line="280"/>
      </w:pPr>
      <w:r>
        <w:rPr>
          <w:rFonts w:ascii="IBM Plex Sans" w:cs="IBM Plex Sans" w:eastAsia="IBM Plex Sans" w:hAnsi="IBM Plex Sans"/>
          <w:color w:val="14171F"/>
          <w:sz w:val="21"/>
          <w:szCs w:val="21"/>
        </w:rPr>
        <w:t xml:space="preserve">Every day, patients leave hospitals, clinics, and pharmacies with prescriptions, diagnoses, lab reports, and treatment plans they do not fully understand. Medical information is often filled with technical terminology, delivered within short consultation times, and stored across paper documents or different messaging platforms. This results in patients making avoidable mistakes during treatment.</w:t>
      </w:r>
    </w:p>
    <w:p>
      <w:pPr>
        <w:pStyle w:val="Heading3"/>
        <w:spacing w:after="100" w:before="200"/>
      </w:pPr>
      <w:r>
        <w:rPr>
          <w:rFonts w:ascii="Sora" w:cs="Sora" w:eastAsia="Sora" w:hAnsi="Sora"/>
          <w:b/>
          <w:bCs/>
          <w:color w:val="2C49C0"/>
          <w:sz w:val="22"/>
          <w:szCs w:val="22"/>
        </w:rPr>
        <w:t xml:space="preserve">Challenges patients face</w:t>
      </w:r>
    </w:p>
    <w:p>
      <w:pPr>
        <w:pStyle w:val="ListParagraph"/>
        <w:numPr>
          <w:ilvl w:val="0"/>
          <w:numId w:val="2"/>
        </w:numPr>
        <w:spacing w:after="80"/>
      </w:pPr>
      <w:r>
        <w:rPr>
          <w:rFonts w:ascii="IBM Plex Sans" w:cs="IBM Plex Sans" w:eastAsia="IBM Plex Sans" w:hAnsi="IBM Plex Sans"/>
          <w:color w:val="14171F"/>
          <w:sz w:val="21"/>
          <w:szCs w:val="21"/>
        </w:rPr>
        <w:t xml:space="preserve">Difficulty understanding diagnoses and medical terms</w:t>
      </w:r>
    </w:p>
    <w:p>
      <w:pPr>
        <w:pStyle w:val="ListParagraph"/>
        <w:numPr>
          <w:ilvl w:val="0"/>
          <w:numId w:val="2"/>
        </w:numPr>
        <w:spacing w:after="80"/>
      </w:pPr>
      <w:r>
        <w:rPr>
          <w:rFonts w:ascii="IBM Plex Sans" w:cs="IBM Plex Sans" w:eastAsia="IBM Plex Sans" w:hAnsi="IBM Plex Sans"/>
          <w:color w:val="14171F"/>
          <w:sz w:val="21"/>
          <w:szCs w:val="21"/>
        </w:rPr>
        <w:t xml:space="preserve">Confusion about medications and dosage instructions</w:t>
      </w:r>
    </w:p>
    <w:p>
      <w:pPr>
        <w:pStyle w:val="ListParagraph"/>
        <w:numPr>
          <w:ilvl w:val="0"/>
          <w:numId w:val="2"/>
        </w:numPr>
        <w:spacing w:after="80"/>
      </w:pPr>
      <w:r>
        <w:rPr>
          <w:rFonts w:ascii="IBM Plex Sans" w:cs="IBM Plex Sans" w:eastAsia="IBM Plex Sans" w:hAnsi="IBM Plex Sans"/>
          <w:color w:val="14171F"/>
          <w:sz w:val="21"/>
          <w:szCs w:val="21"/>
        </w:rPr>
        <w:t xml:space="preserve">Missed appointments and follow-up care</w:t>
      </w:r>
    </w:p>
    <w:p>
      <w:pPr>
        <w:pStyle w:val="ListParagraph"/>
        <w:numPr>
          <w:ilvl w:val="0"/>
          <w:numId w:val="2"/>
        </w:numPr>
        <w:spacing w:after="80"/>
      </w:pPr>
      <w:r>
        <w:rPr>
          <w:rFonts w:ascii="IBM Plex Sans" w:cs="IBM Plex Sans" w:eastAsia="IBM Plex Sans" w:hAnsi="IBM Plex Sans"/>
          <w:color w:val="14171F"/>
          <w:sz w:val="21"/>
          <w:szCs w:val="21"/>
        </w:rPr>
        <w:t xml:space="preserve">Poor medication adherence</w:t>
      </w:r>
    </w:p>
    <w:p>
      <w:pPr>
        <w:pStyle w:val="ListParagraph"/>
        <w:numPr>
          <w:ilvl w:val="0"/>
          <w:numId w:val="2"/>
        </w:numPr>
        <w:spacing w:after="80"/>
      </w:pPr>
      <w:r>
        <w:rPr>
          <w:rFonts w:ascii="IBM Plex Sans" w:cs="IBM Plex Sans" w:eastAsia="IBM Plex Sans" w:hAnsi="IBM Plex Sans"/>
          <w:color w:val="14171F"/>
          <w:sz w:val="21"/>
          <w:szCs w:val="21"/>
        </w:rPr>
        <w:t xml:space="preserve">Family caregivers lacking access to important health information</w:t>
      </w:r>
    </w:p>
    <w:p>
      <w:pPr>
        <w:pStyle w:val="ListParagraph"/>
        <w:numPr>
          <w:ilvl w:val="0"/>
          <w:numId w:val="2"/>
        </w:numPr>
        <w:spacing w:after="80"/>
      </w:pPr>
      <w:r>
        <w:rPr>
          <w:rFonts w:ascii="IBM Plex Sans" w:cs="IBM Plex Sans" w:eastAsia="IBM Plex Sans" w:hAnsi="IBM Plex Sans"/>
          <w:color w:val="14171F"/>
          <w:sz w:val="21"/>
          <w:szCs w:val="21"/>
        </w:rPr>
        <w:t xml:space="preserve">Medical records scattered across different platforms</w:t>
      </w:r>
    </w:p>
    <w:p>
      <w:pPr>
        <w:pStyle w:val="Heading3"/>
        <w:spacing w:after="100" w:before="200"/>
      </w:pPr>
      <w:r>
        <w:rPr>
          <w:rFonts w:ascii="Sora" w:cs="Sora" w:eastAsia="Sora" w:hAnsi="Sora"/>
          <w:b/>
          <w:bCs/>
          <w:color w:val="2C49C0"/>
          <w:sz w:val="22"/>
          <w:szCs w:val="22"/>
        </w:rPr>
        <w:t xml:space="preserve">Opportunity</w:t>
      </w:r>
    </w:p>
    <w:p>
      <w:pPr>
        <w:spacing w:after="160" w:line="280"/>
      </w:pPr>
      <w:r>
        <w:rPr>
          <w:rFonts w:ascii="IBM Plex Sans" w:cs="IBM Plex Sans" w:eastAsia="IBM Plex Sans" w:hAnsi="IBM Plex Sans"/>
          <w:color w:val="14171F"/>
          <w:sz w:val="21"/>
          <w:szCs w:val="21"/>
        </w:rPr>
        <w:t xml:space="preserve">Patients should not leave healthcare facilities confused about their own care.</w:t>
      </w:r>
    </w:p>
    <w:p>
      <w:pPr>
        <w:pStyle w:val="Heading1"/>
        <w:spacing w:after="200" w:before="420"/>
      </w:pPr>
      <w:r>
        <w:rPr>
          <w:rFonts w:ascii="Sora" w:cs="Sora" w:eastAsia="Sora" w:hAnsi="Sora"/>
          <w:b/>
          <w:bCs/>
          <w:color w:val="1B2F86"/>
        </w:rPr>
        <w:t xml:space="preserve">3. Vision Statement</w:t>
      </w:r>
    </w:p>
    <w:p>
      <w:pPr>
        <w:pBdr>
          <w:left w:val="single" w:color="2C49C0" w:sz="24" w:space="8"/>
        </w:pBdr>
        <w:spacing w:after="200"/>
        <w:ind w:left="200"/>
      </w:pPr>
      <w:r>
        <w:rPr>
          <w:rFonts w:ascii="Sora" w:cs="Sora" w:eastAsia="Sora" w:hAnsi="Sora"/>
          <w:i/>
          <w:iCs/>
          <w:color w:val="1B2F86"/>
          <w:sz w:val="23"/>
          <w:szCs w:val="23"/>
        </w:rPr>
        <w:t xml:space="preserve">No patient should leave a healthcare facility confused about their care. WellNest empowers patients with understandable healthcare information and personalised next steps using AI.</w:t>
      </w:r>
    </w:p>
    <w:p>
      <w:pPr>
        <w:pStyle w:val="Heading1"/>
        <w:spacing w:after="200" w:before="420"/>
      </w:pPr>
      <w:r>
        <w:rPr>
          <w:rFonts w:ascii="Sora" w:cs="Sora" w:eastAsia="Sora" w:hAnsi="Sora"/>
          <w:b/>
          <w:bCs/>
          <w:color w:val="1B2F86"/>
        </w:rPr>
        <w:t xml:space="preserve">4. Product Goals</w:t>
      </w:r>
    </w:p>
    <w:p>
      <w:pPr>
        <w:pStyle w:val="Heading3"/>
        <w:spacing w:after="100" w:before="200"/>
      </w:pPr>
      <w:r>
        <w:rPr>
          <w:rFonts w:ascii="Sora" w:cs="Sora" w:eastAsia="Sora" w:hAnsi="Sora"/>
          <w:b/>
          <w:bCs/>
          <w:color w:val="2C49C0"/>
          <w:sz w:val="22"/>
          <w:szCs w:val="22"/>
        </w:rPr>
        <w:t xml:space="preserve">Primary goal</w:t>
      </w:r>
    </w:p>
    <w:p>
      <w:pPr>
        <w:spacing w:after="160" w:line="280"/>
      </w:pPr>
      <w:r>
        <w:rPr>
          <w:rFonts w:ascii="IBM Plex Sans" w:cs="IBM Plex Sans" w:eastAsia="IBM Plex Sans" w:hAnsi="IBM Plex Sans"/>
          <w:color w:val="14171F"/>
          <w:sz w:val="21"/>
          <w:szCs w:val="21"/>
        </w:rPr>
        <w:t xml:space="preserve">Help patients understand, organise, and manage their treatment journey through AI-powered healthcare guidance.</w:t>
      </w:r>
    </w:p>
    <w:p>
      <w:pPr>
        <w:pStyle w:val="Heading3"/>
        <w:spacing w:after="100" w:before="200"/>
      </w:pPr>
      <w:r>
        <w:rPr>
          <w:rFonts w:ascii="Sora" w:cs="Sora" w:eastAsia="Sora" w:hAnsi="Sora"/>
          <w:b/>
          <w:bCs/>
          <w:color w:val="2C49C0"/>
          <w:sz w:val="22"/>
          <w:szCs w:val="22"/>
        </w:rPr>
        <w:t xml:space="preserve">Secondary goals</w:t>
      </w:r>
    </w:p>
    <w:p>
      <w:pPr>
        <w:pStyle w:val="ListParagraph"/>
        <w:numPr>
          <w:ilvl w:val="0"/>
          <w:numId w:val="2"/>
        </w:numPr>
        <w:spacing w:after="80"/>
      </w:pPr>
      <w:r>
        <w:rPr>
          <w:rFonts w:ascii="IBM Plex Sans" w:cs="IBM Plex Sans" w:eastAsia="IBM Plex Sans" w:hAnsi="IBM Plex Sans"/>
          <w:color w:val="14171F"/>
          <w:sz w:val="21"/>
          <w:szCs w:val="21"/>
        </w:rPr>
        <w:t xml:space="preserve">Improve health literacy</w:t>
      </w:r>
    </w:p>
    <w:p>
      <w:pPr>
        <w:pStyle w:val="ListParagraph"/>
        <w:numPr>
          <w:ilvl w:val="0"/>
          <w:numId w:val="2"/>
        </w:numPr>
        <w:spacing w:after="80"/>
      </w:pPr>
      <w:r>
        <w:rPr>
          <w:rFonts w:ascii="IBM Plex Sans" w:cs="IBM Plex Sans" w:eastAsia="IBM Plex Sans" w:hAnsi="IBM Plex Sans"/>
          <w:color w:val="14171F"/>
          <w:sz w:val="21"/>
          <w:szCs w:val="21"/>
        </w:rPr>
        <w:t xml:space="preserve">Reduce medication errors</w:t>
      </w:r>
    </w:p>
    <w:p>
      <w:pPr>
        <w:pStyle w:val="ListParagraph"/>
        <w:numPr>
          <w:ilvl w:val="0"/>
          <w:numId w:val="2"/>
        </w:numPr>
        <w:spacing w:after="80"/>
      </w:pPr>
      <w:r>
        <w:rPr>
          <w:rFonts w:ascii="IBM Plex Sans" w:cs="IBM Plex Sans" w:eastAsia="IBM Plex Sans" w:hAnsi="IBM Plex Sans"/>
          <w:color w:val="14171F"/>
          <w:sz w:val="21"/>
          <w:szCs w:val="21"/>
        </w:rPr>
        <w:t xml:space="preserve">Increase treatment adherence</w:t>
      </w:r>
    </w:p>
    <w:p>
      <w:pPr>
        <w:pStyle w:val="ListParagraph"/>
        <w:numPr>
          <w:ilvl w:val="0"/>
          <w:numId w:val="2"/>
        </w:numPr>
        <w:spacing w:after="80"/>
      </w:pPr>
      <w:r>
        <w:rPr>
          <w:rFonts w:ascii="IBM Plex Sans" w:cs="IBM Plex Sans" w:eastAsia="IBM Plex Sans" w:hAnsi="IBM Plex Sans"/>
          <w:color w:val="14171F"/>
          <w:sz w:val="21"/>
          <w:szCs w:val="21"/>
        </w:rPr>
        <w:t xml:space="preserve">Support family caregivers</w:t>
      </w:r>
    </w:p>
    <w:p>
      <w:pPr>
        <w:pStyle w:val="ListParagraph"/>
        <w:numPr>
          <w:ilvl w:val="0"/>
          <w:numId w:val="2"/>
        </w:numPr>
        <w:spacing w:after="80"/>
      </w:pPr>
      <w:r>
        <w:rPr>
          <w:rFonts w:ascii="IBM Plex Sans" w:cs="IBM Plex Sans" w:eastAsia="IBM Plex Sans" w:hAnsi="IBM Plex Sans"/>
          <w:color w:val="14171F"/>
          <w:sz w:val="21"/>
          <w:szCs w:val="21"/>
        </w:rPr>
        <w:t xml:space="preserve">Simplify access to personal medical history</w:t>
      </w:r>
    </w:p>
    <w:p>
      <w:pPr>
        <w:pStyle w:val="Heading1"/>
        <w:spacing w:after="200" w:before="420"/>
      </w:pPr>
      <w:r>
        <w:rPr>
          <w:rFonts w:ascii="Sora" w:cs="Sora" w:eastAsia="Sora" w:hAnsi="Sora"/>
          <w:b/>
          <w:bCs/>
          <w:color w:val="1B2F86"/>
        </w:rPr>
        <w:t xml:space="preserve">5. Target Users</w:t>
      </w:r>
    </w:p>
    <w:p>
      <w:pPr>
        <w:pStyle w:val="Heading3"/>
        <w:spacing w:after="100" w:before="200"/>
      </w:pPr>
      <w:r>
        <w:rPr>
          <w:rFonts w:ascii="Sora" w:cs="Sora" w:eastAsia="Sora" w:hAnsi="Sora"/>
          <w:b/>
          <w:bCs/>
          <w:color w:val="2C49C0"/>
          <w:sz w:val="22"/>
          <w:szCs w:val="22"/>
        </w:rPr>
        <w:t xml:space="preserve">Primary users — Patients</w:t>
      </w:r>
    </w:p>
    <w:p>
      <w:pPr>
        <w:spacing w:after="160" w:line="280"/>
      </w:pPr>
      <w:r>
        <w:rPr>
          <w:rFonts w:ascii="IBM Plex Sans" w:cs="IBM Plex Sans" w:eastAsia="IBM Plex Sans" w:hAnsi="IBM Plex Sans"/>
          <w:color w:val="14171F"/>
          <w:sz w:val="21"/>
          <w:szCs w:val="21"/>
        </w:rPr>
        <w:t xml:space="preserve">Adults managing acute or chronic health conditions who need help understanding prescriptions, diagnoses, lab results, and treatment plans.</w:t>
      </w:r>
    </w:p>
    <w:p>
      <w:pPr>
        <w:pStyle w:val="Heading3"/>
        <w:spacing w:after="100" w:before="200"/>
      </w:pPr>
      <w:r>
        <w:rPr>
          <w:rFonts w:ascii="Sora" w:cs="Sora" w:eastAsia="Sora" w:hAnsi="Sora"/>
          <w:b/>
          <w:bCs/>
          <w:color w:val="2C49C0"/>
          <w:sz w:val="22"/>
          <w:szCs w:val="22"/>
        </w:rPr>
        <w:t xml:space="preserve">Secondary users — Caregivers</w:t>
      </w:r>
    </w:p>
    <w:p>
      <w:pPr>
        <w:spacing w:after="160" w:line="280"/>
      </w:pPr>
      <w:r>
        <w:rPr>
          <w:rFonts w:ascii="IBM Plex Sans" w:cs="IBM Plex Sans" w:eastAsia="IBM Plex Sans" w:hAnsi="IBM Plex Sans"/>
          <w:color w:val="14171F"/>
          <w:sz w:val="21"/>
          <w:szCs w:val="21"/>
        </w:rPr>
        <w:t xml:space="preserve">Family members responsible for helping parents, children, spouses, or elderly relatives manage medications and appointments.</w:t>
      </w:r>
    </w:p>
    <w:p>
      <w:pPr>
        <w:pStyle w:val="Heading1"/>
        <w:spacing w:after="200" w:before="420"/>
      </w:pPr>
      <w:r>
        <w:rPr>
          <w:rFonts w:ascii="Sora" w:cs="Sora" w:eastAsia="Sora" w:hAnsi="Sora"/>
          <w:b/>
          <w:bCs/>
          <w:color w:val="1B2F86"/>
        </w:rPr>
        <w:t xml:space="preserve">6. User Personas</w:t>
      </w:r>
    </w:p>
    <w:tbl>
      <w:tblPr>
        <w:tblW w:type="dxa" w:w="9350"/>
        <w:tblBorders>
          <w:top w:val="single" w:color="E3E7F0" w:sz="4"/>
          <w:left w:val="single" w:color="E3E7F0" w:sz="4"/>
          <w:bottom w:val="single" w:color="E3E7F0" w:sz="4"/>
          <w:right w:val="single" w:color="E3E7F0" w:sz="4"/>
          <w:insideH w:val="single" w:color="E3E7F0" w:sz="4"/>
          <w:insideV w:val="single" w:color="E3E7F0" w:sz="4"/>
        </w:tblBorders>
      </w:tblPr>
      <w:tblGrid>
        <w:gridCol w:w="4675"/>
        <w:gridCol w:w="4675"/>
      </w:tblGrid>
      <w:tr>
        <w:tc>
          <w:tcPr>
            <w:tcW w:type="dxa" w:w="9350"/>
            <w:gridSpan w:val="2"/>
            <w:shd w:fill="2C49C0" w:val="clear"/>
            <w:tcMar>
              <w:top w:type="dxa" w:w="120"/>
              <w:left w:type="dxa" w:w="160"/>
              <w:bottom w:type="dxa" w:w="120"/>
              <w:right w:type="dxa" w:w="160"/>
            </w:tcMar>
          </w:tcPr>
          <w:p>
            <w:r>
              <w:rPr>
                <w:rFonts w:ascii="Sora" w:cs="Sora" w:eastAsia="Sora" w:hAnsi="Sora"/>
                <w:b/>
                <w:bCs/>
                <w:color w:val="FFFFFF"/>
                <w:sz w:val="22"/>
                <w:szCs w:val="22"/>
              </w:rPr>
              <w:t xml:space="preserve">Sarah — Patient</w:t>
            </w:r>
            <w:r>
              <w:rPr>
                <w:rFonts w:ascii="IBM Plex Sans" w:cs="IBM Plex Sans" w:eastAsia="IBM Plex Sans" w:hAnsi="IBM Plex Sans"/>
                <w:color w:val="E7ECFB"/>
                <w:sz w:val="20"/>
                <w:szCs w:val="20"/>
              </w:rPr>
              <w:t xml:space="preserve">   ·   Age 45</w:t>
            </w:r>
          </w:p>
        </w:tc>
      </w:tr>
      <w:tr>
        <w:tc>
          <w:tcPr>
            <w:tcW w:type="dxa" w:w="4675"/>
            <w:tcMar>
              <w:top w:type="dxa" w:w="140"/>
              <w:left w:type="dxa" w:w="160"/>
              <w:bottom w:type="dxa" w:w="140"/>
              <w:right w:type="dxa" w:w="160"/>
            </w:tcMar>
          </w:tcPr>
          <w:p>
            <w:r>
              <w:rPr>
                <w:rFonts w:ascii="IBM Plex Sans" w:cs="IBM Plex Sans" w:eastAsia="IBM Plex Sans" w:hAnsi="IBM Plex Sans"/>
                <w:b/>
                <w:bCs/>
                <w:color w:val="2E9B4F"/>
                <w:sz w:val="20"/>
                <w:szCs w:val="20"/>
              </w:rPr>
              <w:t xml:space="preserve">Needs</w:t>
            </w:r>
          </w:p>
          <w:p>
            <w:pPr>
              <w:pStyle w:val="ListParagraph"/>
              <w:numPr>
                <w:ilvl w:val="0"/>
                <w:numId w:val="2"/>
              </w:numPr>
              <w:spacing w:after="80"/>
            </w:pPr>
            <w:r>
              <w:rPr>
                <w:rFonts w:ascii="IBM Plex Sans" w:cs="IBM Plex Sans" w:eastAsia="IBM Plex Sans" w:hAnsi="IBM Plex Sans"/>
                <w:color w:val="14171F"/>
                <w:sz w:val="21"/>
                <w:szCs w:val="21"/>
              </w:rPr>
              <w:t xml:space="preserve">Understand her diagnosis</w:t>
            </w:r>
          </w:p>
          <w:p>
            <w:pPr>
              <w:pStyle w:val="ListParagraph"/>
              <w:numPr>
                <w:ilvl w:val="0"/>
                <w:numId w:val="2"/>
              </w:numPr>
              <w:spacing w:after="80"/>
            </w:pPr>
            <w:r>
              <w:rPr>
                <w:rFonts w:ascii="IBM Plex Sans" w:cs="IBM Plex Sans" w:eastAsia="IBM Plex Sans" w:hAnsi="IBM Plex Sans"/>
                <w:color w:val="14171F"/>
                <w:sz w:val="21"/>
                <w:szCs w:val="21"/>
              </w:rPr>
              <w:t xml:space="preserve">Know when and how to take medication</w:t>
            </w:r>
          </w:p>
          <w:p>
            <w:pPr>
              <w:pStyle w:val="ListParagraph"/>
              <w:numPr>
                <w:ilvl w:val="0"/>
                <w:numId w:val="2"/>
              </w:numPr>
              <w:spacing w:after="80"/>
            </w:pPr>
            <w:r>
              <w:rPr>
                <w:rFonts w:ascii="IBM Plex Sans" w:cs="IBM Plex Sans" w:eastAsia="IBM Plex Sans" w:hAnsi="IBM Plex Sans"/>
                <w:color w:val="14171F"/>
                <w:sz w:val="21"/>
                <w:szCs w:val="21"/>
              </w:rPr>
              <w:t xml:space="preserve">Track appointments and treatment progress</w:t>
            </w:r>
          </w:p>
        </w:tc>
        <w:tc>
          <w:tcPr>
            <w:tcW w:type="dxa" w:w="4675"/>
            <w:tcMar>
              <w:top w:type="dxa" w:w="140"/>
              <w:left w:type="dxa" w:w="160"/>
              <w:bottom w:type="dxa" w:w="140"/>
              <w:right w:type="dxa" w:w="160"/>
            </w:tcMar>
          </w:tcPr>
          <w:p>
            <w:r>
              <w:rPr>
                <w:rFonts w:ascii="IBM Plex Sans" w:cs="IBM Plex Sans" w:eastAsia="IBM Plex Sans" w:hAnsi="IBM Plex Sans"/>
                <w:b/>
                <w:bCs/>
                <w:color w:val="D5473D"/>
                <w:sz w:val="20"/>
                <w:szCs w:val="20"/>
              </w:rPr>
              <w:t xml:space="preserve">Pain points</w:t>
            </w:r>
          </w:p>
          <w:p>
            <w:pPr>
              <w:pStyle w:val="ListParagraph"/>
              <w:numPr>
                <w:ilvl w:val="0"/>
                <w:numId w:val="2"/>
              </w:numPr>
              <w:spacing w:after="80"/>
            </w:pPr>
            <w:r>
              <w:rPr>
                <w:rFonts w:ascii="IBM Plex Sans" w:cs="IBM Plex Sans" w:eastAsia="IBM Plex Sans" w:hAnsi="IBM Plex Sans"/>
                <w:color w:val="14171F"/>
                <w:sz w:val="21"/>
                <w:szCs w:val="21"/>
              </w:rPr>
              <w:t xml:space="preserve">Medical jargon is difficult to understand</w:t>
            </w:r>
          </w:p>
          <w:p>
            <w:pPr>
              <w:pStyle w:val="ListParagraph"/>
              <w:numPr>
                <w:ilvl w:val="0"/>
                <w:numId w:val="2"/>
              </w:numPr>
              <w:spacing w:after="80"/>
            </w:pPr>
            <w:r>
              <w:rPr>
                <w:rFonts w:ascii="IBM Plex Sans" w:cs="IBM Plex Sans" w:eastAsia="IBM Plex Sans" w:hAnsi="IBM Plex Sans"/>
                <w:color w:val="14171F"/>
                <w:sz w:val="21"/>
                <w:szCs w:val="21"/>
              </w:rPr>
              <w:t xml:space="preserve">Forgetting medication schedules</w:t>
            </w:r>
          </w:p>
          <w:p>
            <w:pPr>
              <w:pStyle w:val="ListParagraph"/>
              <w:numPr>
                <w:ilvl w:val="0"/>
                <w:numId w:val="2"/>
              </w:numPr>
              <w:spacing w:after="80"/>
            </w:pPr>
            <w:r>
              <w:rPr>
                <w:rFonts w:ascii="IBM Plex Sans" w:cs="IBM Plex Sans" w:eastAsia="IBM Plex Sans" w:hAnsi="IBM Plex Sans"/>
                <w:color w:val="14171F"/>
                <w:sz w:val="21"/>
                <w:szCs w:val="21"/>
              </w:rPr>
              <w:t xml:space="preserve">Paper medical records are easily misplaced</w:t>
            </w:r>
          </w:p>
        </w:tc>
      </w:tr>
    </w:tbl>
    <w:p>
      <w:pPr>
        <w:spacing w:after="200"/>
      </w:pPr>
    </w:p>
    <w:tbl>
      <w:tblPr>
        <w:tblW w:type="dxa" w:w="9350"/>
        <w:tblBorders>
          <w:top w:val="single" w:color="E3E7F0" w:sz="4"/>
          <w:left w:val="single" w:color="E3E7F0" w:sz="4"/>
          <w:bottom w:val="single" w:color="E3E7F0" w:sz="4"/>
          <w:right w:val="single" w:color="E3E7F0" w:sz="4"/>
          <w:insideH w:val="single" w:color="E3E7F0" w:sz="4"/>
          <w:insideV w:val="single" w:color="E3E7F0" w:sz="4"/>
        </w:tblBorders>
      </w:tblPr>
      <w:tblGrid>
        <w:gridCol w:w="4675"/>
        <w:gridCol w:w="4675"/>
      </w:tblGrid>
      <w:tr>
        <w:tc>
          <w:tcPr>
            <w:tcW w:type="dxa" w:w="9350"/>
            <w:gridSpan w:val="2"/>
            <w:shd w:fill="2C49C0" w:val="clear"/>
            <w:tcMar>
              <w:top w:type="dxa" w:w="120"/>
              <w:left w:type="dxa" w:w="160"/>
              <w:bottom w:type="dxa" w:w="120"/>
              <w:right w:type="dxa" w:w="160"/>
            </w:tcMar>
          </w:tcPr>
          <w:p>
            <w:r>
              <w:rPr>
                <w:rFonts w:ascii="Sora" w:cs="Sora" w:eastAsia="Sora" w:hAnsi="Sora"/>
                <w:b/>
                <w:bCs/>
                <w:color w:val="FFFFFF"/>
                <w:sz w:val="22"/>
                <w:szCs w:val="22"/>
              </w:rPr>
              <w:t xml:space="preserve">Tolu — Caregiver</w:t>
            </w:r>
            <w:r>
              <w:rPr>
                <w:rFonts w:ascii="IBM Plex Sans" w:cs="IBM Plex Sans" w:eastAsia="IBM Plex Sans" w:hAnsi="IBM Plex Sans"/>
                <w:color w:val="E7ECFB"/>
                <w:sz w:val="20"/>
                <w:szCs w:val="20"/>
              </w:rPr>
              <w:t xml:space="preserve">   ·   Age 28</w:t>
            </w:r>
          </w:p>
        </w:tc>
      </w:tr>
      <w:tr>
        <w:tc>
          <w:tcPr>
            <w:tcW w:type="dxa" w:w="4675"/>
            <w:tcMar>
              <w:top w:type="dxa" w:w="140"/>
              <w:left w:type="dxa" w:w="160"/>
              <w:bottom w:type="dxa" w:w="140"/>
              <w:right w:type="dxa" w:w="160"/>
            </w:tcMar>
          </w:tcPr>
          <w:p>
            <w:r>
              <w:rPr>
                <w:rFonts w:ascii="IBM Plex Sans" w:cs="IBM Plex Sans" w:eastAsia="IBM Plex Sans" w:hAnsi="IBM Plex Sans"/>
                <w:b/>
                <w:bCs/>
                <w:color w:val="2E9B4F"/>
                <w:sz w:val="20"/>
                <w:szCs w:val="20"/>
              </w:rPr>
              <w:t xml:space="preserve">Needs</w:t>
            </w:r>
          </w:p>
          <w:p>
            <w:pPr>
              <w:pStyle w:val="ListParagraph"/>
              <w:numPr>
                <w:ilvl w:val="0"/>
                <w:numId w:val="2"/>
              </w:numPr>
              <w:spacing w:after="80"/>
            </w:pPr>
            <w:r>
              <w:rPr>
                <w:rFonts w:ascii="IBM Plex Sans" w:cs="IBM Plex Sans" w:eastAsia="IBM Plex Sans" w:hAnsi="IBM Plex Sans"/>
                <w:color w:val="14171F"/>
                <w:sz w:val="21"/>
                <w:szCs w:val="21"/>
              </w:rPr>
              <w:t xml:space="preserve">Monitor her mother's medication schedule</w:t>
            </w:r>
          </w:p>
          <w:p>
            <w:pPr>
              <w:pStyle w:val="ListParagraph"/>
              <w:numPr>
                <w:ilvl w:val="0"/>
                <w:numId w:val="2"/>
              </w:numPr>
              <w:spacing w:after="80"/>
            </w:pPr>
            <w:r>
              <w:rPr>
                <w:rFonts w:ascii="IBM Plex Sans" w:cs="IBM Plex Sans" w:eastAsia="IBM Plex Sans" w:hAnsi="IBM Plex Sans"/>
                <w:color w:val="14171F"/>
                <w:sz w:val="21"/>
                <w:szCs w:val="21"/>
              </w:rPr>
              <w:t xml:space="preserve">Receive reminders for appointments</w:t>
            </w:r>
          </w:p>
          <w:p>
            <w:pPr>
              <w:pStyle w:val="ListParagraph"/>
              <w:numPr>
                <w:ilvl w:val="0"/>
                <w:numId w:val="2"/>
              </w:numPr>
              <w:spacing w:after="80"/>
            </w:pPr>
            <w:r>
              <w:rPr>
                <w:rFonts w:ascii="IBM Plex Sans" w:cs="IBM Plex Sans" w:eastAsia="IBM Plex Sans" w:hAnsi="IBM Plex Sans"/>
                <w:color w:val="14171F"/>
                <w:sz w:val="21"/>
                <w:szCs w:val="21"/>
              </w:rPr>
              <w:t xml:space="preserve">Understand medical reports without attending hospital visits</w:t>
            </w:r>
          </w:p>
        </w:tc>
        <w:tc>
          <w:tcPr>
            <w:tcW w:type="dxa" w:w="4675"/>
            <w:tcMar>
              <w:top w:type="dxa" w:w="140"/>
              <w:left w:type="dxa" w:w="160"/>
              <w:bottom w:type="dxa" w:w="140"/>
              <w:right w:type="dxa" w:w="160"/>
            </w:tcMar>
          </w:tcPr>
          <w:p>
            <w:r>
              <w:rPr>
                <w:rFonts w:ascii="IBM Plex Sans" w:cs="IBM Plex Sans" w:eastAsia="IBM Plex Sans" w:hAnsi="IBM Plex Sans"/>
                <w:b/>
                <w:bCs/>
                <w:color w:val="D5473D"/>
                <w:sz w:val="20"/>
                <w:szCs w:val="20"/>
              </w:rPr>
              <w:t xml:space="preserve">Pain points</w:t>
            </w:r>
          </w:p>
          <w:p>
            <w:pPr>
              <w:pStyle w:val="ListParagraph"/>
              <w:numPr>
                <w:ilvl w:val="0"/>
                <w:numId w:val="2"/>
              </w:numPr>
              <w:spacing w:after="80"/>
            </w:pPr>
            <w:r>
              <w:rPr>
                <w:rFonts w:ascii="IBM Plex Sans" w:cs="IBM Plex Sans" w:eastAsia="IBM Plex Sans" w:hAnsi="IBM Plex Sans"/>
                <w:color w:val="14171F"/>
                <w:sz w:val="21"/>
                <w:szCs w:val="21"/>
              </w:rPr>
              <w:t xml:space="preserve">Lives separately from her mother</w:t>
            </w:r>
          </w:p>
          <w:p>
            <w:pPr>
              <w:pStyle w:val="ListParagraph"/>
              <w:numPr>
                <w:ilvl w:val="0"/>
                <w:numId w:val="2"/>
              </w:numPr>
              <w:spacing w:after="80"/>
            </w:pPr>
            <w:r>
              <w:rPr>
                <w:rFonts w:ascii="IBM Plex Sans" w:cs="IBM Plex Sans" w:eastAsia="IBM Plex Sans" w:hAnsi="IBM Plex Sans"/>
                <w:color w:val="14171F"/>
                <w:sz w:val="21"/>
                <w:szCs w:val="21"/>
              </w:rPr>
              <w:t xml:space="preserve">Receives prescriptions through WhatsApp</w:t>
            </w:r>
          </w:p>
          <w:p>
            <w:pPr>
              <w:pStyle w:val="ListParagraph"/>
              <w:numPr>
                <w:ilvl w:val="0"/>
                <w:numId w:val="2"/>
              </w:numPr>
              <w:spacing w:after="80"/>
            </w:pPr>
            <w:r>
              <w:rPr>
                <w:rFonts w:ascii="IBM Plex Sans" w:cs="IBM Plex Sans" w:eastAsia="IBM Plex Sans" w:hAnsi="IBM Plex Sans"/>
                <w:color w:val="14171F"/>
                <w:sz w:val="21"/>
                <w:szCs w:val="21"/>
              </w:rPr>
              <w:t xml:space="preserve">Struggles to explain medical instructions</w:t>
            </w:r>
          </w:p>
        </w:tc>
      </w:tr>
    </w:tbl>
    <w:p>
      <w:pPr>
        <w:pStyle w:val="Heading1"/>
        <w:spacing w:after="200" w:before="420"/>
      </w:pPr>
      <w:r>
        <w:rPr>
          <w:rFonts w:ascii="Sora" w:cs="Sora" w:eastAsia="Sora" w:hAnsi="Sora"/>
          <w:b/>
          <w:bCs/>
          <w:color w:val="1B2F86"/>
        </w:rPr>
        <w:t xml:space="preserve">7. Solution Overview</w:t>
      </w:r>
    </w:p>
    <w:p>
      <w:pPr>
        <w:spacing w:after="160" w:line="280"/>
      </w:pPr>
      <w:r>
        <w:rPr>
          <w:rFonts w:ascii="IBM Plex Sans" w:cs="IBM Plex Sans" w:eastAsia="IBM Plex Sans" w:hAnsi="IBM Plex Sans"/>
          <w:color w:val="14171F"/>
          <w:sz w:val="21"/>
          <w:szCs w:val="21"/>
        </w:rPr>
        <w:t xml:space="preserve">WellNest transforms complex medical documents into simple, personalised healthcare guidance.</w:t>
      </w:r>
    </w:p>
    <w:p>
      <w:pPr>
        <w:pStyle w:val="Heading3"/>
        <w:spacing w:after="100" w:before="200"/>
      </w:pPr>
      <w:r>
        <w:rPr>
          <w:rFonts w:ascii="Sora" w:cs="Sora" w:eastAsia="Sora" w:hAnsi="Sora"/>
          <w:b/>
          <w:bCs/>
          <w:color w:val="2C49C0"/>
          <w:sz w:val="22"/>
          <w:szCs w:val="22"/>
        </w:rPr>
        <w:t xml:space="preserve">Core experience — users can:</w:t>
      </w:r>
    </w:p>
    <w:p>
      <w:pPr>
        <w:pStyle w:val="ListParagraph"/>
        <w:numPr>
          <w:ilvl w:val="0"/>
          <w:numId w:val="2"/>
        </w:numPr>
        <w:spacing w:after="80"/>
      </w:pPr>
      <w:r>
        <w:rPr>
          <w:rFonts w:ascii="IBM Plex Sans" w:cs="IBM Plex Sans" w:eastAsia="IBM Plex Sans" w:hAnsi="IBM Plex Sans"/>
          <w:color w:val="14171F"/>
          <w:sz w:val="21"/>
          <w:szCs w:val="21"/>
        </w:rPr>
        <w:t xml:space="preserve">Upload prescriptions, lab reports, or doctor's notes</w:t>
      </w:r>
    </w:p>
    <w:p>
      <w:pPr>
        <w:pStyle w:val="ListParagraph"/>
        <w:numPr>
          <w:ilvl w:val="0"/>
          <w:numId w:val="2"/>
        </w:numPr>
        <w:spacing w:after="80"/>
      </w:pPr>
      <w:r>
        <w:rPr>
          <w:rFonts w:ascii="IBM Plex Sans" w:cs="IBM Plex Sans" w:eastAsia="IBM Plex Sans" w:hAnsi="IBM Plex Sans"/>
          <w:color w:val="14171F"/>
          <w:sz w:val="21"/>
          <w:szCs w:val="21"/>
        </w:rPr>
        <w:t xml:space="preserve">Receive AI-generated explanations in simple language</w:t>
      </w:r>
    </w:p>
    <w:p>
      <w:pPr>
        <w:pStyle w:val="ListParagraph"/>
        <w:numPr>
          <w:ilvl w:val="0"/>
          <w:numId w:val="2"/>
        </w:numPr>
        <w:spacing w:after="80"/>
      </w:pPr>
      <w:r>
        <w:rPr>
          <w:rFonts w:ascii="IBM Plex Sans" w:cs="IBM Plex Sans" w:eastAsia="IBM Plex Sans" w:hAnsi="IBM Plex Sans"/>
          <w:color w:val="14171F"/>
          <w:sz w:val="21"/>
          <w:szCs w:val="21"/>
        </w:rPr>
        <w:t xml:space="preserve">Get personalised medication schedules</w:t>
      </w:r>
    </w:p>
    <w:p>
      <w:pPr>
        <w:pStyle w:val="ListParagraph"/>
        <w:numPr>
          <w:ilvl w:val="0"/>
          <w:numId w:val="2"/>
        </w:numPr>
        <w:spacing w:after="80"/>
      </w:pPr>
      <w:r>
        <w:rPr>
          <w:rFonts w:ascii="IBM Plex Sans" w:cs="IBM Plex Sans" w:eastAsia="IBM Plex Sans" w:hAnsi="IBM Plex Sans"/>
          <w:color w:val="14171F"/>
          <w:sz w:val="21"/>
          <w:szCs w:val="21"/>
        </w:rPr>
        <w:t xml:space="preserve">Ask follow-up health questions through AI</w:t>
      </w:r>
    </w:p>
    <w:p>
      <w:pPr>
        <w:pStyle w:val="ListParagraph"/>
        <w:numPr>
          <w:ilvl w:val="0"/>
          <w:numId w:val="2"/>
        </w:numPr>
        <w:spacing w:after="80"/>
      </w:pPr>
      <w:r>
        <w:rPr>
          <w:rFonts w:ascii="IBM Plex Sans" w:cs="IBM Plex Sans" w:eastAsia="IBM Plex Sans" w:hAnsi="IBM Plex Sans"/>
          <w:color w:val="14171F"/>
          <w:sz w:val="21"/>
          <w:szCs w:val="21"/>
        </w:rPr>
        <w:t xml:space="preserve">Track their healthcare journey over time</w:t>
      </w:r>
    </w:p>
    <w:p>
      <w:pPr>
        <w:pStyle w:val="ListParagraph"/>
        <w:numPr>
          <w:ilvl w:val="0"/>
          <w:numId w:val="2"/>
        </w:numPr>
        <w:spacing w:after="80"/>
      </w:pPr>
      <w:r>
        <w:rPr>
          <w:rFonts w:ascii="IBM Plex Sans" w:cs="IBM Plex Sans" w:eastAsia="IBM Plex Sans" w:hAnsi="IBM Plex Sans"/>
          <w:color w:val="14171F"/>
          <w:sz w:val="21"/>
          <w:szCs w:val="21"/>
        </w:rPr>
        <w:t xml:space="preserve">Share treatment plans with trusted caregivers</w:t>
      </w:r>
    </w:p>
    <w:p>
      <w:pPr>
        <w:pStyle w:val="Heading1"/>
        <w:spacing w:after="200" w:before="420"/>
      </w:pPr>
      <w:r>
        <w:rPr>
          <w:rFonts w:ascii="Sora" w:cs="Sora" w:eastAsia="Sora" w:hAnsi="Sora"/>
          <w:b/>
          <w:bCs/>
          <w:color w:val="1B2F86"/>
        </w:rPr>
        <w:t xml:space="preserve">8. MVP Features</w:t>
      </w:r>
    </w:p>
    <w:p>
      <w:pPr>
        <w:spacing w:after="100" w:before="240"/>
      </w:pPr>
      <w:r>
        <w:rPr>
          <w:rFonts w:ascii="IBM Plex Sans" w:cs="IBM Plex Sans" w:eastAsia="IBM Plex Sans" w:hAnsi="IBM Plex Sans"/>
          <w:b/>
          <w:bCs/>
          <w:color w:val="D5473D"/>
          <w:sz w:val="18"/>
          <w:szCs w:val="18"/>
        </w:rPr>
        <w:t xml:space="preserve">P0  </w:t>
      </w:r>
      <w:r>
        <w:rPr>
          <w:rFonts w:ascii="Sora" w:cs="Sora" w:eastAsia="Sora" w:hAnsi="Sora"/>
          <w:b/>
          <w:bCs/>
          <w:color w:val="14171F"/>
          <w:sz w:val="23"/>
          <w:szCs w:val="23"/>
        </w:rPr>
        <w:t xml:space="preserve">1. AI Medical Document Upload</w:t>
      </w:r>
    </w:p>
    <w:p>
      <w:pPr>
        <w:spacing w:after="160" w:line="280"/>
      </w:pPr>
      <w:r>
        <w:rPr>
          <w:rFonts w:ascii="IBM Plex Sans" w:cs="IBM Plex Sans" w:eastAsia="IBM Plex Sans" w:hAnsi="IBM Plex Sans"/>
          <w:color w:val="14171F"/>
          <w:sz w:val="21"/>
          <w:szCs w:val="21"/>
        </w:rPr>
        <w:t xml:space="preserve">Users upload prescriptions, lab reports, or doctor's notes using camera scan, image upload, or PDF upload.</w:t>
      </w:r>
    </w:p>
    <w:p>
      <w:pPr>
        <w:spacing w:before="60"/>
      </w:pPr>
      <w:r>
        <w:rPr>
          <w:rFonts w:ascii="IBM Plex Sans" w:cs="IBM Plex Sans" w:eastAsia="IBM Plex Sans" w:hAnsi="IBM Plex Sans"/>
          <w:b/>
          <w:bCs/>
          <w:color w:val="5B6472"/>
          <w:sz w:val="20"/>
          <w:szCs w:val="20"/>
        </w:rPr>
        <w:t xml:space="preserve">Output</w:t>
      </w:r>
    </w:p>
    <w:p>
      <w:pPr>
        <w:pStyle w:val="ListParagraph"/>
        <w:numPr>
          <w:ilvl w:val="0"/>
          <w:numId w:val="2"/>
        </w:numPr>
        <w:spacing w:after="80"/>
      </w:pPr>
      <w:r>
        <w:rPr>
          <w:rFonts w:ascii="IBM Plex Sans" w:cs="IBM Plex Sans" w:eastAsia="IBM Plex Sans" w:hAnsi="IBM Plex Sans"/>
          <w:color w:val="14171F"/>
          <w:sz w:val="21"/>
          <w:szCs w:val="21"/>
        </w:rPr>
        <w:t xml:space="preserve">Extracted diagnosis</w:t>
      </w:r>
    </w:p>
    <w:p>
      <w:pPr>
        <w:pStyle w:val="ListParagraph"/>
        <w:numPr>
          <w:ilvl w:val="0"/>
          <w:numId w:val="2"/>
        </w:numPr>
        <w:spacing w:after="80"/>
      </w:pPr>
      <w:r>
        <w:rPr>
          <w:rFonts w:ascii="IBM Plex Sans" w:cs="IBM Plex Sans" w:eastAsia="IBM Plex Sans" w:hAnsi="IBM Plex Sans"/>
          <w:color w:val="14171F"/>
          <w:sz w:val="21"/>
          <w:szCs w:val="21"/>
        </w:rPr>
        <w:t xml:space="preserve">Medication list</w:t>
      </w:r>
    </w:p>
    <w:p>
      <w:pPr>
        <w:pStyle w:val="ListParagraph"/>
        <w:numPr>
          <w:ilvl w:val="0"/>
          <w:numId w:val="2"/>
        </w:numPr>
        <w:spacing w:after="80"/>
      </w:pPr>
      <w:r>
        <w:rPr>
          <w:rFonts w:ascii="IBM Plex Sans" w:cs="IBM Plex Sans" w:eastAsia="IBM Plex Sans" w:hAnsi="IBM Plex Sans"/>
          <w:color w:val="14171F"/>
          <w:sz w:val="21"/>
          <w:szCs w:val="21"/>
        </w:rPr>
        <w:t xml:space="preserve">Dosage instructions</w:t>
      </w:r>
    </w:p>
    <w:p>
      <w:pPr>
        <w:pStyle w:val="ListParagraph"/>
        <w:numPr>
          <w:ilvl w:val="0"/>
          <w:numId w:val="2"/>
        </w:numPr>
        <w:spacing w:after="80"/>
      </w:pPr>
      <w:r>
        <w:rPr>
          <w:rFonts w:ascii="IBM Plex Sans" w:cs="IBM Plex Sans" w:eastAsia="IBM Plex Sans" w:hAnsi="IBM Plex Sans"/>
          <w:color w:val="14171F"/>
          <w:sz w:val="21"/>
          <w:szCs w:val="21"/>
        </w:rPr>
        <w:t xml:space="preserve">Follow-up recommendations</w:t>
      </w:r>
    </w:p>
    <w:p>
      <w:pPr>
        <w:spacing w:after="100" w:before="240"/>
      </w:pPr>
      <w:r>
        <w:rPr>
          <w:rFonts w:ascii="IBM Plex Sans" w:cs="IBM Plex Sans" w:eastAsia="IBM Plex Sans" w:hAnsi="IBM Plex Sans"/>
          <w:b/>
          <w:bCs/>
          <w:color w:val="D5473D"/>
          <w:sz w:val="18"/>
          <w:szCs w:val="18"/>
        </w:rPr>
        <w:t xml:space="preserve">P0  </w:t>
      </w:r>
      <w:r>
        <w:rPr>
          <w:rFonts w:ascii="Sora" w:cs="Sora" w:eastAsia="Sora" w:hAnsi="Sora"/>
          <w:b/>
          <w:bCs/>
          <w:color w:val="14171F"/>
          <w:sz w:val="23"/>
          <w:szCs w:val="23"/>
        </w:rPr>
        <w:t xml:space="preserve">2. AI Diagnosis Translator</w:t>
      </w:r>
    </w:p>
    <w:p>
      <w:pPr>
        <w:spacing w:after="160" w:line="280"/>
      </w:pPr>
      <w:r>
        <w:rPr>
          <w:rFonts w:ascii="IBM Plex Sans" w:cs="IBM Plex Sans" w:eastAsia="IBM Plex Sans" w:hAnsi="IBM Plex Sans"/>
          <w:color w:val="14171F"/>
          <w:sz w:val="21"/>
          <w:szCs w:val="21"/>
        </w:rPr>
        <w:t xml:space="preserve">AI converts medical terminology into plain, easy-to-understand language.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3F5FA" w:val="clear"/>
            <w:tcMar>
              <w:top w:type="dxa" w:w="100"/>
              <w:left w:type="dxa" w:w="120"/>
              <w:bottom w:type="dxa" w:w="100"/>
              <w:right w:type="dxa" w:w="120"/>
            </w:tcMar>
          </w:tcPr>
          <w:p>
            <w:pPr>
              <w:jc w:val="left"/>
            </w:pPr>
            <w:r>
              <w:rPr>
                <w:rFonts w:ascii="IBM Plex Sans" w:cs="IBM Plex Sans" w:eastAsia="IBM Plex Sans" w:hAnsi="IBM Plex Sans"/>
                <w:b/>
                <w:bCs/>
                <w:color w:val="5B6472"/>
                <w:sz w:val="20"/>
                <w:szCs w:val="20"/>
              </w:rPr>
              <w:t xml:space="preserve">Medical term</w:t>
            </w:r>
          </w:p>
        </w:tc>
        <w:tc>
          <w:tcPr>
            <w:tcW w:type="dxa" w:w="6350"/>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Hypertension</w:t>
            </w:r>
          </w:p>
        </w:tc>
      </w:tr>
      <w:tr>
        <w:tc>
          <w:tcPr>
            <w:tcW w:type="dxa" w:w="3000"/>
            <w:shd w:fill="F3F5FA" w:val="clear"/>
            <w:tcMar>
              <w:top w:type="dxa" w:w="100"/>
              <w:left w:type="dxa" w:w="120"/>
              <w:bottom w:type="dxa" w:w="100"/>
              <w:right w:type="dxa" w:w="120"/>
            </w:tcMar>
          </w:tcPr>
          <w:p>
            <w:pPr>
              <w:jc w:val="left"/>
            </w:pPr>
            <w:r>
              <w:rPr>
                <w:rFonts w:ascii="IBM Plex Sans" w:cs="IBM Plex Sans" w:eastAsia="IBM Plex Sans" w:hAnsi="IBM Plex Sans"/>
                <w:b/>
                <w:bCs/>
                <w:color w:val="5B6472"/>
                <w:sz w:val="20"/>
                <w:szCs w:val="20"/>
              </w:rPr>
              <w:t xml:space="preserve">WellNest explanation</w:t>
            </w:r>
          </w:p>
        </w:tc>
        <w:tc>
          <w:tcPr>
            <w:tcW w:type="dxa" w:w="6350"/>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Your blood pressure is higher than normal and requires regular monitoring and medication.</w:t>
            </w:r>
          </w:p>
        </w:tc>
      </w:tr>
    </w:tbl>
    <w:p>
      <w:pPr>
        <w:spacing w:after="120"/>
      </w:pPr>
    </w:p>
    <w:p>
      <w:pPr>
        <w:spacing w:after="100" w:before="240"/>
      </w:pPr>
      <w:r>
        <w:rPr>
          <w:rFonts w:ascii="IBM Plex Sans" w:cs="IBM Plex Sans" w:eastAsia="IBM Plex Sans" w:hAnsi="IBM Plex Sans"/>
          <w:b/>
          <w:bCs/>
          <w:color w:val="D5473D"/>
          <w:sz w:val="18"/>
          <w:szCs w:val="18"/>
        </w:rPr>
        <w:t xml:space="preserve">P0  </w:t>
      </w:r>
      <w:r>
        <w:rPr>
          <w:rFonts w:ascii="Sora" w:cs="Sora" w:eastAsia="Sora" w:hAnsi="Sora"/>
          <w:b/>
          <w:bCs/>
          <w:color w:val="14171F"/>
          <w:sz w:val="23"/>
          <w:szCs w:val="23"/>
        </w:rPr>
        <w:t xml:space="preserve">3. Medication Planner</w:t>
      </w:r>
    </w:p>
    <w:p>
      <w:pPr>
        <w:spacing w:after="160" w:line="280"/>
      </w:pPr>
      <w:r>
        <w:rPr>
          <w:rFonts w:ascii="IBM Plex Sans" w:cs="IBM Plex Sans" w:eastAsia="IBM Plex Sans" w:hAnsi="IBM Plex Sans"/>
          <w:color w:val="14171F"/>
          <w:sz w:val="21"/>
          <w:szCs w:val="21"/>
        </w:rPr>
        <w:t xml:space="preserve">Automatically generates a schedule of morning, afternoon, and night medications with dosage instructions and before/after meal reminders. Users can mark medications as taken to track adherence.</w:t>
      </w:r>
    </w:p>
    <w:p>
      <w:pPr>
        <w:spacing w:after="100" w:before="240"/>
      </w:pPr>
      <w:r>
        <w:rPr>
          <w:rFonts w:ascii="IBM Plex Sans" w:cs="IBM Plex Sans" w:eastAsia="IBM Plex Sans" w:hAnsi="IBM Plex Sans"/>
          <w:b/>
          <w:bCs/>
          <w:color w:val="D5473D"/>
          <w:sz w:val="18"/>
          <w:szCs w:val="18"/>
        </w:rPr>
        <w:t xml:space="preserve">P0  </w:t>
      </w:r>
      <w:r>
        <w:rPr>
          <w:rFonts w:ascii="Sora" w:cs="Sora" w:eastAsia="Sora" w:hAnsi="Sora"/>
          <w:b/>
          <w:bCs/>
          <w:color w:val="14171F"/>
          <w:sz w:val="23"/>
          <w:szCs w:val="23"/>
        </w:rPr>
        <w:t xml:space="preserve">4. WellNest AI Assistant</w:t>
      </w:r>
    </w:p>
    <w:p>
      <w:pPr>
        <w:spacing w:after="160" w:line="280"/>
      </w:pPr>
      <w:r>
        <w:rPr>
          <w:rFonts w:ascii="IBM Plex Sans" w:cs="IBM Plex Sans" w:eastAsia="IBM Plex Sans" w:hAnsi="IBM Plex Sans"/>
          <w:color w:val="14171F"/>
          <w:sz w:val="21"/>
          <w:szCs w:val="21"/>
        </w:rPr>
        <w:t xml:space="preserve">A contextual AI assistant that answers questions using the patient's uploaded medical information.</w:t>
      </w:r>
    </w:p>
    <w:p>
      <w:pPr>
        <w:spacing w:before="60"/>
      </w:pPr>
      <w:r>
        <w:rPr>
          <w:rFonts w:ascii="IBM Plex Sans" w:cs="IBM Plex Sans" w:eastAsia="IBM Plex Sans" w:hAnsi="IBM Plex Sans"/>
          <w:b/>
          <w:bCs/>
          <w:color w:val="5B6472"/>
          <w:sz w:val="20"/>
          <w:szCs w:val="20"/>
        </w:rPr>
        <w:t xml:space="preserve">Example questions</w:t>
      </w:r>
    </w:p>
    <w:p>
      <w:pPr>
        <w:pStyle w:val="ListParagraph"/>
        <w:numPr>
          <w:ilvl w:val="0"/>
          <w:numId w:val="2"/>
        </w:numPr>
        <w:spacing w:after="80"/>
      </w:pPr>
      <w:r>
        <w:rPr>
          <w:rFonts w:ascii="IBM Plex Sans" w:cs="IBM Plex Sans" w:eastAsia="IBM Plex Sans" w:hAnsi="IBM Plex Sans"/>
          <w:color w:val="14171F"/>
          <w:sz w:val="21"/>
          <w:szCs w:val="21"/>
        </w:rPr>
        <w:t xml:space="preserve">What does my diagnosis mean?</w:t>
      </w:r>
    </w:p>
    <w:p>
      <w:pPr>
        <w:pStyle w:val="ListParagraph"/>
        <w:numPr>
          <w:ilvl w:val="0"/>
          <w:numId w:val="2"/>
        </w:numPr>
        <w:spacing w:after="80"/>
      </w:pPr>
      <w:r>
        <w:rPr>
          <w:rFonts w:ascii="IBM Plex Sans" w:cs="IBM Plex Sans" w:eastAsia="IBM Plex Sans" w:hAnsi="IBM Plex Sans"/>
          <w:color w:val="14171F"/>
          <w:sz w:val="21"/>
          <w:szCs w:val="21"/>
        </w:rPr>
        <w:t xml:space="preserve">Can I take this medicine after eating?</w:t>
      </w:r>
    </w:p>
    <w:p>
      <w:pPr>
        <w:pStyle w:val="ListParagraph"/>
        <w:numPr>
          <w:ilvl w:val="0"/>
          <w:numId w:val="2"/>
        </w:numPr>
        <w:spacing w:after="80"/>
      </w:pPr>
      <w:r>
        <w:rPr>
          <w:rFonts w:ascii="IBM Plex Sans" w:cs="IBM Plex Sans" w:eastAsia="IBM Plex Sans" w:hAnsi="IBM Plex Sans"/>
          <w:color w:val="14171F"/>
          <w:sz w:val="21"/>
          <w:szCs w:val="21"/>
        </w:rPr>
        <w:t xml:space="preserve">What foods should I avoid?</w:t>
      </w:r>
    </w:p>
    <w:p>
      <w:pPr>
        <w:pStyle w:val="ListParagraph"/>
        <w:numPr>
          <w:ilvl w:val="0"/>
          <w:numId w:val="2"/>
        </w:numPr>
        <w:spacing w:after="80"/>
      </w:pPr>
      <w:r>
        <w:rPr>
          <w:rFonts w:ascii="IBM Plex Sans" w:cs="IBM Plex Sans" w:eastAsia="IBM Plex Sans" w:hAnsi="IBM Plex Sans"/>
          <w:color w:val="14171F"/>
          <w:sz w:val="21"/>
          <w:szCs w:val="21"/>
        </w:rPr>
        <w:t xml:space="preserve">What happens if I miss a dose?</w:t>
      </w:r>
    </w:p>
    <w:p>
      <w:pPr>
        <w:spacing w:after="100" w:before="240"/>
      </w:pPr>
      <w:r>
        <w:rPr>
          <w:rFonts w:ascii="IBM Plex Sans" w:cs="IBM Plex Sans" w:eastAsia="IBM Plex Sans" w:hAnsi="IBM Plex Sans"/>
          <w:b/>
          <w:bCs/>
          <w:color w:val="2C49C0"/>
          <w:sz w:val="18"/>
          <w:szCs w:val="18"/>
        </w:rPr>
        <w:t xml:space="preserve">P1  </w:t>
      </w:r>
      <w:r>
        <w:rPr>
          <w:rFonts w:ascii="Sora" w:cs="Sora" w:eastAsia="Sora" w:hAnsi="Sora"/>
          <w:b/>
          <w:bCs/>
          <w:color w:val="14171F"/>
          <w:sz w:val="23"/>
          <w:szCs w:val="23"/>
        </w:rPr>
        <w:t xml:space="preserve">5. Family Care Mode</w:t>
      </w:r>
    </w:p>
    <w:p>
      <w:pPr>
        <w:spacing w:after="160" w:line="280"/>
      </w:pPr>
      <w:r>
        <w:rPr>
          <w:rFonts w:ascii="IBM Plex Sans" w:cs="IBM Plex Sans" w:eastAsia="IBM Plex Sans" w:hAnsi="IBM Plex Sans"/>
          <w:color w:val="14171F"/>
          <w:sz w:val="21"/>
          <w:szCs w:val="21"/>
        </w:rPr>
        <w:t xml:space="preserve">Patients invite trusted caregivers, who can view medication schedules, receive reminders, track appointments, and access emergency health information with permission.</w:t>
      </w:r>
    </w:p>
    <w:p>
      <w:pPr>
        <w:spacing w:after="100" w:before="240"/>
      </w:pPr>
      <w:r>
        <w:rPr>
          <w:rFonts w:ascii="IBM Plex Sans" w:cs="IBM Plex Sans" w:eastAsia="IBM Plex Sans" w:hAnsi="IBM Plex Sans"/>
          <w:b/>
          <w:bCs/>
          <w:color w:val="2C49C0"/>
          <w:sz w:val="18"/>
          <w:szCs w:val="18"/>
        </w:rPr>
        <w:t xml:space="preserve">P1  </w:t>
      </w:r>
      <w:r>
        <w:rPr>
          <w:rFonts w:ascii="Sora" w:cs="Sora" w:eastAsia="Sora" w:hAnsi="Sora"/>
          <w:b/>
          <w:bCs/>
          <w:color w:val="14171F"/>
          <w:sz w:val="23"/>
          <w:szCs w:val="23"/>
        </w:rPr>
        <w:t xml:space="preserve">6. Health Journey Timeline</w:t>
      </w:r>
    </w:p>
    <w:p>
      <w:pPr>
        <w:spacing w:after="160" w:line="280"/>
      </w:pPr>
      <w:r>
        <w:rPr>
          <w:rFonts w:ascii="IBM Plex Sans" w:cs="IBM Plex Sans" w:eastAsia="IBM Plex Sans" w:hAnsi="IBM Plex Sans"/>
          <w:color w:val="14171F"/>
          <w:sz w:val="21"/>
          <w:szCs w:val="21"/>
        </w:rPr>
        <w:t xml:space="preserve">A chronological timeline showing diagnoses, uploaded reports, medication updates, appointments, and treatment progress.</w:t>
      </w:r>
    </w:p>
    <w:p>
      <w:pPr>
        <w:spacing w:after="100" w:before="240"/>
      </w:pPr>
      <w:r>
        <w:rPr>
          <w:rFonts w:ascii="IBM Plex Sans" w:cs="IBM Plex Sans" w:eastAsia="IBM Plex Sans" w:hAnsi="IBM Plex Sans"/>
          <w:b/>
          <w:bCs/>
          <w:color w:val="2C49C0"/>
          <w:sz w:val="18"/>
          <w:szCs w:val="18"/>
        </w:rPr>
        <w:t xml:space="preserve">P1  </w:t>
      </w:r>
      <w:r>
        <w:rPr>
          <w:rFonts w:ascii="Sora" w:cs="Sora" w:eastAsia="Sora" w:hAnsi="Sora"/>
          <w:b/>
          <w:bCs/>
          <w:color w:val="14171F"/>
          <w:sz w:val="23"/>
          <w:szCs w:val="23"/>
        </w:rPr>
        <w:t xml:space="preserve">7. Emergency Health Wallet</w:t>
      </w:r>
    </w:p>
    <w:p>
      <w:pPr>
        <w:spacing w:after="160" w:line="280"/>
      </w:pPr>
      <w:r>
        <w:rPr>
          <w:rFonts w:ascii="IBM Plex Sans" w:cs="IBM Plex Sans" w:eastAsia="IBM Plex Sans" w:hAnsi="IBM Plex Sans"/>
          <w:color w:val="14171F"/>
          <w:sz w:val="21"/>
          <w:szCs w:val="21"/>
        </w:rPr>
        <w:t xml:space="preserve">Stores blood group, allergies, existing medical conditions, emergency contacts, and current medications for use in an emergency.</w:t>
      </w:r>
    </w:p>
    <w:p>
      <w:pPr>
        <w:pStyle w:val="Heading1"/>
        <w:spacing w:after="200" w:before="420"/>
      </w:pPr>
      <w:r>
        <w:rPr>
          <w:rFonts w:ascii="Sora" w:cs="Sora" w:eastAsia="Sora" w:hAnsi="Sora"/>
          <w:b/>
          <w:bCs/>
          <w:color w:val="1B2F86"/>
        </w:rPr>
        <w:t xml:space="preserve">9. End-to-End Product Flow</w:t>
      </w:r>
    </w:p>
    <w:p>
      <w:pPr>
        <w:pStyle w:val="Heading3"/>
        <w:spacing w:after="100" w:before="200"/>
      </w:pPr>
      <w:r>
        <w:rPr>
          <w:rFonts w:ascii="Sora" w:cs="Sora" w:eastAsia="Sora" w:hAnsi="Sora"/>
          <w:b/>
          <w:bCs/>
          <w:color w:val="2C49C0"/>
          <w:sz w:val="22"/>
          <w:szCs w:val="22"/>
        </w:rPr>
        <w:t xml:space="preserve">Step 1 — Onboarding</w:t>
      </w:r>
    </w:p>
    <w:p>
      <w:pPr>
        <w:pStyle w:val="ListParagraph"/>
        <w:numPr>
          <w:ilvl w:val="0"/>
          <w:numId w:val="2"/>
        </w:numPr>
        <w:spacing w:after="80"/>
      </w:pPr>
      <w:r>
        <w:rPr>
          <w:rFonts w:ascii="IBM Plex Sans" w:cs="IBM Plex Sans" w:eastAsia="IBM Plex Sans" w:hAnsi="IBM Plex Sans"/>
          <w:color w:val="14171F"/>
          <w:sz w:val="21"/>
          <w:szCs w:val="21"/>
        </w:rPr>
        <w:t xml:space="preserve">Launch WellNest</w:t>
      </w:r>
    </w:p>
    <w:p>
      <w:pPr>
        <w:pStyle w:val="ListParagraph"/>
        <w:numPr>
          <w:ilvl w:val="0"/>
          <w:numId w:val="2"/>
        </w:numPr>
        <w:spacing w:after="80"/>
      </w:pPr>
      <w:r>
        <w:rPr>
          <w:rFonts w:ascii="IBM Plex Sans" w:cs="IBM Plex Sans" w:eastAsia="IBM Plex Sans" w:hAnsi="IBM Plex Sans"/>
          <w:color w:val="14171F"/>
          <w:sz w:val="21"/>
          <w:szCs w:val="21"/>
        </w:rPr>
        <w:t xml:space="preserve">Sign up or log in</w:t>
      </w:r>
    </w:p>
    <w:p>
      <w:pPr>
        <w:pStyle w:val="ListParagraph"/>
        <w:numPr>
          <w:ilvl w:val="0"/>
          <w:numId w:val="2"/>
        </w:numPr>
        <w:spacing w:after="80"/>
      </w:pPr>
      <w:r>
        <w:rPr>
          <w:rFonts w:ascii="IBM Plex Sans" w:cs="IBM Plex Sans" w:eastAsia="IBM Plex Sans" w:hAnsi="IBM Plex Sans"/>
          <w:color w:val="14171F"/>
          <w:sz w:val="21"/>
          <w:szCs w:val="21"/>
        </w:rPr>
        <w:t xml:space="preserve">Select Patient or Caregiver</w:t>
      </w:r>
    </w:p>
    <w:p>
      <w:pPr>
        <w:pStyle w:val="ListParagraph"/>
        <w:numPr>
          <w:ilvl w:val="0"/>
          <w:numId w:val="2"/>
        </w:numPr>
        <w:spacing w:after="80"/>
      </w:pPr>
      <w:r>
        <w:rPr>
          <w:rFonts w:ascii="IBM Plex Sans" w:cs="IBM Plex Sans" w:eastAsia="IBM Plex Sans" w:hAnsi="IBM Plex Sans"/>
          <w:color w:val="14171F"/>
          <w:sz w:val="21"/>
          <w:szCs w:val="21"/>
        </w:rPr>
        <w:t xml:space="preserve">Complete profile information</w:t>
      </w:r>
    </w:p>
    <w:p>
      <w:pPr>
        <w:pStyle w:val="ListParagraph"/>
        <w:numPr>
          <w:ilvl w:val="0"/>
          <w:numId w:val="2"/>
        </w:numPr>
        <w:spacing w:after="80"/>
      </w:pPr>
      <w:r>
        <w:rPr>
          <w:rFonts w:ascii="IBM Plex Sans" w:cs="IBM Plex Sans" w:eastAsia="IBM Plex Sans" w:hAnsi="IBM Plex Sans"/>
          <w:color w:val="14171F"/>
          <w:sz w:val="21"/>
          <w:szCs w:val="21"/>
        </w:rPr>
        <w:t xml:space="preserve">Enter Home Dashboard</w:t>
      </w:r>
    </w:p>
    <w:p>
      <w:pPr>
        <w:pStyle w:val="Heading3"/>
        <w:spacing w:after="100" w:before="200"/>
      </w:pPr>
      <w:r>
        <w:rPr>
          <w:rFonts w:ascii="Sora" w:cs="Sora" w:eastAsia="Sora" w:hAnsi="Sora"/>
          <w:b/>
          <w:bCs/>
          <w:color w:val="2C49C0"/>
          <w:sz w:val="22"/>
          <w:szCs w:val="22"/>
        </w:rPr>
        <w:t xml:space="preserve">Step 2 — Upload medical document</w:t>
      </w:r>
    </w:p>
    <w:p>
      <w:pPr>
        <w:pStyle w:val="ListParagraph"/>
        <w:numPr>
          <w:ilvl w:val="0"/>
          <w:numId w:val="2"/>
        </w:numPr>
        <w:spacing w:after="80"/>
      </w:pPr>
      <w:r>
        <w:rPr>
          <w:rFonts w:ascii="IBM Plex Sans" w:cs="IBM Plex Sans" w:eastAsia="IBM Plex Sans" w:hAnsi="IBM Plex Sans"/>
          <w:color w:val="14171F"/>
          <w:sz w:val="21"/>
          <w:szCs w:val="21"/>
        </w:rPr>
        <w:t xml:space="preserve">Tap “Upload Document”</w:t>
      </w:r>
    </w:p>
    <w:p>
      <w:pPr>
        <w:pStyle w:val="ListParagraph"/>
        <w:numPr>
          <w:ilvl w:val="0"/>
          <w:numId w:val="2"/>
        </w:numPr>
        <w:spacing w:after="80"/>
      </w:pPr>
      <w:r>
        <w:rPr>
          <w:rFonts w:ascii="IBM Plex Sans" w:cs="IBM Plex Sans" w:eastAsia="IBM Plex Sans" w:hAnsi="IBM Plex Sans"/>
          <w:color w:val="14171F"/>
          <w:sz w:val="21"/>
          <w:szCs w:val="21"/>
        </w:rPr>
        <w:t xml:space="preserve">Scan or upload prescription, report, or doctor's note</w:t>
      </w:r>
    </w:p>
    <w:p>
      <w:pPr>
        <w:pStyle w:val="ListParagraph"/>
        <w:numPr>
          <w:ilvl w:val="0"/>
          <w:numId w:val="2"/>
        </w:numPr>
        <w:spacing w:after="80"/>
      </w:pPr>
      <w:r>
        <w:rPr>
          <w:rFonts w:ascii="IBM Plex Sans" w:cs="IBM Plex Sans" w:eastAsia="IBM Plex Sans" w:hAnsi="IBM Plex Sans"/>
          <w:color w:val="14171F"/>
          <w:sz w:val="21"/>
          <w:szCs w:val="21"/>
        </w:rPr>
        <w:t xml:space="preserve">Submit document for AI analysis</w:t>
      </w:r>
    </w:p>
    <w:p>
      <w:pPr>
        <w:pStyle w:val="Heading3"/>
        <w:spacing w:after="100" w:before="200"/>
      </w:pPr>
      <w:r>
        <w:rPr>
          <w:rFonts w:ascii="Sora" w:cs="Sora" w:eastAsia="Sora" w:hAnsi="Sora"/>
          <w:b/>
          <w:bCs/>
          <w:color w:val="2C49C0"/>
          <w:sz w:val="22"/>
          <w:szCs w:val="22"/>
        </w:rPr>
        <w:t xml:space="preserve">Step 3 — AI analysis</w:t>
      </w:r>
    </w:p>
    <w:p>
      <w:pPr>
        <w:spacing w:after="160" w:line="280"/>
      </w:pPr>
      <w:r>
        <w:rPr>
          <w:rFonts w:ascii="IBM Plex Sans" w:cs="IBM Plex Sans" w:eastAsia="IBM Plex Sans" w:hAnsi="IBM Plex Sans"/>
          <w:color w:val="14171F"/>
          <w:sz w:val="21"/>
          <w:szCs w:val="21"/>
        </w:rPr>
        <w:t xml:space="preserve">WellNest AI reads the document using OCR, identifies diagnoses and medications, extracts dosage and treatment instructions, and generates a simplified health summary.</w:t>
      </w:r>
    </w:p>
    <w:p>
      <w:pPr>
        <w:pStyle w:val="Heading3"/>
        <w:spacing w:after="100" w:before="200"/>
      </w:pPr>
      <w:r>
        <w:rPr>
          <w:rFonts w:ascii="Sora" w:cs="Sora" w:eastAsia="Sora" w:hAnsi="Sora"/>
          <w:b/>
          <w:bCs/>
          <w:color w:val="2C49C0"/>
          <w:sz w:val="22"/>
          <w:szCs w:val="22"/>
        </w:rPr>
        <w:t xml:space="preserve">Step 4 — Health summary</w:t>
      </w:r>
    </w:p>
    <w:p>
      <w:pPr>
        <w:spacing w:after="160" w:line="280"/>
      </w:pPr>
      <w:r>
        <w:rPr>
          <w:rFonts w:ascii="IBM Plex Sans" w:cs="IBM Plex Sans" w:eastAsia="IBM Plex Sans" w:hAnsi="IBM Plex Sans"/>
          <w:color w:val="14171F"/>
          <w:sz w:val="21"/>
          <w:szCs w:val="21"/>
        </w:rPr>
        <w:t xml:space="preserve">The patient receives a diagnosis explanation, plain-language summary, recommended actions, risk indicators, and follow-up suggestions.</w:t>
      </w:r>
    </w:p>
    <w:p>
      <w:pPr>
        <w:pStyle w:val="Heading3"/>
        <w:spacing w:after="100" w:before="200"/>
      </w:pPr>
      <w:r>
        <w:rPr>
          <w:rFonts w:ascii="Sora" w:cs="Sora" w:eastAsia="Sora" w:hAnsi="Sora"/>
          <w:b/>
          <w:bCs/>
          <w:color w:val="2C49C0"/>
          <w:sz w:val="22"/>
          <w:szCs w:val="22"/>
        </w:rPr>
        <w:t xml:space="preserve">Step 5 — Medication plan</w:t>
      </w:r>
    </w:p>
    <w:p>
      <w:pPr>
        <w:spacing w:after="160" w:line="280"/>
      </w:pPr>
      <w:r>
        <w:rPr>
          <w:rFonts w:ascii="IBM Plex Sans" w:cs="IBM Plex Sans" w:eastAsia="IBM Plex Sans" w:hAnsi="IBM Plex Sans"/>
          <w:color w:val="14171F"/>
          <w:sz w:val="21"/>
          <w:szCs w:val="21"/>
        </w:rPr>
        <w:t xml:space="preserve">AI creates a personalised medication schedule with reminders and adherence tracking.</w:t>
      </w:r>
    </w:p>
    <w:p>
      <w:pPr>
        <w:pStyle w:val="Heading3"/>
        <w:spacing w:after="100" w:before="200"/>
      </w:pPr>
      <w:r>
        <w:rPr>
          <w:rFonts w:ascii="Sora" w:cs="Sora" w:eastAsia="Sora" w:hAnsi="Sora"/>
          <w:b/>
          <w:bCs/>
          <w:color w:val="2C49C0"/>
          <w:sz w:val="22"/>
          <w:szCs w:val="22"/>
        </w:rPr>
        <w:t xml:space="preserve">Step 6 — Ask WellNest AI</w:t>
      </w:r>
    </w:p>
    <w:p>
      <w:pPr>
        <w:spacing w:after="160" w:line="280"/>
      </w:pPr>
      <w:r>
        <w:rPr>
          <w:rFonts w:ascii="IBM Plex Sans" w:cs="IBM Plex Sans" w:eastAsia="IBM Plex Sans" w:hAnsi="IBM Plex Sans"/>
          <w:color w:val="14171F"/>
          <w:sz w:val="21"/>
          <w:szCs w:val="21"/>
        </w:rPr>
        <w:t xml:space="preserve">Users ask questions about their diagnosis or medications and receive contextual answers based on uploaded records.</w:t>
      </w:r>
    </w:p>
    <w:p>
      <w:pPr>
        <w:pStyle w:val="Heading3"/>
        <w:spacing w:after="100" w:before="200"/>
      </w:pPr>
      <w:r>
        <w:rPr>
          <w:rFonts w:ascii="Sora" w:cs="Sora" w:eastAsia="Sora" w:hAnsi="Sora"/>
          <w:b/>
          <w:bCs/>
          <w:color w:val="2C49C0"/>
          <w:sz w:val="22"/>
          <w:szCs w:val="22"/>
        </w:rPr>
        <w:t xml:space="preserve">Step 7 — Family care</w:t>
      </w:r>
    </w:p>
    <w:p>
      <w:pPr>
        <w:spacing w:after="160" w:line="280"/>
      </w:pPr>
      <w:r>
        <w:rPr>
          <w:rFonts w:ascii="IBM Plex Sans" w:cs="IBM Plex Sans" w:eastAsia="IBM Plex Sans" w:hAnsi="IBM Plex Sans"/>
          <w:color w:val="14171F"/>
          <w:sz w:val="21"/>
          <w:szCs w:val="21"/>
        </w:rPr>
        <w:t xml:space="preserve">Users share treatment plans with caregivers, who receive reminders and updates.</w:t>
      </w:r>
    </w:p>
    <w:p>
      <w:pPr>
        <w:pStyle w:val="Heading3"/>
        <w:spacing w:after="100" w:before="200"/>
      </w:pPr>
      <w:r>
        <w:rPr>
          <w:rFonts w:ascii="Sora" w:cs="Sora" w:eastAsia="Sora" w:hAnsi="Sora"/>
          <w:b/>
          <w:bCs/>
          <w:color w:val="2C49C0"/>
          <w:sz w:val="22"/>
          <w:szCs w:val="22"/>
        </w:rPr>
        <w:t xml:space="preserve">Step 8 — Health journey dashboard</w:t>
      </w:r>
    </w:p>
    <w:p>
      <w:pPr>
        <w:spacing w:after="160" w:line="280"/>
      </w:pPr>
      <w:r>
        <w:rPr>
          <w:rFonts w:ascii="IBM Plex Sans" w:cs="IBM Plex Sans" w:eastAsia="IBM Plex Sans" w:hAnsi="IBM Plex Sans"/>
          <w:color w:val="14171F"/>
          <w:sz w:val="21"/>
          <w:szCs w:val="21"/>
        </w:rPr>
        <w:t xml:space="preserve">WellNest continuously updates the patient's health timeline and progress.</w:t>
      </w:r>
    </w:p>
    <w:p>
      <w:pPr>
        <w:pStyle w:val="Heading1"/>
        <w:spacing w:after="200" w:before="420"/>
      </w:pPr>
      <w:r>
        <w:rPr>
          <w:rFonts w:ascii="Sora" w:cs="Sora" w:eastAsia="Sora" w:hAnsi="Sora"/>
          <w:b/>
          <w:bCs/>
          <w:color w:val="1B2F86"/>
        </w:rPr>
        <w:t xml:space="preserve">10. Information Architecture</w:t>
      </w:r>
    </w:p>
    <w:p>
      <w:pPr>
        <w:pStyle w:val="Heading3"/>
        <w:spacing w:after="100" w:before="200"/>
      </w:pPr>
      <w:r>
        <w:rPr>
          <w:rFonts w:ascii="Sora" w:cs="Sora" w:eastAsia="Sora" w:hAnsi="Sora"/>
          <w:b/>
          <w:bCs/>
          <w:color w:val="2C49C0"/>
          <w:sz w:val="22"/>
          <w:szCs w:val="22"/>
        </w:rPr>
        <w:t xml:space="preserve">Bottom navigation (mobile-first)</w:t>
      </w:r>
    </w:p>
    <w:p>
      <w:pPr>
        <w:pStyle w:val="ListParagraph"/>
        <w:numPr>
          <w:ilvl w:val="0"/>
          <w:numId w:val="2"/>
        </w:numPr>
        <w:spacing w:after="80"/>
      </w:pPr>
      <w:r>
        <w:rPr>
          <w:rFonts w:ascii="IBM Plex Sans" w:cs="IBM Plex Sans" w:eastAsia="IBM Plex Sans" w:hAnsi="IBM Plex Sans"/>
          <w:color w:val="14171F"/>
          <w:sz w:val="21"/>
          <w:szCs w:val="21"/>
        </w:rPr>
        <w:t xml:space="preserve">Home</w:t>
      </w:r>
    </w:p>
    <w:p>
      <w:pPr>
        <w:pStyle w:val="ListParagraph"/>
        <w:numPr>
          <w:ilvl w:val="0"/>
          <w:numId w:val="2"/>
        </w:numPr>
        <w:spacing w:after="80"/>
      </w:pPr>
      <w:r>
        <w:rPr>
          <w:rFonts w:ascii="IBM Plex Sans" w:cs="IBM Plex Sans" w:eastAsia="IBM Plex Sans" w:hAnsi="IBM Plex Sans"/>
          <w:color w:val="14171F"/>
          <w:sz w:val="21"/>
          <w:szCs w:val="21"/>
        </w:rPr>
        <w:t xml:space="preserve">Records</w:t>
      </w:r>
    </w:p>
    <w:p>
      <w:pPr>
        <w:pStyle w:val="ListParagraph"/>
        <w:numPr>
          <w:ilvl w:val="0"/>
          <w:numId w:val="2"/>
        </w:numPr>
        <w:spacing w:after="80"/>
      </w:pPr>
      <w:r>
        <w:rPr>
          <w:rFonts w:ascii="IBM Plex Sans" w:cs="IBM Plex Sans" w:eastAsia="IBM Plex Sans" w:hAnsi="IBM Plex Sans"/>
          <w:color w:val="14171F"/>
          <w:sz w:val="21"/>
          <w:szCs w:val="21"/>
        </w:rPr>
        <w:t xml:space="preserve">Ask AI</w:t>
      </w:r>
    </w:p>
    <w:p>
      <w:pPr>
        <w:pStyle w:val="ListParagraph"/>
        <w:numPr>
          <w:ilvl w:val="0"/>
          <w:numId w:val="2"/>
        </w:numPr>
        <w:spacing w:after="80"/>
      </w:pPr>
      <w:r>
        <w:rPr>
          <w:rFonts w:ascii="IBM Plex Sans" w:cs="IBM Plex Sans" w:eastAsia="IBM Plex Sans" w:hAnsi="IBM Plex Sans"/>
          <w:color w:val="14171F"/>
          <w:sz w:val="21"/>
          <w:szCs w:val="21"/>
        </w:rPr>
        <w:t xml:space="preserve">Family Care</w:t>
      </w:r>
    </w:p>
    <w:p>
      <w:pPr>
        <w:pStyle w:val="ListParagraph"/>
        <w:numPr>
          <w:ilvl w:val="0"/>
          <w:numId w:val="2"/>
        </w:numPr>
        <w:spacing w:after="80"/>
      </w:pPr>
      <w:r>
        <w:rPr>
          <w:rFonts w:ascii="IBM Plex Sans" w:cs="IBM Plex Sans" w:eastAsia="IBM Plex Sans" w:hAnsi="IBM Plex Sans"/>
          <w:color w:val="14171F"/>
          <w:sz w:val="21"/>
          <w:szCs w:val="21"/>
        </w:rPr>
        <w:t xml:space="preserve">Profile</w:t>
      </w:r>
    </w:p>
    <w:p>
      <w:pPr>
        <w:pStyle w:val="Heading1"/>
        <w:spacing w:after="200" w:before="420"/>
      </w:pPr>
      <w:r>
        <w:rPr>
          <w:rFonts w:ascii="Sora" w:cs="Sora" w:eastAsia="Sora" w:hAnsi="Sora"/>
          <w:b/>
          <w:bCs/>
          <w:color w:val="1B2F86"/>
        </w:rPr>
        <w:t xml:space="preserve">11. Screen List (Hackathon MVP)</w:t>
      </w:r>
    </w:p>
    <w:tbl>
      <w:tblPr>
        <w:tblW w:type="dxa" w:w="9350"/>
        <w:tblBorders>
          <w:top w:val="single" w:color="E3E7F0" w:sz="4"/>
          <w:left w:val="single" w:color="E3E7F0" w:sz="4"/>
          <w:bottom w:val="single" w:color="E3E7F0" w:sz="4"/>
          <w:right w:val="single" w:color="E3E7F0" w:sz="4"/>
          <w:insideH w:val="single" w:color="E3E7F0" w:sz="4"/>
          <w:insideV w:val="single" w:color="E3E7F0" w:sz="4"/>
        </w:tblBorders>
      </w:tblPr>
      <w:tblGrid>
        <w:gridCol w:w="700"/>
        <w:gridCol w:w="5500"/>
        <w:gridCol w:w="3150"/>
      </w:tblGrid>
      <w:tr>
        <w:tc>
          <w:tcPr>
            <w:tcW w:type="dxa" w:w="700"/>
            <w:shd w:fill="1B2F86" w:val="clear"/>
            <w:tcMar>
              <w:top w:type="dxa" w:w="100"/>
              <w:left w:type="dxa" w:w="120"/>
              <w:bottom w:type="dxa" w:w="100"/>
              <w:right w:type="dxa" w:w="120"/>
            </w:tcMar>
          </w:tcPr>
          <w:p>
            <w:pPr>
              <w:jc w:val="center"/>
            </w:pPr>
            <w:r>
              <w:rPr>
                <w:rFonts w:ascii="IBM Plex Sans" w:cs="IBM Plex Sans" w:eastAsia="IBM Plex Sans" w:hAnsi="IBM Plex Sans"/>
                <w:b/>
                <w:bCs/>
                <w:color w:val="FFFFFF"/>
                <w:sz w:val="20"/>
                <w:szCs w:val="20"/>
              </w:rPr>
              <w:t xml:space="preserve">#</w:t>
            </w:r>
          </w:p>
        </w:tc>
        <w:tc>
          <w:tcPr>
            <w:tcW w:type="dxa" w:w="5500"/>
            <w:shd w:fill="1B2F86" w:val="clear"/>
            <w:tcMar>
              <w:top w:type="dxa" w:w="100"/>
              <w:left w:type="dxa" w:w="120"/>
              <w:bottom w:type="dxa" w:w="100"/>
              <w:right w:type="dxa" w:w="120"/>
            </w:tcMar>
          </w:tcPr>
          <w:p>
            <w:pPr>
              <w:jc w:val="left"/>
            </w:pPr>
            <w:r>
              <w:rPr>
                <w:rFonts w:ascii="IBM Plex Sans" w:cs="IBM Plex Sans" w:eastAsia="IBM Plex Sans" w:hAnsi="IBM Plex Sans"/>
                <w:b/>
                <w:bCs/>
                <w:color w:val="FFFFFF"/>
                <w:sz w:val="20"/>
                <w:szCs w:val="20"/>
              </w:rPr>
              <w:t xml:space="preserve">Screen</w:t>
            </w:r>
          </w:p>
        </w:tc>
        <w:tc>
          <w:tcPr>
            <w:tcW w:type="dxa" w:w="3150"/>
            <w:shd w:fill="1B2F86" w:val="clear"/>
            <w:tcMar>
              <w:top w:type="dxa" w:w="100"/>
              <w:left w:type="dxa" w:w="120"/>
              <w:bottom w:type="dxa" w:w="100"/>
              <w:right w:type="dxa" w:w="120"/>
            </w:tcMar>
          </w:tcPr>
          <w:p>
            <w:pPr>
              <w:jc w:val="left"/>
            </w:pPr>
            <w:r>
              <w:rPr>
                <w:rFonts w:ascii="IBM Plex Sans" w:cs="IBM Plex Sans" w:eastAsia="IBM Plex Sans" w:hAnsi="IBM Plex Sans"/>
                <w:b/>
                <w:bCs/>
                <w:color w:val="FFFFFF"/>
                <w:sz w:val="20"/>
                <w:szCs w:val="20"/>
              </w:rPr>
              <w:t xml:space="preserve">Implemented in frontend</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1</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Splash screen</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Planned</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2</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Welcome / onboarding</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Planned</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3</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Patient or caregiver selection</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Planned</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4</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Home dashboard</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5</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Upload medical document</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6</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AI processing screen</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Planned</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7</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Diagnosis summary</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8</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Medication planner</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9</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WellNest AI chat</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10</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Health journey timeline</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FFFFF"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11</w:t>
            </w:r>
          </w:p>
        </w:tc>
        <w:tc>
          <w:tcPr>
            <w:tcW w:type="dxa" w:w="5500"/>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Family care dashboard</w:t>
            </w:r>
          </w:p>
        </w:tc>
        <w:tc>
          <w:tcPr>
            <w:tcW w:type="dxa" w:w="3150"/>
            <w:shd w:fill="FFFFFF"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r>
        <w:tc>
          <w:tcPr>
            <w:tcW w:type="dxa" w:w="700"/>
            <w:shd w:fill="F3F5FA" w:val="clear"/>
            <w:tcMar>
              <w:top w:type="dxa" w:w="100"/>
              <w:left w:type="dxa" w:w="120"/>
              <w:bottom w:type="dxa" w:w="100"/>
              <w:right w:type="dxa" w:w="120"/>
            </w:tcMar>
          </w:tcPr>
          <w:p>
            <w:pPr>
              <w:jc w:val="center"/>
            </w:pPr>
            <w:r>
              <w:rPr>
                <w:rFonts w:ascii="IBM Plex Sans" w:cs="IBM Plex Sans" w:eastAsia="IBM Plex Sans" w:hAnsi="IBM Plex Sans"/>
                <w:b w:val="false"/>
                <w:bCs w:val="false"/>
                <w:color w:val="14171F"/>
                <w:sz w:val="20"/>
                <w:szCs w:val="20"/>
              </w:rPr>
              <w:t xml:space="preserve">12</w:t>
            </w:r>
          </w:p>
        </w:tc>
        <w:tc>
          <w:tcPr>
            <w:tcW w:type="dxa" w:w="5500"/>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14171F"/>
                <w:sz w:val="20"/>
                <w:szCs w:val="20"/>
              </w:rPr>
              <w:t xml:space="preserve">Emergency health wallet</w:t>
            </w:r>
          </w:p>
        </w:tc>
        <w:tc>
          <w:tcPr>
            <w:tcW w:type="dxa" w:w="3150"/>
            <w:shd w:fill="F3F5FA" w:val="clear"/>
            <w:tcMar>
              <w:top w:type="dxa" w:w="100"/>
              <w:left w:type="dxa" w:w="120"/>
              <w:bottom w:type="dxa" w:w="100"/>
              <w:right w:type="dxa" w:w="120"/>
            </w:tcMar>
          </w:tcPr>
          <w:p>
            <w:pPr>
              <w:jc w:val="left"/>
            </w:pPr>
            <w:r>
              <w:rPr>
                <w:rFonts w:ascii="IBM Plex Sans" w:cs="IBM Plex Sans" w:eastAsia="IBM Plex Sans" w:hAnsi="IBM Plex Sans"/>
                <w:b/>
                <w:bCs/>
                <w:color w:val="2E9B4F"/>
                <w:sz w:val="20"/>
                <w:szCs w:val="20"/>
              </w:rPr>
              <w:t xml:space="preserve">Yes</w:t>
            </w:r>
          </w:p>
        </w:tc>
      </w:tr>
    </w:tbl>
    <w:p>
      <w:pPr>
        <w:pStyle w:val="Heading1"/>
        <w:spacing w:after="200" w:before="420"/>
      </w:pPr>
      <w:r>
        <w:rPr>
          <w:rFonts w:ascii="Sora" w:cs="Sora" w:eastAsia="Sora" w:hAnsi="Sora"/>
          <w:b/>
          <w:bCs/>
          <w:color w:val="1B2F86"/>
        </w:rPr>
        <w:t xml:space="preserve">12. Functional Requirements</w:t>
      </w:r>
    </w:p>
    <w:tbl>
      <w:tblPr>
        <w:tblW w:type="dxa" w:w="9350"/>
        <w:tblBorders>
          <w:top w:val="single" w:color="E3E7F0" w:sz="4"/>
          <w:left w:val="single" w:color="E3E7F0" w:sz="4"/>
          <w:bottom w:val="single" w:color="E3E7F0" w:sz="4"/>
          <w:right w:val="single" w:color="E3E7F0" w:sz="4"/>
          <w:insideH w:val="single" w:color="E3E7F0" w:sz="4"/>
          <w:insideV w:val="single" w:color="E3E7F0" w:sz="4"/>
        </w:tblBorders>
      </w:tblPr>
      <w:tblGrid>
        <w:gridCol w:w="9350"/>
      </w:tblGrid>
      <w:tr>
        <w:tc>
          <w:tcPr>
            <w:tcW w:type="dxa" w:w="9350"/>
            <w:gridSpan w:val="1"/>
            <w:shd w:fill="D5473D" w:val="clear"/>
            <w:tcMar>
              <w:top w:type="dxa" w:w="100"/>
              <w:left w:type="dxa" w:w="160"/>
              <w:bottom w:type="dxa" w:w="100"/>
              <w:right w:type="dxa" w:w="160"/>
            </w:tcMar>
          </w:tcPr>
          <w:p>
            <w:r>
              <w:rPr>
                <w:rFonts w:ascii="IBM Plex Sans" w:cs="IBM Plex Sans" w:eastAsia="IBM Plex Sans" w:hAnsi="IBM Plex Sans"/>
                <w:b/>
                <w:bCs/>
                <w:color w:val="FFFFFF"/>
                <w:sz w:val="20"/>
                <w:szCs w:val="20"/>
              </w:rPr>
              <w:t xml:space="preserve">P0 — Must have</w:t>
            </w:r>
          </w:p>
        </w:tc>
      </w:tr>
      <w:tr>
        <w:tc>
          <w:tcPr>
            <w:tcW w:type="dxa" w:w="9350"/>
            <w:shd w:fill="F3F5FA"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User authentication</w:t>
            </w:r>
          </w:p>
        </w:tc>
      </w:tr>
      <w:tr>
        <w:tc>
          <w:tcPr>
            <w:tcW w:type="dxa" w:w="9350"/>
            <w:shd w:fill="FFFFFF"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Medical document upload</w:t>
            </w:r>
          </w:p>
        </w:tc>
      </w:tr>
      <w:tr>
        <w:tc>
          <w:tcPr>
            <w:tcW w:type="dxa" w:w="9350"/>
            <w:shd w:fill="F3F5FA"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OCR document reading</w:t>
            </w:r>
          </w:p>
        </w:tc>
      </w:tr>
      <w:tr>
        <w:tc>
          <w:tcPr>
            <w:tcW w:type="dxa" w:w="9350"/>
            <w:shd w:fill="FFFFFF"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AI diagnosis translation</w:t>
            </w:r>
          </w:p>
        </w:tc>
      </w:tr>
      <w:tr>
        <w:tc>
          <w:tcPr>
            <w:tcW w:type="dxa" w:w="9350"/>
            <w:shd w:fill="F3F5FA"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Medication schedule generator</w:t>
            </w:r>
          </w:p>
        </w:tc>
      </w:tr>
      <w:tr>
        <w:tc>
          <w:tcPr>
            <w:tcW w:type="dxa" w:w="9350"/>
            <w:shd w:fill="FFFFFF"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AI healthcare chat</w:t>
            </w:r>
          </w:p>
        </w:tc>
      </w:tr>
      <w:tr>
        <w:tc>
          <w:tcPr>
            <w:tcW w:type="dxa" w:w="9350"/>
            <w:gridSpan w:val="1"/>
            <w:shd w:fill="2C49C0" w:val="clear"/>
            <w:tcMar>
              <w:top w:type="dxa" w:w="100"/>
              <w:left w:type="dxa" w:w="160"/>
              <w:bottom w:type="dxa" w:w="100"/>
              <w:right w:type="dxa" w:w="160"/>
            </w:tcMar>
          </w:tcPr>
          <w:p>
            <w:r>
              <w:rPr>
                <w:rFonts w:ascii="IBM Plex Sans" w:cs="IBM Plex Sans" w:eastAsia="IBM Plex Sans" w:hAnsi="IBM Plex Sans"/>
                <w:b/>
                <w:bCs/>
                <w:color w:val="FFFFFF"/>
                <w:sz w:val="20"/>
                <w:szCs w:val="20"/>
              </w:rPr>
              <w:t xml:space="preserve">P1 — Should have</w:t>
            </w:r>
          </w:p>
        </w:tc>
      </w:tr>
      <w:tr>
        <w:tc>
          <w:tcPr>
            <w:tcW w:type="dxa" w:w="9350"/>
            <w:shd w:fill="F3F5FA"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Family Care Mode</w:t>
            </w:r>
          </w:p>
        </w:tc>
      </w:tr>
      <w:tr>
        <w:tc>
          <w:tcPr>
            <w:tcW w:type="dxa" w:w="9350"/>
            <w:shd w:fill="FFFFFF"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Health timeline</w:t>
            </w:r>
          </w:p>
        </w:tc>
      </w:tr>
      <w:tr>
        <w:tc>
          <w:tcPr>
            <w:tcW w:type="dxa" w:w="9350"/>
            <w:shd w:fill="F3F5FA"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Appointment reminders</w:t>
            </w:r>
          </w:p>
        </w:tc>
      </w:tr>
      <w:tr>
        <w:tc>
          <w:tcPr>
            <w:tcW w:type="dxa" w:w="9350"/>
            <w:shd w:fill="FFFFFF" w:val="clear"/>
            <w:tcMar>
              <w:top w:type="dxa" w:w="80"/>
              <w:left w:type="dxa" w:w="200"/>
              <w:bottom w:type="dxa" w:w="80"/>
              <w:right w:type="dxa" w:w="160"/>
            </w:tcMar>
          </w:tcPr>
          <w:p>
            <w:r>
              <w:rPr>
                <w:rFonts w:ascii="IBM Plex Sans" w:cs="IBM Plex Sans" w:eastAsia="IBM Plex Sans" w:hAnsi="IBM Plex Sans"/>
                <w:color w:val="14171F"/>
                <w:sz w:val="20"/>
                <w:szCs w:val="20"/>
              </w:rPr>
              <w:t xml:space="preserve">Emergency health wallet</w:t>
            </w:r>
          </w:p>
        </w:tc>
      </w:tr>
    </w:tbl>
    <w:p>
      <w:pPr>
        <w:pStyle w:val="Heading1"/>
        <w:spacing w:after="200" w:before="420"/>
      </w:pPr>
      <w:r>
        <w:rPr>
          <w:rFonts w:ascii="Sora" w:cs="Sora" w:eastAsia="Sora" w:hAnsi="Sora"/>
          <w:b/>
          <w:bCs/>
          <w:color w:val="1B2F86"/>
        </w:rPr>
        <w:t xml:space="preserve">13. Non-Functional Requirements</w:t>
      </w:r>
    </w:p>
    <w:p>
      <w:pPr>
        <w:pStyle w:val="ListParagraph"/>
        <w:numPr>
          <w:ilvl w:val="0"/>
          <w:numId w:val="2"/>
        </w:numPr>
        <w:spacing w:after="80"/>
      </w:pPr>
      <w:r>
        <w:rPr>
          <w:rFonts w:ascii="IBM Plex Sans" w:cs="IBM Plex Sans" w:eastAsia="IBM Plex Sans" w:hAnsi="IBM Plex Sans"/>
          <w:color w:val="14171F"/>
          <w:sz w:val="21"/>
          <w:szCs w:val="21"/>
        </w:rPr>
        <w:t xml:space="preserve">Mobile-first design (iOS &amp; Android)</w:t>
      </w:r>
    </w:p>
    <w:p>
      <w:pPr>
        <w:pStyle w:val="ListParagraph"/>
        <w:numPr>
          <w:ilvl w:val="0"/>
          <w:numId w:val="2"/>
        </w:numPr>
        <w:spacing w:after="80"/>
      </w:pPr>
      <w:r>
        <w:rPr>
          <w:rFonts w:ascii="IBM Plex Sans" w:cs="IBM Plex Sans" w:eastAsia="IBM Plex Sans" w:hAnsi="IBM Plex Sans"/>
          <w:color w:val="14171F"/>
          <w:sz w:val="21"/>
          <w:szCs w:val="21"/>
        </w:rPr>
        <w:t xml:space="preserve">Accessible typography for adults and elderly users</w:t>
      </w:r>
    </w:p>
    <w:p>
      <w:pPr>
        <w:pStyle w:val="ListParagraph"/>
        <w:numPr>
          <w:ilvl w:val="0"/>
          <w:numId w:val="2"/>
        </w:numPr>
        <w:spacing w:after="80"/>
      </w:pPr>
      <w:r>
        <w:rPr>
          <w:rFonts w:ascii="IBM Plex Sans" w:cs="IBM Plex Sans" w:eastAsia="IBM Plex Sans" w:hAnsi="IBM Plex Sans"/>
          <w:color w:val="14171F"/>
          <w:sz w:val="21"/>
          <w:szCs w:val="21"/>
        </w:rPr>
        <w:t xml:space="preserve">Large, touch-friendly buttons</w:t>
      </w:r>
    </w:p>
    <w:p>
      <w:pPr>
        <w:pStyle w:val="ListParagraph"/>
        <w:numPr>
          <w:ilvl w:val="0"/>
          <w:numId w:val="2"/>
        </w:numPr>
        <w:spacing w:after="80"/>
      </w:pPr>
      <w:r>
        <w:rPr>
          <w:rFonts w:ascii="IBM Plex Sans" w:cs="IBM Plex Sans" w:eastAsia="IBM Plex Sans" w:hAnsi="IBM Plex Sans"/>
          <w:color w:val="14171F"/>
          <w:sz w:val="21"/>
          <w:szCs w:val="21"/>
        </w:rPr>
        <w:t xml:space="preserve">Fast AI response time</w:t>
      </w:r>
    </w:p>
    <w:p>
      <w:pPr>
        <w:pStyle w:val="ListParagraph"/>
        <w:numPr>
          <w:ilvl w:val="0"/>
          <w:numId w:val="2"/>
        </w:numPr>
        <w:spacing w:after="80"/>
      </w:pPr>
      <w:r>
        <w:rPr>
          <w:rFonts w:ascii="IBM Plex Sans" w:cs="IBM Plex Sans" w:eastAsia="IBM Plex Sans" w:hAnsi="IBM Plex Sans"/>
          <w:color w:val="14171F"/>
          <w:sz w:val="21"/>
          <w:szCs w:val="21"/>
        </w:rPr>
        <w:t xml:space="preserve">Secure handling of health records</w:t>
      </w:r>
    </w:p>
    <w:p>
      <w:pPr>
        <w:pStyle w:val="ListParagraph"/>
        <w:numPr>
          <w:ilvl w:val="0"/>
          <w:numId w:val="2"/>
        </w:numPr>
        <w:spacing w:after="80"/>
      </w:pPr>
      <w:r>
        <w:rPr>
          <w:rFonts w:ascii="IBM Plex Sans" w:cs="IBM Plex Sans" w:eastAsia="IBM Plex Sans" w:hAnsi="IBM Plex Sans"/>
          <w:color w:val="14171F"/>
          <w:sz w:val="21"/>
          <w:szCs w:val="21"/>
        </w:rPr>
        <w:t xml:space="preserve">Simple and trustworthy user interface</w:t>
      </w:r>
    </w:p>
    <w:p>
      <w:pPr>
        <w:pStyle w:val="Heading1"/>
        <w:spacing w:after="200" w:before="420"/>
      </w:pPr>
      <w:r>
        <w:rPr>
          <w:rFonts w:ascii="Sora" w:cs="Sora" w:eastAsia="Sora" w:hAnsi="Sora"/>
          <w:b/>
          <w:bCs/>
          <w:color w:val="1B2F86"/>
        </w:rPr>
        <w:t xml:space="preserve">14. AI Components</w:t>
      </w:r>
    </w:p>
    <w:p>
      <w:pPr>
        <w:pStyle w:val="Heading3"/>
        <w:spacing w:after="100" w:before="200"/>
      </w:pPr>
      <w:r>
        <w:rPr>
          <w:rFonts w:ascii="Sora" w:cs="Sora" w:eastAsia="Sora" w:hAnsi="Sora"/>
          <w:b/>
          <w:bCs/>
          <w:color w:val="2C49C0"/>
          <w:sz w:val="22"/>
          <w:szCs w:val="22"/>
        </w:rPr>
        <w:t xml:space="preserve">OCR engine</w:t>
      </w:r>
    </w:p>
    <w:p>
      <w:pPr>
        <w:spacing w:after="160" w:line="280"/>
      </w:pPr>
      <w:r>
        <w:rPr>
          <w:rFonts w:ascii="IBM Plex Sans" w:cs="IBM Plex Sans" w:eastAsia="IBM Plex Sans" w:hAnsi="IBM Plex Sans"/>
          <w:color w:val="14171F"/>
          <w:sz w:val="21"/>
          <w:szCs w:val="21"/>
        </w:rPr>
        <w:t xml:space="preserve">Extracts text from prescriptions, lab reports, and doctor's notes.</w:t>
      </w:r>
    </w:p>
    <w:p>
      <w:pPr>
        <w:pStyle w:val="Heading3"/>
        <w:spacing w:after="100" w:before="200"/>
      </w:pPr>
      <w:r>
        <w:rPr>
          <w:rFonts w:ascii="Sora" w:cs="Sora" w:eastAsia="Sora" w:hAnsi="Sora"/>
          <w:b/>
          <w:bCs/>
          <w:color w:val="2C49C0"/>
          <w:sz w:val="22"/>
          <w:szCs w:val="22"/>
        </w:rPr>
        <w:t xml:space="preserve">Medical NLP engine</w:t>
      </w:r>
    </w:p>
    <w:p>
      <w:pPr>
        <w:spacing w:after="160" w:line="280"/>
      </w:pPr>
      <w:r>
        <w:rPr>
          <w:rFonts w:ascii="IBM Plex Sans" w:cs="IBM Plex Sans" w:eastAsia="IBM Plex Sans" w:hAnsi="IBM Plex Sans"/>
          <w:color w:val="14171F"/>
          <w:sz w:val="21"/>
          <w:szCs w:val="21"/>
        </w:rPr>
        <w:t xml:space="preserve">Identifies diagnoses, medications, dosage instructions, and follow-up recommendations.</w:t>
      </w:r>
    </w:p>
    <w:p>
      <w:pPr>
        <w:pStyle w:val="Heading3"/>
        <w:spacing w:after="100" w:before="200"/>
      </w:pPr>
      <w:r>
        <w:rPr>
          <w:rFonts w:ascii="Sora" w:cs="Sora" w:eastAsia="Sora" w:hAnsi="Sora"/>
          <w:b/>
          <w:bCs/>
          <w:color w:val="2C49C0"/>
          <w:sz w:val="22"/>
          <w:szCs w:val="22"/>
        </w:rPr>
        <w:t xml:space="preserve">AI assistant</w:t>
      </w:r>
    </w:p>
    <w:p>
      <w:pPr>
        <w:spacing w:after="160" w:line="280"/>
      </w:pPr>
      <w:r>
        <w:rPr>
          <w:rFonts w:ascii="IBM Plex Sans" w:cs="IBM Plex Sans" w:eastAsia="IBM Plex Sans" w:hAnsi="IBM Plex Sans"/>
          <w:color w:val="14171F"/>
          <w:sz w:val="21"/>
          <w:szCs w:val="21"/>
        </w:rPr>
        <w:t xml:space="preserve">Answers healthcare questions using uploaded patient context.</w:t>
      </w:r>
    </w:p>
    <w:p>
      <w:pPr>
        <w:pStyle w:val="Heading3"/>
        <w:spacing w:after="100" w:before="200"/>
      </w:pPr>
      <w:r>
        <w:rPr>
          <w:rFonts w:ascii="Sora" w:cs="Sora" w:eastAsia="Sora" w:hAnsi="Sora"/>
          <w:b/>
          <w:bCs/>
          <w:color w:val="2C49C0"/>
          <w:sz w:val="22"/>
          <w:szCs w:val="22"/>
        </w:rPr>
        <w:t xml:space="preserve">Recommendation engine</w:t>
      </w:r>
    </w:p>
    <w:p>
      <w:pPr>
        <w:spacing w:after="160" w:line="280"/>
      </w:pPr>
      <w:r>
        <w:rPr>
          <w:rFonts w:ascii="IBM Plex Sans" w:cs="IBM Plex Sans" w:eastAsia="IBM Plex Sans" w:hAnsi="IBM Plex Sans"/>
          <w:color w:val="14171F"/>
          <w:sz w:val="21"/>
          <w:szCs w:val="21"/>
        </w:rPr>
        <w:t xml:space="preserve">Creates medication schedules, reminders, and care plans.</w:t>
      </w:r>
    </w:p>
    <w:p>
      <w:pPr>
        <w:pStyle w:val="Heading1"/>
        <w:spacing w:after="200" w:before="420"/>
      </w:pPr>
      <w:r>
        <w:rPr>
          <w:rFonts w:ascii="Sora" w:cs="Sora" w:eastAsia="Sora" w:hAnsi="Sora"/>
          <w:b/>
          <w:bCs/>
          <w:color w:val="1B2F86"/>
        </w:rPr>
        <w:t xml:space="preserve">15. Success Metrics (Hackathon MVP)</w:t>
      </w:r>
    </w:p>
    <w:p>
      <w:pPr>
        <w:pStyle w:val="ListParagraph"/>
        <w:numPr>
          <w:ilvl w:val="0"/>
          <w:numId w:val="2"/>
        </w:numPr>
        <w:spacing w:after="80"/>
      </w:pPr>
      <w:r>
        <w:rPr>
          <w:rFonts w:ascii="IBM Plex Sans" w:cs="IBM Plex Sans" w:eastAsia="IBM Plex Sans" w:hAnsi="IBM Plex Sans"/>
          <w:color w:val="14171F"/>
          <w:sz w:val="21"/>
          <w:szCs w:val="21"/>
        </w:rPr>
        <w:t xml:space="preserve">Users successfully upload a medical document</w:t>
      </w:r>
    </w:p>
    <w:p>
      <w:pPr>
        <w:pStyle w:val="ListParagraph"/>
        <w:numPr>
          <w:ilvl w:val="0"/>
          <w:numId w:val="2"/>
        </w:numPr>
        <w:spacing w:after="80"/>
      </w:pPr>
      <w:r>
        <w:rPr>
          <w:rFonts w:ascii="IBM Plex Sans" w:cs="IBM Plex Sans" w:eastAsia="IBM Plex Sans" w:hAnsi="IBM Plex Sans"/>
          <w:color w:val="14171F"/>
          <w:sz w:val="21"/>
          <w:szCs w:val="21"/>
        </w:rPr>
        <w:t xml:space="preserve">AI generates a simplified diagnosis summary</w:t>
      </w:r>
    </w:p>
    <w:p>
      <w:pPr>
        <w:pStyle w:val="ListParagraph"/>
        <w:numPr>
          <w:ilvl w:val="0"/>
          <w:numId w:val="2"/>
        </w:numPr>
        <w:spacing w:after="80"/>
      </w:pPr>
      <w:r>
        <w:rPr>
          <w:rFonts w:ascii="IBM Plex Sans" w:cs="IBM Plex Sans" w:eastAsia="IBM Plex Sans" w:hAnsi="IBM Plex Sans"/>
          <w:color w:val="14171F"/>
          <w:sz w:val="21"/>
          <w:szCs w:val="21"/>
        </w:rPr>
        <w:t xml:space="preserve">Medication schedule is automatically created</w:t>
      </w:r>
    </w:p>
    <w:p>
      <w:pPr>
        <w:pStyle w:val="ListParagraph"/>
        <w:numPr>
          <w:ilvl w:val="0"/>
          <w:numId w:val="2"/>
        </w:numPr>
        <w:spacing w:after="80"/>
      </w:pPr>
      <w:r>
        <w:rPr>
          <w:rFonts w:ascii="IBM Plex Sans" w:cs="IBM Plex Sans" w:eastAsia="IBM Plex Sans" w:hAnsi="IBM Plex Sans"/>
          <w:color w:val="14171F"/>
          <w:sz w:val="21"/>
          <w:szCs w:val="21"/>
        </w:rPr>
        <w:t xml:space="preserve">Users interact with WellNest AI Assistant</w:t>
      </w:r>
    </w:p>
    <w:p>
      <w:pPr>
        <w:pStyle w:val="ListParagraph"/>
        <w:numPr>
          <w:ilvl w:val="0"/>
          <w:numId w:val="2"/>
        </w:numPr>
        <w:spacing w:after="80"/>
      </w:pPr>
      <w:r>
        <w:rPr>
          <w:rFonts w:ascii="IBM Plex Sans" w:cs="IBM Plex Sans" w:eastAsia="IBM Plex Sans" w:hAnsi="IBM Plex Sans"/>
          <w:color w:val="14171F"/>
          <w:sz w:val="21"/>
          <w:szCs w:val="21"/>
        </w:rPr>
        <w:t xml:space="preserve">Care plan can be shared with a caregiver</w:t>
      </w:r>
    </w:p>
    <w:p>
      <w:pPr>
        <w:pStyle w:val="Heading1"/>
        <w:spacing w:after="200" w:before="420"/>
      </w:pPr>
      <w:r>
        <w:rPr>
          <w:rFonts w:ascii="Sora" w:cs="Sora" w:eastAsia="Sora" w:hAnsi="Sora"/>
          <w:b/>
          <w:bCs/>
          <w:color w:val="1B2F86"/>
        </w:rPr>
        <w:t xml:space="preserve">16. Out of Scope (Future Versions)</w:t>
      </w:r>
    </w:p>
    <w:p>
      <w:pPr>
        <w:pStyle w:val="ListParagraph"/>
        <w:numPr>
          <w:ilvl w:val="0"/>
          <w:numId w:val="2"/>
        </w:numPr>
        <w:spacing w:after="80"/>
      </w:pPr>
      <w:r>
        <w:rPr>
          <w:rFonts w:ascii="IBM Plex Sans" w:cs="IBM Plex Sans" w:eastAsia="IBM Plex Sans" w:hAnsi="IBM Plex Sans"/>
          <w:color w:val="14171F"/>
          <w:sz w:val="21"/>
          <w:szCs w:val="21"/>
        </w:rPr>
        <w:t xml:space="preserve">Video consultations</w:t>
      </w:r>
    </w:p>
    <w:p>
      <w:pPr>
        <w:pStyle w:val="ListParagraph"/>
        <w:numPr>
          <w:ilvl w:val="0"/>
          <w:numId w:val="2"/>
        </w:numPr>
        <w:spacing w:after="80"/>
      </w:pPr>
      <w:r>
        <w:rPr>
          <w:rFonts w:ascii="IBM Plex Sans" w:cs="IBM Plex Sans" w:eastAsia="IBM Plex Sans" w:hAnsi="IBM Plex Sans"/>
          <w:color w:val="14171F"/>
          <w:sz w:val="21"/>
          <w:szCs w:val="21"/>
        </w:rPr>
        <w:t xml:space="preserve">Pharmacy delivery</w:t>
      </w:r>
    </w:p>
    <w:p>
      <w:pPr>
        <w:pStyle w:val="ListParagraph"/>
        <w:numPr>
          <w:ilvl w:val="0"/>
          <w:numId w:val="2"/>
        </w:numPr>
        <w:spacing w:after="80"/>
      </w:pPr>
      <w:r>
        <w:rPr>
          <w:rFonts w:ascii="IBM Plex Sans" w:cs="IBM Plex Sans" w:eastAsia="IBM Plex Sans" w:hAnsi="IBM Plex Sans"/>
          <w:color w:val="14171F"/>
          <w:sz w:val="21"/>
          <w:szCs w:val="21"/>
        </w:rPr>
        <w:t xml:space="preserve">Insurance claims</w:t>
      </w:r>
    </w:p>
    <w:p>
      <w:pPr>
        <w:pStyle w:val="ListParagraph"/>
        <w:numPr>
          <w:ilvl w:val="0"/>
          <w:numId w:val="2"/>
        </w:numPr>
        <w:spacing w:after="80"/>
      </w:pPr>
      <w:r>
        <w:rPr>
          <w:rFonts w:ascii="IBM Plex Sans" w:cs="IBM Plex Sans" w:eastAsia="IBM Plex Sans" w:hAnsi="IBM Plex Sans"/>
          <w:color w:val="14171F"/>
          <w:sz w:val="21"/>
          <w:szCs w:val="21"/>
        </w:rPr>
        <w:t xml:space="preserve">Wearable device integration</w:t>
      </w:r>
    </w:p>
    <w:p>
      <w:pPr>
        <w:pStyle w:val="ListParagraph"/>
        <w:numPr>
          <w:ilvl w:val="0"/>
          <w:numId w:val="2"/>
        </w:numPr>
        <w:spacing w:after="80"/>
      </w:pPr>
      <w:r>
        <w:rPr>
          <w:rFonts w:ascii="IBM Plex Sans" w:cs="IBM Plex Sans" w:eastAsia="IBM Plex Sans" w:hAnsi="IBM Plex Sans"/>
          <w:color w:val="14171F"/>
          <w:sz w:val="21"/>
          <w:szCs w:val="21"/>
        </w:rPr>
        <w:t xml:space="preserve">Hospital appointment booking</w:t>
      </w:r>
    </w:p>
    <w:p>
      <w:pPr>
        <w:pStyle w:val="ListParagraph"/>
        <w:numPr>
          <w:ilvl w:val="0"/>
          <w:numId w:val="2"/>
        </w:numPr>
        <w:spacing w:after="80"/>
      </w:pPr>
      <w:r>
        <w:rPr>
          <w:rFonts w:ascii="IBM Plex Sans" w:cs="IBM Plex Sans" w:eastAsia="IBM Plex Sans" w:hAnsi="IBM Plex Sans"/>
          <w:color w:val="14171F"/>
          <w:sz w:val="21"/>
          <w:szCs w:val="21"/>
        </w:rPr>
        <w:t xml:space="preserve">Predictive disease diagnosis</w:t>
      </w:r>
    </w:p>
    <w:p>
      <w:pPr>
        <w:spacing w:after="160" w:line="280"/>
      </w:pPr>
      <w:r>
        <w:rPr>
          <w:rFonts w:ascii="IBM Plex Sans" w:cs="IBM Plex Sans" w:eastAsia="IBM Plex Sans" w:hAnsi="IBM Plex Sans"/>
          <w:i/>
          <w:iCs/>
          <w:color w:val="5B6472"/>
          <w:sz w:val="21"/>
          <w:szCs w:val="21"/>
        </w:rPr>
        <w:t xml:space="preserve">These features are reserved for future versions after the MVP.</w:t>
      </w:r>
    </w:p>
    <w:p>
      <w:pPr>
        <w:pStyle w:val="Heading1"/>
        <w:spacing w:after="200" w:before="420"/>
      </w:pPr>
      <w:r>
        <w:rPr>
          <w:rFonts w:ascii="Sora" w:cs="Sora" w:eastAsia="Sora" w:hAnsi="Sora"/>
          <w:b/>
          <w:bCs/>
          <w:color w:val="1B2F86"/>
        </w:rPr>
        <w:t xml:space="preserve">17. Competitive Advantage</w:t>
      </w:r>
    </w:p>
    <w:tbl>
      <w:tblPr>
        <w:tblW w:type="dxa" w:w="9350"/>
        <w:tblBorders>
          <w:top w:val="single" w:color="E3E7F0" w:sz="4"/>
          <w:left w:val="single" w:color="E3E7F0" w:sz="4"/>
          <w:bottom w:val="single" w:color="E3E7F0" w:sz="4"/>
          <w:right w:val="single" w:color="E3E7F0" w:sz="4"/>
          <w:insideH w:val="single" w:color="E3E7F0" w:sz="4"/>
          <w:insideV w:val="single" w:color="E3E7F0" w:sz="4"/>
        </w:tblBorders>
      </w:tblPr>
      <w:tblGrid>
        <w:gridCol w:w="4675"/>
        <w:gridCol w:w="4675"/>
      </w:tblGrid>
      <w:tr>
        <w:tc>
          <w:tcPr>
            <w:tcW w:type="dxa" w:w="4675"/>
            <w:shd w:fill="5B6472" w:val="clear"/>
            <w:tcMar>
              <w:top w:type="dxa" w:w="100"/>
              <w:left w:type="dxa" w:w="120"/>
              <w:bottom w:type="dxa" w:w="100"/>
              <w:right w:type="dxa" w:w="120"/>
            </w:tcMar>
          </w:tcPr>
          <w:p>
            <w:pPr>
              <w:jc w:val="left"/>
            </w:pPr>
            <w:r>
              <w:rPr>
                <w:rFonts w:ascii="IBM Plex Sans" w:cs="IBM Plex Sans" w:eastAsia="IBM Plex Sans" w:hAnsi="IBM Plex Sans"/>
                <w:b/>
                <w:bCs/>
                <w:color w:val="FFFFFF"/>
                <w:sz w:val="20"/>
                <w:szCs w:val="20"/>
              </w:rPr>
              <w:t xml:space="preserve">Existing AI tools</w:t>
            </w:r>
          </w:p>
        </w:tc>
        <w:tc>
          <w:tcPr>
            <w:tcW w:type="dxa" w:w="4675"/>
            <w:shd w:fill="2C49C0" w:val="clear"/>
            <w:tcMar>
              <w:top w:type="dxa" w:w="100"/>
              <w:left w:type="dxa" w:w="120"/>
              <w:bottom w:type="dxa" w:w="100"/>
              <w:right w:type="dxa" w:w="120"/>
            </w:tcMar>
          </w:tcPr>
          <w:p>
            <w:pPr>
              <w:jc w:val="left"/>
            </w:pPr>
            <w:r>
              <w:rPr>
                <w:rFonts w:ascii="IBM Plex Sans" w:cs="IBM Plex Sans" w:eastAsia="IBM Plex Sans" w:hAnsi="IBM Plex Sans"/>
                <w:b/>
                <w:bCs/>
                <w:color w:val="FFFFFF"/>
                <w:sz w:val="20"/>
                <w:szCs w:val="20"/>
              </w:rPr>
              <w:t xml:space="preserve">WellNest AI</w:t>
            </w:r>
          </w:p>
        </w:tc>
      </w:tr>
      <w:tr>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Explain one document at a time</w:t>
            </w:r>
          </w:p>
        </w:tc>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Creates a continuous healthcare journey</w:t>
            </w:r>
          </w:p>
        </w:tc>
      </w:tr>
      <w:tr>
        <w:tc>
          <w:tcPr>
            <w:tcW w:type="dxa" w:w="4675"/>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Generic responses</w:t>
            </w:r>
          </w:p>
        </w:tc>
        <w:tc>
          <w:tcPr>
            <w:tcW w:type="dxa" w:w="4675"/>
            <w:shd w:fill="EEF1FC" w:val="clear"/>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Personalised using uploaded medical history</w:t>
            </w:r>
          </w:p>
        </w:tc>
      </w:tr>
      <w:tr>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No medication management</w:t>
            </w:r>
          </w:p>
        </w:tc>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AI-generated medication schedules and reminders</w:t>
            </w:r>
          </w:p>
        </w:tc>
      </w:tr>
      <w:tr>
        <w:tc>
          <w:tcPr>
            <w:tcW w:type="dxa" w:w="4675"/>
            <w:shd w:fill="F3F5FA"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No caregiver support</w:t>
            </w:r>
          </w:p>
        </w:tc>
        <w:tc>
          <w:tcPr>
            <w:tcW w:type="dxa" w:w="4675"/>
            <w:shd w:fill="EEF1FC" w:val="clear"/>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Family Care Mode with shared treatment plans</w:t>
            </w:r>
          </w:p>
        </w:tc>
      </w:tr>
      <w:tr>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val="false"/>
                <w:bCs w:val="false"/>
                <w:color w:val="5B6472"/>
                <w:sz w:val="20"/>
                <w:szCs w:val="20"/>
              </w:rPr>
              <w:t xml:space="preserve">No health timeline</w:t>
            </w:r>
          </w:p>
        </w:tc>
        <w:tc>
          <w:tcPr>
            <w:tcW w:type="dxa" w:w="4675"/>
            <w:shd w:fill="FFFFFF" w:val="clear"/>
            <w:tcMar>
              <w:top w:type="dxa" w:w="100"/>
              <w:left w:type="dxa" w:w="120"/>
              <w:bottom w:type="dxa" w:w="100"/>
              <w:right w:type="dxa" w:w="120"/>
            </w:tcMar>
          </w:tcPr>
          <w:p>
            <w:pPr>
              <w:jc w:val="left"/>
            </w:pPr>
            <w:r>
              <w:rPr>
                <w:rFonts w:ascii="IBM Plex Sans" w:cs="IBM Plex Sans" w:eastAsia="IBM Plex Sans" w:hAnsi="IBM Plex Sans"/>
                <w:b/>
                <w:bCs/>
                <w:color w:val="1B2F86"/>
                <w:sz w:val="20"/>
                <w:szCs w:val="20"/>
              </w:rPr>
              <w:t xml:space="preserve">Tracks diagnoses, reports, appointments, and progress</w:t>
            </w:r>
          </w:p>
        </w:tc>
      </w:tr>
    </w:tbl>
    <w:p>
      <w:pPr>
        <w:pStyle w:val="Heading1"/>
        <w:spacing w:after="200" w:before="420"/>
      </w:pPr>
      <w:r>
        <w:rPr>
          <w:rFonts w:ascii="Sora" w:cs="Sora" w:eastAsia="Sora" w:hAnsi="Sora"/>
          <w:b/>
          <w:bCs/>
          <w:color w:val="1B2F86"/>
        </w:rPr>
        <w:t xml:space="preserve">18. Expected Impact</w:t>
      </w:r>
    </w:p>
    <w:p>
      <w:pPr>
        <w:spacing w:after="160" w:line="280"/>
      </w:pPr>
      <w:r>
        <w:rPr>
          <w:rFonts w:ascii="IBM Plex Sans" w:cs="IBM Plex Sans" w:eastAsia="IBM Plex Sans" w:hAnsi="IBM Plex Sans"/>
          <w:color w:val="14171F"/>
          <w:sz w:val="21"/>
          <w:szCs w:val="21"/>
        </w:rPr>
        <w:t xml:space="preserve">WellNest aims to improve healthcare accessibility by helping patients better understand their medical information, adhere to treatment plans, and involve caregivers throughout their healthcare journey.</w:t>
      </w:r>
    </w:p>
    <w:p>
      <w:pPr>
        <w:spacing w:after="160" w:line="280"/>
      </w:pPr>
      <w:r>
        <w:rPr>
          <w:rFonts w:ascii="IBM Plex Sans" w:cs="IBM Plex Sans" w:eastAsia="IBM Plex Sans" w:hAnsi="IBM Plex Sans"/>
          <w:color w:val="14171F"/>
          <w:sz w:val="21"/>
          <w:szCs w:val="21"/>
        </w:rPr>
        <w:t xml:space="preserve">By combining AI with a patient-centred experience, WellNest reduces confusion after hospital visits and empowers users to make informed health decisions.</w:t>
      </w:r>
    </w:p>
    <w:p>
      <w:r>
        <w:br w:type="page"/>
      </w:r>
    </w:p>
    <w:p>
      <w:pPr>
        <w:pStyle w:val="Heading1"/>
        <w:spacing w:after="200" w:before="420"/>
      </w:pPr>
      <w:r>
        <w:rPr>
          <w:rFonts w:ascii="Sora" w:cs="Sora" w:eastAsia="Sora" w:hAnsi="Sora"/>
          <w:b/>
          <w:bCs/>
          <w:color w:val="1B2F86"/>
        </w:rPr>
        <w:t xml:space="preserve">19. Frontend Implementation Status</w:t>
      </w:r>
    </w:p>
    <w:p>
      <w:pPr>
        <w:spacing w:after="160" w:line="280"/>
      </w:pPr>
      <w:r>
        <w:rPr>
          <w:rFonts w:ascii="IBM Plex Sans" w:cs="IBM Plex Sans" w:eastAsia="IBM Plex Sans" w:hAnsi="IBM Plex Sans"/>
          <w:color w:val="14171F"/>
          <w:sz w:val="21"/>
          <w:szCs w:val="21"/>
        </w:rPr>
        <w:t xml:space="preserve">A working frontend for the WellNest AI MVP has been built and is ready for the team to review, extend, and connect to the AI/OCR backend described in this document.</w:t>
      </w:r>
    </w:p>
    <w:p>
      <w:pPr>
        <w:pStyle w:val="Heading3"/>
        <w:spacing w:after="100" w:before="200"/>
      </w:pPr>
      <w:r>
        <w:rPr>
          <w:rFonts w:ascii="Sora" w:cs="Sora" w:eastAsia="Sora" w:hAnsi="Sora"/>
          <w:b/>
          <w:bCs/>
          <w:color w:val="2C49C0"/>
          <w:sz w:val="22"/>
          <w:szCs w:val="22"/>
        </w:rPr>
        <w:t xml:space="preserve">Stack</w:t>
      </w:r>
    </w:p>
    <w:p>
      <w:pPr>
        <w:pStyle w:val="ListParagraph"/>
        <w:numPr>
          <w:ilvl w:val="0"/>
          <w:numId w:val="2"/>
        </w:numPr>
        <w:spacing w:after="80"/>
      </w:pPr>
      <w:r>
        <w:rPr>
          <w:rFonts w:ascii="IBM Plex Sans" w:cs="IBM Plex Sans" w:eastAsia="IBM Plex Sans" w:hAnsi="IBM Plex Sans"/>
          <w:color w:val="14171F"/>
          <w:sz w:val="21"/>
          <w:szCs w:val="21"/>
        </w:rPr>
        <w:t xml:space="preserve">Vite + React 19</w:t>
      </w:r>
    </w:p>
    <w:p>
      <w:pPr>
        <w:pStyle w:val="ListParagraph"/>
        <w:numPr>
          <w:ilvl w:val="0"/>
          <w:numId w:val="2"/>
        </w:numPr>
        <w:spacing w:after="80"/>
      </w:pPr>
      <w:r>
        <w:rPr>
          <w:rFonts w:ascii="IBM Plex Sans" w:cs="IBM Plex Sans" w:eastAsia="IBM Plex Sans" w:hAnsi="IBM Plex Sans"/>
          <w:color w:val="14171F"/>
          <w:sz w:val="21"/>
          <w:szCs w:val="21"/>
        </w:rPr>
        <w:t xml:space="preserve">Tailwind CSS (custom design system — see tokens below)</w:t>
      </w:r>
    </w:p>
    <w:p>
      <w:pPr>
        <w:pStyle w:val="ListParagraph"/>
        <w:numPr>
          <w:ilvl w:val="0"/>
          <w:numId w:val="2"/>
        </w:numPr>
        <w:spacing w:after="80"/>
      </w:pPr>
      <w:r>
        <w:rPr>
          <w:rFonts w:ascii="IBM Plex Sans" w:cs="IBM Plex Sans" w:eastAsia="IBM Plex Sans" w:hAnsi="IBM Plex Sans"/>
          <w:color w:val="14171F"/>
          <w:sz w:val="21"/>
          <w:szCs w:val="21"/>
        </w:rPr>
        <w:t xml:space="preserve">React Router for client-side navigation</w:t>
      </w:r>
    </w:p>
    <w:p>
      <w:pPr>
        <w:pStyle w:val="ListParagraph"/>
        <w:numPr>
          <w:ilvl w:val="0"/>
          <w:numId w:val="2"/>
        </w:numPr>
        <w:spacing w:after="80"/>
      </w:pPr>
      <w:r>
        <w:rPr>
          <w:rFonts w:ascii="IBM Plex Sans" w:cs="IBM Plex Sans" w:eastAsia="IBM Plex Sans" w:hAnsi="IBM Plex Sans"/>
          <w:color w:val="14171F"/>
          <w:sz w:val="21"/>
          <w:szCs w:val="21"/>
        </w:rPr>
        <w:t xml:space="preserve">lucide-react icon set</w:t>
      </w:r>
    </w:p>
    <w:p>
      <w:pPr>
        <w:pStyle w:val="Heading3"/>
        <w:spacing w:after="100" w:before="200"/>
      </w:pPr>
      <w:r>
        <w:rPr>
          <w:rFonts w:ascii="Sora" w:cs="Sora" w:eastAsia="Sora" w:hAnsi="Sora"/>
          <w:b/>
          <w:bCs/>
          <w:color w:val="2C49C0"/>
          <w:sz w:val="22"/>
          <w:szCs w:val="22"/>
        </w:rPr>
        <w:t xml:space="preserve">Screens implemented</w:t>
      </w:r>
    </w:p>
    <w:p>
      <w:pPr>
        <w:pStyle w:val="ListParagraph"/>
        <w:numPr>
          <w:ilvl w:val="0"/>
          <w:numId w:val="2"/>
        </w:numPr>
        <w:spacing w:after="80"/>
      </w:pPr>
      <w:r>
        <w:rPr>
          <w:rFonts w:ascii="IBM Plex Sans" w:cs="IBM Plex Sans" w:eastAsia="IBM Plex Sans" w:hAnsi="IBM Plex Sans"/>
          <w:color w:val="14171F"/>
          <w:sz w:val="21"/>
          <w:szCs w:val="21"/>
        </w:rPr>
        <w:t xml:space="preserve">Dashboard — health status hero, weekly adherence, quick actions, recent activity, latest vitals</w:t>
      </w:r>
    </w:p>
    <w:p>
      <w:pPr>
        <w:pStyle w:val="ListParagraph"/>
        <w:numPr>
          <w:ilvl w:val="0"/>
          <w:numId w:val="2"/>
        </w:numPr>
        <w:spacing w:after="80"/>
      </w:pPr>
      <w:r>
        <w:rPr>
          <w:rFonts w:ascii="IBM Plex Sans" w:cs="IBM Plex Sans" w:eastAsia="IBM Plex Sans" w:hAnsi="IBM Plex Sans"/>
          <w:color w:val="14171F"/>
          <w:sz w:val="21"/>
          <w:szCs w:val="21"/>
        </w:rPr>
        <w:t xml:space="preserve">Documents — scan / upload / browse, drag-and-drop, recent documents list</w:t>
      </w:r>
    </w:p>
    <w:p>
      <w:pPr>
        <w:pStyle w:val="ListParagraph"/>
        <w:numPr>
          <w:ilvl w:val="0"/>
          <w:numId w:val="2"/>
        </w:numPr>
        <w:spacing w:after="80"/>
      </w:pPr>
      <w:r>
        <w:rPr>
          <w:rFonts w:ascii="IBM Plex Sans" w:cs="IBM Plex Sans" w:eastAsia="IBM Plex Sans" w:hAnsi="IBM Plex Sans"/>
          <w:color w:val="14171F"/>
          <w:sz w:val="21"/>
          <w:szCs w:val="21"/>
        </w:rPr>
        <w:t xml:space="preserve">Medications — weekly adherence chart, time-of-day schedule, mark-as-taken, reminder toggles</w:t>
      </w:r>
    </w:p>
    <w:p>
      <w:pPr>
        <w:pStyle w:val="ListParagraph"/>
        <w:numPr>
          <w:ilvl w:val="0"/>
          <w:numId w:val="2"/>
        </w:numPr>
        <w:spacing w:after="80"/>
      </w:pPr>
      <w:r>
        <w:rPr>
          <w:rFonts w:ascii="IBM Plex Sans" w:cs="IBM Plex Sans" w:eastAsia="IBM Plex Sans" w:hAnsi="IBM Plex Sans"/>
          <w:color w:val="14171F"/>
          <w:sz w:val="21"/>
          <w:szCs w:val="21"/>
        </w:rPr>
        <w:t xml:space="preserve">Ask WellNest AI — chat interface with quick-prompt chips and contextual replies</w:t>
      </w:r>
    </w:p>
    <w:p>
      <w:pPr>
        <w:pStyle w:val="ListParagraph"/>
        <w:numPr>
          <w:ilvl w:val="0"/>
          <w:numId w:val="2"/>
        </w:numPr>
        <w:spacing w:after="80"/>
      </w:pPr>
      <w:r>
        <w:rPr>
          <w:rFonts w:ascii="IBM Plex Sans" w:cs="IBM Plex Sans" w:eastAsia="IBM Plex Sans" w:hAnsi="IBM Plex Sans"/>
          <w:color w:val="14171F"/>
          <w:sz w:val="21"/>
          <w:szCs w:val="21"/>
        </w:rPr>
        <w:t xml:space="preserve">Health Timeline — chronological record of diagnoses, documents, medication changes, appointments</w:t>
      </w:r>
    </w:p>
    <w:p>
      <w:pPr>
        <w:pStyle w:val="ListParagraph"/>
        <w:numPr>
          <w:ilvl w:val="0"/>
          <w:numId w:val="2"/>
        </w:numPr>
        <w:spacing w:after="80"/>
      </w:pPr>
      <w:r>
        <w:rPr>
          <w:rFonts w:ascii="IBM Plex Sans" w:cs="IBM Plex Sans" w:eastAsia="IBM Plex Sans" w:hAnsi="IBM Plex Sans"/>
          <w:color w:val="14171F"/>
          <w:sz w:val="21"/>
          <w:szCs w:val="21"/>
        </w:rPr>
        <w:t xml:space="preserve">Family Care — caregiver list, access levels, invite flow</w:t>
      </w:r>
    </w:p>
    <w:p>
      <w:pPr>
        <w:pStyle w:val="ListParagraph"/>
        <w:numPr>
          <w:ilvl w:val="0"/>
          <w:numId w:val="2"/>
        </w:numPr>
        <w:spacing w:after="80"/>
      </w:pPr>
      <w:r>
        <w:rPr>
          <w:rFonts w:ascii="IBM Plex Sans" w:cs="IBM Plex Sans" w:eastAsia="IBM Plex Sans" w:hAnsi="IBM Plex Sans"/>
          <w:color w:val="14171F"/>
          <w:sz w:val="21"/>
          <w:szCs w:val="21"/>
        </w:rPr>
        <w:t xml:space="preserve">Emergency Health Wallet — blood group, allergies, conditions, medications, emergency contacts</w:t>
      </w:r>
    </w:p>
    <w:p>
      <w:pPr>
        <w:pStyle w:val="ListParagraph"/>
        <w:numPr>
          <w:ilvl w:val="0"/>
          <w:numId w:val="2"/>
        </w:numPr>
        <w:spacing w:after="80"/>
      </w:pPr>
      <w:r>
        <w:rPr>
          <w:rFonts w:ascii="IBM Plex Sans" w:cs="IBM Plex Sans" w:eastAsia="IBM Plex Sans" w:hAnsi="IBM Plex Sans"/>
          <w:color w:val="14171F"/>
          <w:sz w:val="21"/>
          <w:szCs w:val="21"/>
        </w:rPr>
        <w:t xml:space="preserve">Settings — account information and notification preferences</w:t>
      </w:r>
    </w:p>
    <w:p>
      <w:pPr>
        <w:pStyle w:val="Heading3"/>
        <w:spacing w:after="100" w:before="200"/>
      </w:pPr>
      <w:r>
        <w:rPr>
          <w:rFonts w:ascii="Sora" w:cs="Sora" w:eastAsia="Sora" w:hAnsi="Sora"/>
          <w:b/>
          <w:bCs/>
          <w:color w:val="2C49C0"/>
          <w:sz w:val="22"/>
          <w:szCs w:val="22"/>
        </w:rPr>
        <w:t xml:space="preserve">Design system</w:t>
      </w:r>
    </w:p>
    <w:p>
      <w:pPr>
        <w:pStyle w:val="ListParagraph"/>
        <w:numPr>
          <w:ilvl w:val="0"/>
          <w:numId w:val="2"/>
        </w:numPr>
        <w:spacing w:after="80"/>
      </w:pPr>
      <w:r>
        <w:rPr>
          <w:rFonts w:ascii="IBM Plex Sans" w:cs="IBM Plex Sans" w:eastAsia="IBM Plex Sans" w:hAnsi="IBM Plex Sans"/>
          <w:color w:val="14171F"/>
          <w:sz w:val="21"/>
          <w:szCs w:val="21"/>
        </w:rPr>
        <w:t xml:space="preserve">Indigo #2C49C0 (primary / brand, from the WellNest logo)</w:t>
      </w:r>
    </w:p>
    <w:p>
      <w:pPr>
        <w:pStyle w:val="ListParagraph"/>
        <w:numPr>
          <w:ilvl w:val="0"/>
          <w:numId w:val="2"/>
        </w:numPr>
        <w:spacing w:after="80"/>
      </w:pPr>
      <w:r>
        <w:rPr>
          <w:rFonts w:ascii="IBM Plex Sans" w:cs="IBM Plex Sans" w:eastAsia="IBM Plex Sans" w:hAnsi="IBM Plex Sans"/>
          <w:color w:val="14171F"/>
          <w:sz w:val="21"/>
          <w:szCs w:val="21"/>
        </w:rPr>
        <w:t xml:space="preserve">Meadow green #2E9B4F (adherence and positive states)</w:t>
      </w:r>
    </w:p>
    <w:p>
      <w:pPr>
        <w:pStyle w:val="ListParagraph"/>
        <w:numPr>
          <w:ilvl w:val="0"/>
          <w:numId w:val="2"/>
        </w:numPr>
        <w:spacing w:after="80"/>
      </w:pPr>
      <w:r>
        <w:rPr>
          <w:rFonts w:ascii="IBM Plex Sans" w:cs="IBM Plex Sans" w:eastAsia="IBM Plex Sans" w:hAnsi="IBM Plex Sans"/>
          <w:color w:val="14171F"/>
          <w:sz w:val="21"/>
          <w:szCs w:val="21"/>
        </w:rPr>
        <w:t xml:space="preserve">Coral #D5473D (emergency and alerts)</w:t>
      </w:r>
    </w:p>
    <w:p>
      <w:pPr>
        <w:pStyle w:val="ListParagraph"/>
        <w:numPr>
          <w:ilvl w:val="0"/>
          <w:numId w:val="2"/>
        </w:numPr>
        <w:spacing w:after="80"/>
      </w:pPr>
      <w:r>
        <w:rPr>
          <w:rFonts w:ascii="IBM Plex Sans" w:cs="IBM Plex Sans" w:eastAsia="IBM Plex Sans" w:hAnsi="IBM Plex Sans"/>
          <w:color w:val="14171F"/>
          <w:sz w:val="21"/>
          <w:szCs w:val="21"/>
        </w:rPr>
        <w:t xml:space="preserve">Type: Sora for headings, IBM Plex Sans for body and data</w:t>
      </w:r>
    </w:p>
    <w:p>
      <w:pPr>
        <w:pStyle w:val="Heading3"/>
        <w:spacing w:after="100" w:before="200"/>
      </w:pPr>
      <w:r>
        <w:rPr>
          <w:rFonts w:ascii="Sora" w:cs="Sora" w:eastAsia="Sora" w:hAnsi="Sora"/>
          <w:b/>
          <w:bCs/>
          <w:color w:val="2C49C0"/>
          <w:sz w:val="22"/>
          <w:szCs w:val="22"/>
        </w:rPr>
        <w:t xml:space="preserve">What's not built yet</w:t>
      </w:r>
    </w:p>
    <w:p>
      <w:pPr>
        <w:spacing w:after="160" w:line="280"/>
      </w:pPr>
      <w:r>
        <w:rPr>
          <w:rFonts w:ascii="IBM Plex Sans" w:cs="IBM Plex Sans" w:eastAsia="IBM Plex Sans" w:hAnsi="IBM Plex Sans"/>
          <w:color w:val="5B6472"/>
          <w:sz w:val="21"/>
          <w:szCs w:val="21"/>
        </w:rPr>
        <w:t xml:space="preserve">The frontend currently runs on mock data (src/data/mockData.js) so the team can review the full experience without a backend. The OCR pipeline, medical NLP engine, AI assistant, authentication, and persistence described in sections 12 and 14 still need to be built and wired in — the components are already shaped to accept that data once it exists.</w:t>
      </w:r>
    </w:p>
    <w:p>
      <w:r>
        <w:br w:type="page"/>
      </w:r>
    </w:p>
    <w:p>
      <w:pPr>
        <w:pStyle w:val="Heading1"/>
        <w:spacing w:after="200" w:before="420"/>
      </w:pPr>
      <w:r>
        <w:rPr>
          <w:rFonts w:ascii="Sora" w:cs="Sora" w:eastAsia="Sora" w:hAnsi="Sora"/>
          <w:b/>
          <w:bCs/>
          <w:color w:val="1B2F86"/>
        </w:rPr>
        <w:t xml:space="preserve">Hackathon Pitch Summary</w:t>
      </w:r>
    </w:p>
    <w:p>
      <w:pPr>
        <w:pBdr>
          <w:left w:val="single" w:color="2E9B4F" w:sz="24" w:space="8"/>
        </w:pBdr>
        <w:spacing w:after="200"/>
        <w:ind w:left="200"/>
      </w:pPr>
      <w:r>
        <w:rPr>
          <w:rFonts w:ascii="IBM Plex Sans" w:cs="IBM Plex Sans" w:eastAsia="IBM Plex Sans" w:hAnsi="IBM Plex Sans"/>
          <w:color w:val="14171F"/>
          <w:sz w:val="22"/>
          <w:szCs w:val="22"/>
        </w:rPr>
        <w:t xml:space="preserve">WellNest AI is an AI-powered healthcare companion that helps patients and caregivers understand medical records, manage medications, track treatment progress, and receive personalised healthcare guidance from one secure mobile application.</w:t>
      </w:r>
    </w:p>
    <w:p>
      <w:pPr>
        <w:spacing w:before="300"/>
        <w:jc w:val="center"/>
      </w:pPr>
      <w:r>
        <w:rPr>
          <w:rFonts w:ascii="Sora" w:cs="Sora" w:eastAsia="Sora" w:hAnsi="Sora"/>
          <w:b/>
          <w:bCs/>
          <w:color w:val="2C49C0"/>
          <w:sz w:val="28"/>
          <w:szCs w:val="28"/>
        </w:rPr>
        <w:t xml:space="preserve">Understand. Track. Heal Together.</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w:cs="IBM Plex Sans" w:eastAsia="IBM Plex Sans" w:hAnsi="IBM Plex Sans"/>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pPr>
    <w:r>
      <w:rPr>
        <w:rFonts w:ascii="IBM Plex Sans" w:cs="IBM Plex Sans" w:eastAsia="IBM Plex Sans" w:hAnsi="IBM Plex Sans"/>
        <w:color w:val="5B6472"/>
        <w:sz w:val="16"/>
        <w:szCs w:val="16"/>
      </w:rPr>
      <w:t xml:space="preserve">WellNest AI · PRD</w:t>
    </w:r>
    <w:r>
      <w:rPr>
        <w:rFonts w:ascii="IBM Plex Sans" w:cs="IBM Plex Sans" w:eastAsia="IBM Plex Sans" w:hAnsi="IBM Plex Sans"/>
      </w:rPr>
      <w:t xml:space="preserve">	</w:t>
    </w:r>
    <w:r>
      <w:rPr>
        <w:rFonts w:ascii="IBM Plex Sans" w:cs="IBM Plex Sans" w:eastAsia="IBM Plex Sans" w:hAnsi="IBM Plex Sans"/>
        <w:color w:val="5B6472"/>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417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d85526f0db2dbe362a7598aa6d758082a31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2026-09-11T23:28:06.330Z</dcterms:created>
  <dcterms:modified xsi:type="dcterms:W3CDTF">2026-09-11T23:28:06.330Z</dcterms:modified>
</cp:coreProperties>
</file>

<file path=docProps/custom.xml><?xml version="1.0" encoding="utf-8"?>
<Properties xmlns="http://schemas.openxmlformats.org/officeDocument/2006/custom-properties" xmlns:vt="http://schemas.openxmlformats.org/officeDocument/2006/docPropsVTypes"/>
</file>