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FF6B35"/>
          <w:sz w:val="52"/>
          <w:szCs w:val="52"/>
        </w:rPr>
        <w:t xml:space="preserve">MIKA SERVICES</w:t>
      </w:r>
    </w:p>
    <w:p>
      <w:pPr>
        <w:spacing w:after="400"/>
        <w:jc w:val="center"/>
      </w:pPr>
      <w:r>
        <w:rPr>
          <w:color w:val="2E5266"/>
          <w:sz w:val="24"/>
          <w:szCs w:val="24"/>
        </w:rPr>
        <w:t xml:space="preserve">Bureau d'Études Techniques</w:t>
      </w:r>
    </w:p>
    <w:p>
      <w:pPr>
        <w:spacing w:after="400"/>
        <w:jc w:val="center"/>
      </w:pPr>
      <w:r>
        <w:rPr>
          <w:color w:val="FF6B35"/>
          <w:sz w:val="24"/>
          <w:szCs w:val="24"/>
        </w:rPr>
        <w:t xml:space="preserve">━━━━━━━━━━━━━━━━━━━━</w:t>
      </w:r>
    </w:p>
    <w:p>
      <w:pPr>
        <w:spacing w:after="300"/>
        <w:jc w:val="center"/>
      </w:pPr>
      <w:r>
        <w:rPr>
          <w:b/>
          <w:bCs/>
          <w:color w:val="2E5266"/>
          <w:sz w:val="28"/>
          <w:szCs w:val="28"/>
        </w:rPr>
        <w:t xml:space="preserve">RAPPORT DE SUIVI DE PROJET</w:t>
      </w:r>
    </w:p>
    <w:p>
      <w:pPr>
        <w:spacing w:after="120"/>
        <w:jc w:val="center"/>
      </w:pPr>
      <w:r>
        <w:rPr>
          <w:b/>
          <w:bCs/>
          <w:color w:val="2E5266"/>
          <w:sz w:val="36"/>
          <w:szCs w:val="36"/>
        </w:rPr>
        <w:t xml:space="preserve">BERGE DE LA LOWE</w:t>
      </w:r>
    </w:p>
    <w:p>
      <w:pPr>
        <w:spacing w:after="500"/>
        <w:jc w:val="center"/>
      </w:pPr>
      <w:r>
        <w:rPr>
          <w:color w:val="4A5568"/>
          <w:sz w:val="24"/>
          <w:szCs w:val="24"/>
        </w:rPr>
        <w:t xml:space="preserve">Réf. 52/MTPC/SG/2025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Statut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Type de projet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Voirie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Chef de projet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Carine  MOUGUIANA Epse MONDZO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Client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État Gabon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Période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11/11/2025 — 11/02/2027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Semaine en cours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Semaine 10 (2026)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Avancement global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13 %</w:t>
            </w:r>
          </w:p>
        </w:tc>
      </w:tr>
    </w:tbl>
    <w:p>
      <w:pPr>
        <w:spacing w:after="400"/>
      </w:pPr>
    </w:p>
    <w:p>
      <w:pPr>
        <w:spacing w:after="300"/>
        <w:jc w:val="center"/>
      </w:pPr>
      <w:r>
        <w:rPr>
          <w:color w:val="4A5568"/>
          <w:sz w:val="20"/>
          <w:szCs w:val="20"/>
        </w:rPr>
        <w:t xml:space="preserve">Exporté le Vendredi 6 mars 2026 à 08:07</w:t>
      </w:r>
    </w:p>
    <w:p>
      <w:pPr>
        <w:spacing w:after="100"/>
        <w:jc w:val="center"/>
      </w:pPr>
      <w:r>
        <w:rPr>
          <w:color w:val="E2E8F0"/>
          <w:sz w:val="18"/>
          <w:szCs w:val="18"/>
        </w:rPr>
        <w:t xml:space="preserve">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b/>
          <w:bCs/>
          <w:color w:val="94A3B8"/>
          <w:sz w:val="18"/>
          <w:szCs w:val="18"/>
        </w:rPr>
        <w:t xml:space="preserve">DOCUMENT CONFIDENTIEL</w:t>
      </w:r>
    </w:p>
    <w:p>
      <w:pPr>
        <w:jc w:val="center"/>
      </w:pPr>
      <w:r>
        <w:rPr>
          <w:color w:val="94A3B8"/>
          <w:sz w:val="16"/>
          <w:szCs w:val="16"/>
        </w:rPr>
        <w:t xml:space="preserve">Usage interne et transmission officielle uniquement</w:t>
      </w:r>
    </w:p>
    <w:p>
      <w:r>
        <w:br w:type="page"/>
      </w:r>
    </w:p>
    <w:p>
      <w:pPr>
        <w:pBdr>
          <w:left w:val="single" w:color="FF6B35" w:sz="12" w:space="8"/>
        </w:pBdr>
        <w:spacing w:before="320" w:after="200"/>
      </w:pPr>
      <w:r>
        <w:rPr>
          <w:sz w:val="28"/>
          <w:szCs w:val="28"/>
        </w:rPr>
        <w:t xml:space="preserve">  </w:t>
      </w:r>
      <w:r>
        <w:rPr>
          <w:b/>
          <w:bCs/>
          <w:color w:val="2E5266"/>
          <w:sz w:val="28"/>
          <w:szCs w:val="28"/>
        </w:rPr>
        <w:t xml:space="preserve">1. Informations contractuelles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Numéro de marché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52/MTPC/SG/2025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Statut du projet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Type de projet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Voirie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Montant marché (HT)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14 348 354 681 FCFA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Montant TTC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17 074 542 070 FCFA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Travaux supplémentaires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Avenant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Délai contractuel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15 mois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Date début prévue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11/11/2025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Date fin prévue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11/02/2027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Date début réelle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Date fin réelle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Imputation budgétaire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Source de financement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ETAT GABONAIS</w:t>
            </w:r>
          </w:p>
        </w:tc>
      </w:tr>
    </w:tbl>
    <w:p>
      <w:pPr>
        <w:pBdr>
          <w:left w:val="single" w:color="FF6B35" w:sz="12" w:space="8"/>
        </w:pBdr>
        <w:spacing w:before="320" w:after="200"/>
      </w:pPr>
      <w:r>
        <w:rPr>
          <w:sz w:val="28"/>
          <w:szCs w:val="28"/>
        </w:rPr>
        <w:t xml:space="preserve">  </w:t>
      </w:r>
      <w:r>
        <w:rPr>
          <w:b/>
          <w:bCs/>
          <w:color w:val="2E5266"/>
          <w:sz w:val="28"/>
          <w:szCs w:val="28"/>
        </w:rPr>
        <w:t xml:space="preserve">2. Tableau de bord synthétique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526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shd w:fill="2E5266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Avancement global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13 %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Avancement physique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13 %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Budget consommé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0 %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Budget prévu / Dépenses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0 FCFA / 0 FCFA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Conformité qualité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0 %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Non-conformités ouvertes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Incidents sécurité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Risques critiques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Planning — tâches terminées / en cours / en retard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0 / 0 / 0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Taux d'avancement planning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0 %</w:t>
            </w:r>
          </w:p>
        </w:tc>
      </w:tr>
    </w:tbl>
    <w:p>
      <w:pPr>
        <w:pBdr>
          <w:left w:val="single" w:color="FF6B35" w:sz="12" w:space="8"/>
        </w:pBdr>
        <w:spacing w:before="320" w:after="200"/>
      </w:pPr>
      <w:r>
        <w:rPr>
          <w:sz w:val="28"/>
          <w:szCs w:val="28"/>
        </w:rPr>
        <w:t xml:space="preserve">  </w:t>
      </w:r>
      <w:r>
        <w:rPr>
          <w:b/>
          <w:bCs/>
          <w:color w:val="2E5266"/>
          <w:sz w:val="28"/>
          <w:szCs w:val="28"/>
        </w:rPr>
        <w:t xml:space="preserve">3. Suivi mensuel du chiffre d'affaires</w:t>
      </w:r>
    </w:p>
    <w:p>
      <w:pPr>
        <w:spacing w:after="100"/>
      </w:pPr>
      <w:r>
        <w:rPr>
          <w:i/>
          <w:iCs/>
          <w:color w:val="94A3B8"/>
          <w:sz w:val="18"/>
          <w:szCs w:val="18"/>
        </w:rPr>
        <w:t xml:space="preserve">Aucune donnée de suivi mensuel disponible.</w:t>
      </w:r>
    </w:p>
    <w:p>
      <w:pPr>
        <w:pBdr>
          <w:left w:val="single" w:color="FF6B35" w:sz="12" w:space="8"/>
        </w:pBdr>
        <w:spacing w:before="320" w:after="200"/>
      </w:pPr>
      <w:r>
        <w:rPr>
          <w:sz w:val="28"/>
          <w:szCs w:val="28"/>
        </w:rPr>
        <w:t xml:space="preserve">  </w:t>
      </w:r>
      <w:r>
        <w:rPr>
          <w:b/>
          <w:bCs/>
          <w:color w:val="2E5266"/>
          <w:sz w:val="28"/>
          <w:szCs w:val="28"/>
        </w:rPr>
        <w:t xml:space="preserve">4. État d'avancement des études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526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2E5266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Avanc. %</w:t>
            </w:r>
          </w:p>
        </w:tc>
        <w:tc>
          <w:tcPr>
            <w:shd w:fill="2E526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Dépôt</w:t>
            </w:r>
          </w:p>
        </w:tc>
        <w:tc>
          <w:tcPr>
            <w:shd w:fill="2E526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APS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80 %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EN_COURS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APD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50 %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EN_COURS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EXe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50 %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EN_COURS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Géotechnique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50 %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EN_COURS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Hydrologique / Hydraulique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90 %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EN_COURS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EIES / Notice EIES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50 %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EN_COURS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PAES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FF6B35" w:sz="12" w:space="8"/>
        </w:pBdr>
        <w:spacing w:before="320" w:after="200"/>
      </w:pPr>
      <w:r>
        <w:rPr>
          <w:sz w:val="28"/>
          <w:szCs w:val="28"/>
        </w:rPr>
        <w:t xml:space="preserve">  </w:t>
      </w:r>
      <w:r>
        <w:rPr>
          <w:b/>
          <w:bCs/>
          <w:color w:val="2E5266"/>
          <w:sz w:val="28"/>
          <w:szCs w:val="28"/>
        </w:rPr>
        <w:t xml:space="preserve">5. Avancement des travaux — Semaine 10 (2026)</w:t>
      </w:r>
    </w:p>
    <w:p>
      <w:pPr>
        <w:spacing w:after="200"/>
      </w:pPr>
      <w:r>
        <w:rPr>
          <w:b/>
          <w:bCs/>
          <w:color w:val="FF6B35"/>
          <w:sz w:val="24"/>
          <w:szCs w:val="24"/>
        </w:rPr>
        <w:t xml:space="preserve">Avancement global semaine : 67.78 %</w:t>
      </w:r>
    </w:p>
    <w:p>
      <w:pPr>
        <w:pBdr>
          <w:left w:val="single" w:color="2E5266" w:sz="8" w:space="6"/>
        </w:pBdr>
        <w:spacing w:before="200" w:after="120"/>
      </w:pPr>
      <w:r>
        <w:rPr>
          <w:sz w:val="24"/>
          <w:szCs w:val="24"/>
        </w:rPr>
        <w:t xml:space="preserve">  </w:t>
      </w:r>
      <w:r>
        <w:rPr>
          <w:b/>
          <w:bCs/>
          <w:color w:val="1A1A2E"/>
          <w:sz w:val="24"/>
          <w:szCs w:val="24"/>
        </w:rPr>
        <w:t xml:space="preserve">5.1 Réalisé — Semaine 10 (2026)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shd w:fill="2E526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Tâche / Description</w:t>
            </w:r>
          </w:p>
        </w:tc>
        <w:tc>
          <w:tcPr>
            <w:tcW w:type="pct" w:w="25%"/>
            <w:shd w:fill="2E5266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Avancement</w:t>
            </w:r>
          </w:p>
        </w:tc>
      </w:tr>
      <w:tr>
        <w:tc>
          <w:tcPr>
            <w:tcW w:type="pct" w:w="7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Travaux de remblai plate forme zones marecageuse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90 %</w:t>
            </w:r>
          </w:p>
        </w:tc>
      </w:tr>
      <w:tr>
        <w:tc>
          <w:tcPr>
            <w:tcW w:type="pct" w:w="7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Démarrage des travaux de purges sur CDM objectif  40ml/jr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100 %</w:t>
            </w:r>
          </w:p>
        </w:tc>
      </w:tr>
      <w:tr>
        <w:tc>
          <w:tcPr>
            <w:tcW w:type="pct" w:w="7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Installation chantier (plomberie -électricite )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50 %</w:t>
            </w:r>
          </w:p>
        </w:tc>
      </w:tr>
      <w:tr>
        <w:tc>
          <w:tcPr>
            <w:tcW w:type="pct" w:w="7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Remblai de la palte forme de terrassement (couche de forme )objectif 600m3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0 %</w:t>
            </w:r>
          </w:p>
        </w:tc>
      </w:tr>
      <w:tr>
        <w:tc>
          <w:tcPr>
            <w:tcW w:type="pct" w:w="7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Suite et fin de la campagne géotechnique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60 %</w:t>
            </w:r>
          </w:p>
        </w:tc>
      </w:tr>
      <w:tr>
        <w:tc>
          <w:tcPr>
            <w:tcW w:type="pct" w:w="7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Stockage du remblai de sable coté CDM 40%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20 %</w:t>
            </w:r>
          </w:p>
        </w:tc>
      </w:tr>
      <w:tr>
        <w:tc>
          <w:tcPr>
            <w:tcW w:type="pct" w:w="7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Validation projet routier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90 %</w:t>
            </w:r>
          </w:p>
        </w:tc>
      </w:tr>
      <w:tr>
        <w:tc>
          <w:tcPr>
            <w:tcW w:type="pct" w:w="7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Transmission décompte N*3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100 %</w:t>
            </w:r>
          </w:p>
        </w:tc>
      </w:tr>
      <w:tr>
        <w:tc>
          <w:tcPr>
            <w:tcW w:type="pct" w:w="7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CA 50 000 000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100 %</w:t>
            </w:r>
          </w:p>
        </w:tc>
      </w:tr>
    </w:tbl>
    <w:p>
      <w:pPr>
        <w:pBdr>
          <w:left w:val="single" w:color="2E5266" w:sz="8" w:space="6"/>
        </w:pBdr>
        <w:spacing w:before="200" w:after="120"/>
      </w:pPr>
      <w:r>
        <w:rPr>
          <w:sz w:val="24"/>
          <w:szCs w:val="24"/>
        </w:rPr>
        <w:t xml:space="preserve">  </w:t>
      </w:r>
      <w:r>
        <w:rPr>
          <w:b/>
          <w:bCs/>
          <w:color w:val="1A1A2E"/>
          <w:sz w:val="24"/>
          <w:szCs w:val="24"/>
        </w:rPr>
        <w:t xml:space="preserve">5.2 Prévisions — Semaine 11 (2026)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shd w:fill="2E526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Tâche / Description</w:t>
            </w:r>
          </w:p>
        </w:tc>
        <w:tc>
          <w:tcPr>
            <w:tcW w:type="pct" w:w="25%"/>
            <w:shd w:fill="2E5266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Avancement</w:t>
            </w:r>
          </w:p>
        </w:tc>
      </w:tr>
      <w:tr>
        <w:tc>
          <w:tcPr>
            <w:tcW w:type="pct" w:w="7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Travaux de purges 70ml/jrs (dépend de la cadence de livraison de sable )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7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Installation chantier (plomberie et electricité 100%)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7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Suite et fin campagne géotechnique 100%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7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Amélioration de la livraison du remblai de sable CDM et coté Berges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7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Diffusion du projet routier au client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pPr>
              <w:jc w:val="right"/>
            </w:pPr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2E5266" w:sz="8" w:space="6"/>
        </w:pBdr>
        <w:spacing w:before="200" w:after="120"/>
      </w:pPr>
      <w:r>
        <w:rPr>
          <w:sz w:val="24"/>
          <w:szCs w:val="24"/>
        </w:rPr>
        <w:t xml:space="preserve">  </w:t>
      </w:r>
      <w:r>
        <w:rPr>
          <w:b/>
          <w:bCs/>
          <w:color w:val="1A1A2E"/>
          <w:sz w:val="24"/>
          <w:szCs w:val="24"/>
        </w:rPr>
        <w:t xml:space="preserve">5.3 Points bloquants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2E526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pct" w:w="40%"/>
            <w:shd w:fill="2E526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shd w:fill="2E526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pct" w:w="17%"/>
            <w:shd w:fill="2E5266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Approvisionnement en carburant</w:t>
            </w:r>
          </w:p>
        </w:tc>
        <w:tc>
          <w:tcPr>
            <w:tcW w:type="pct" w:w="4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URGENTE</w:t>
            </w:r>
          </w:p>
        </w:tc>
        <w:tc>
          <w:tcPr>
            <w:tcW w:type="pct" w:w="17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OUVERT</w:t>
            </w:r>
          </w:p>
        </w:tc>
      </w:tr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cadence d'approvisionnement en sable et laterite</w:t>
            </w:r>
          </w:p>
        </w:tc>
        <w:tc>
          <w:tcPr>
            <w:tcW w:type="pct" w:w="4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URGENTE</w:t>
            </w:r>
          </w:p>
        </w:tc>
        <w:tc>
          <w:tcPr>
            <w:tcW w:type="pct" w:w="17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OUVERT</w:t>
            </w:r>
          </w:p>
        </w:tc>
      </w:tr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Alimentation en électricité et plomberie</w:t>
            </w:r>
          </w:p>
        </w:tc>
        <w:tc>
          <w:tcPr>
            <w:tcW w:type="pct" w:w="40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BASSE</w:t>
            </w:r>
          </w:p>
        </w:tc>
        <w:tc>
          <w:tcPr>
            <w:tcW w:type="pct" w:w="17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color w:val="1A1A2E"/>
                <w:sz w:val="20"/>
                <w:szCs w:val="20"/>
              </w:rPr>
              <w:t xml:space="preserve">OUVERT</w:t>
            </w:r>
          </w:p>
        </w:tc>
      </w:tr>
    </w:tbl>
    <w:p>
      <w:pPr>
        <w:pBdr>
          <w:left w:val="single" w:color="2E5266" w:sz="8" w:space="6"/>
        </w:pBdr>
        <w:spacing w:before="200" w:after="120"/>
      </w:pPr>
      <w:r>
        <w:rPr>
          <w:sz w:val="24"/>
          <w:szCs w:val="24"/>
        </w:rPr>
        <w:t xml:space="preserve">  </w:t>
      </w:r>
      <w:r>
        <w:rPr>
          <w:b/>
          <w:bCs/>
          <w:color w:val="1A1A2E"/>
          <w:sz w:val="24"/>
          <w:szCs w:val="24"/>
        </w:rPr>
        <w:t xml:space="preserve">5.4 Besoins matériels et humains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Besoins matériels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Dumper (1 unité)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Besoins humains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6 HTM</w:t>
            </w:r>
          </w:p>
        </w:tc>
      </w:tr>
    </w:tbl>
    <w:p>
      <w:pPr>
        <w:pBdr>
          <w:left w:val="single" w:color="FF6B35" w:sz="12" w:space="8"/>
        </w:pBdr>
        <w:spacing w:before="320" w:after="200"/>
      </w:pPr>
      <w:r>
        <w:rPr>
          <w:sz w:val="28"/>
          <w:szCs w:val="28"/>
        </w:rPr>
        <w:t xml:space="preserve">  </w:t>
      </w:r>
      <w:r>
        <w:rPr>
          <w:b/>
          <w:bCs/>
          <w:color w:val="2E5266"/>
          <w:sz w:val="28"/>
          <w:szCs w:val="28"/>
        </w:rPr>
        <w:t xml:space="preserve">6. Description, observations et propositions</w:t>
      </w:r>
    </w:p>
    <w:p>
      <w:pPr>
        <w:pBdr>
          <w:left w:val="single" w:color="2E5266" w:sz="8" w:space="6"/>
        </w:pBdr>
        <w:spacing w:before="200" w:after="120"/>
      </w:pPr>
      <w:r>
        <w:rPr>
          <w:sz w:val="24"/>
          <w:szCs w:val="24"/>
        </w:rPr>
        <w:t xml:space="preserve">  </w:t>
      </w:r>
      <w:r>
        <w:rPr>
          <w:b/>
          <w:bCs/>
          <w:color w:val="1A1A2E"/>
          <w:sz w:val="24"/>
          <w:szCs w:val="24"/>
        </w:rPr>
        <w:t xml:space="preserve">Description du projet</w:t>
      </w:r>
    </w:p>
    <w:p>
      <w:pPr>
        <w:spacing w:after="100"/>
      </w:pPr>
      <w:r>
        <w:rPr>
          <w:b w:val="false"/>
          <w:bCs w:val="false"/>
          <w:color w:val="1A1A2E"/>
          <w:sz w:val="20"/>
          <w:szCs w:val="20"/>
        </w:rPr>
        <w:t xml:space="preserve">—</w:t>
      </w:r>
    </w:p>
    <w:p>
      <w:pPr>
        <w:pBdr>
          <w:left w:val="single" w:color="2E5266" w:sz="8" w:space="6"/>
        </w:pBdr>
        <w:spacing w:before="200" w:after="120"/>
      </w:pPr>
      <w:r>
        <w:rPr>
          <w:sz w:val="24"/>
          <w:szCs w:val="24"/>
        </w:rPr>
        <w:t xml:space="preserve">  </w:t>
      </w:r>
      <w:r>
        <w:rPr>
          <w:b/>
          <w:bCs/>
          <w:color w:val="1A1A2E"/>
          <w:sz w:val="24"/>
          <w:szCs w:val="24"/>
        </w:rPr>
        <w:t xml:space="preserve">Observations</w:t>
      </w:r>
    </w:p>
    <w:p>
      <w:pPr>
        <w:spacing w:after="100"/>
      </w:pPr>
      <w:r>
        <w:rPr>
          <w:b w:val="false"/>
          <w:bCs w:val="false"/>
          <w:color w:val="1A1A2E"/>
          <w:sz w:val="20"/>
          <w:szCs w:val="20"/>
        </w:rPr>
        <w:t xml:space="preserve">—</w:t>
      </w:r>
    </w:p>
    <w:p>
      <w:pPr>
        <w:pBdr>
          <w:left w:val="single" w:color="2E5266" w:sz="8" w:space="6"/>
        </w:pBdr>
        <w:spacing w:before="200" w:after="120"/>
      </w:pPr>
      <w:r>
        <w:rPr>
          <w:sz w:val="24"/>
          <w:szCs w:val="24"/>
        </w:rPr>
        <w:t xml:space="preserve">  </w:t>
      </w:r>
      <w:r>
        <w:rPr>
          <w:b/>
          <w:bCs/>
          <w:color w:val="1A1A2E"/>
          <w:sz w:val="24"/>
          <w:szCs w:val="24"/>
        </w:rPr>
        <w:t xml:space="preserve">Propositions d'amélioration</w:t>
      </w:r>
    </w:p>
    <w:p>
      <w:pPr>
        <w:spacing w:after="100"/>
      </w:pPr>
      <w:r>
        <w:rPr>
          <w:b w:val="false"/>
          <w:bCs w:val="false"/>
          <w:color w:val="1A1A2E"/>
          <w:sz w:val="20"/>
          <w:szCs w:val="20"/>
        </w:rPr>
        <w:t xml:space="preserve">—</w:t>
      </w:r>
    </w:p>
    <w:p>
      <w:pPr>
        <w:pBdr>
          <w:left w:val="single" w:color="FF6B35" w:sz="12" w:space="8"/>
        </w:pBdr>
        <w:spacing w:before="320" w:after="200"/>
      </w:pPr>
      <w:r>
        <w:rPr>
          <w:sz w:val="28"/>
          <w:szCs w:val="28"/>
        </w:rPr>
        <w:t xml:space="preserve">  </w:t>
      </w:r>
      <w:r>
        <w:rPr>
          <w:b/>
          <w:bCs/>
          <w:color w:val="2E5266"/>
          <w:sz w:val="28"/>
          <w:szCs w:val="28"/>
        </w:rPr>
        <w:t xml:space="preserve">7. Acteurs et localisation</w:t>
      </w:r>
    </w:p>
    <w:p>
      <w:pPr>
        <w:pBdr>
          <w:left w:val="single" w:color="2E5266" w:sz="8" w:space="6"/>
        </w:pBdr>
        <w:spacing w:before="200" w:after="120"/>
      </w:pPr>
      <w:r>
        <w:rPr>
          <w:sz w:val="24"/>
          <w:szCs w:val="24"/>
        </w:rPr>
        <w:t xml:space="preserve">  </w:t>
      </w:r>
      <w:r>
        <w:rPr>
          <w:b/>
          <w:bCs/>
          <w:color w:val="1A1A2E"/>
          <w:sz w:val="24"/>
          <w:szCs w:val="24"/>
        </w:rPr>
        <w:t xml:space="preserve">Client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Raison sociale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État Gabon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ETAT GABON</w:t>
            </w:r>
          </w:p>
        </w:tc>
      </w:tr>
    </w:tbl>
    <w:p>
      <w:pPr>
        <w:pBdr>
          <w:left w:val="single" w:color="2E5266" w:sz="8" w:space="6"/>
        </w:pBdr>
        <w:spacing w:before="200" w:after="120"/>
      </w:pPr>
      <w:r>
        <w:rPr>
          <w:sz w:val="24"/>
          <w:szCs w:val="24"/>
        </w:rPr>
        <w:t xml:space="preserve">  </w:t>
      </w:r>
      <w:r>
        <w:rPr>
          <w:b/>
          <w:bCs/>
          <w:color w:val="1A1A2E"/>
          <w:sz w:val="24"/>
          <w:szCs w:val="24"/>
        </w:rPr>
        <w:t xml:space="preserve">Chef de projet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Nom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Carine  MOUGUIANA Epse MONDZO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carine.mouguiama@mikaservices-ga.com</w:t>
            </w:r>
          </w:p>
        </w:tc>
      </w:tr>
    </w:tbl>
    <w:p>
      <w:pPr>
        <w:pBdr>
          <w:left w:val="single" w:color="2E5266" w:sz="8" w:space="6"/>
        </w:pBdr>
        <w:spacing w:before="200" w:after="120"/>
      </w:pPr>
      <w:r>
        <w:rPr>
          <w:sz w:val="24"/>
          <w:szCs w:val="24"/>
        </w:rPr>
        <w:t xml:space="preserve">  </w:t>
      </w:r>
      <w:r>
        <w:rPr>
          <w:b/>
          <w:bCs/>
          <w:color w:val="1A1A2E"/>
          <w:sz w:val="24"/>
          <w:szCs w:val="24"/>
        </w:rPr>
        <w:t xml:space="preserve">Localisation</w:t>
      </w:r>
    </w:p>
    <w:p>
      <w:pPr>
        <w:spacing w:after="100"/>
      </w:pPr>
      <w:r>
        <w:rPr>
          <w:b w:val="false"/>
          <w:bCs w:val="false"/>
          <w:color w:val="1A1A2E"/>
          <w:sz w:val="20"/>
          <w:szCs w:val="20"/>
        </w:rPr>
        <w:t xml:space="preserve">—</w:t>
      </w:r>
    </w:p>
    <w:p>
      <w:pPr>
        <w:pBdr>
          <w:left w:val="single" w:color="FF6B35" w:sz="12" w:space="8"/>
        </w:pBdr>
        <w:spacing w:before="320" w:after="200"/>
      </w:pPr>
      <w:r>
        <w:rPr>
          <w:sz w:val="28"/>
          <w:szCs w:val="28"/>
        </w:rPr>
        <w:t xml:space="preserve">  </w:t>
      </w:r>
      <w:r>
        <w:rPr>
          <w:b/>
          <w:bCs/>
          <w:color w:val="2E5266"/>
          <w:sz w:val="28"/>
          <w:szCs w:val="28"/>
        </w:rPr>
        <w:t xml:space="preserve">8. Alertes et vigilance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Points bloquants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3 point(s) à traiter en priorité</w:t>
            </w:r>
          </w:p>
        </w:tc>
      </w:tr>
    </w:tbl>
    <w:p>
      <w:pPr>
        <w:pBdr>
          <w:left w:val="single" w:color="FF6B35" w:sz="12" w:space="8"/>
        </w:pBdr>
        <w:spacing w:before="320" w:after="200"/>
      </w:pPr>
      <w:r>
        <w:rPr>
          <w:sz w:val="28"/>
          <w:szCs w:val="28"/>
        </w:rPr>
        <w:t xml:space="preserve">  </w:t>
      </w:r>
      <w:r>
        <w:rPr>
          <w:b/>
          <w:bCs/>
          <w:color w:val="2E5266"/>
          <w:sz w:val="28"/>
          <w:szCs w:val="28"/>
        </w:rPr>
        <w:t xml:space="preserve">Synthèse du projet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Projet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BERGE DE LA LOWE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Référence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52/MTPC/SG/2025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Sous-projets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Points bloquants ouverts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Délai consommé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Avancement global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13 %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Source de financement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ETAT GABONAIS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Partenaire principal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Date de création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04/03/2026</w:t>
            </w:r>
          </w:p>
        </w:tc>
      </w:tr>
      <w:tr>
        <w:tc>
          <w:tcPr>
            <w:tcW w:type="pct" w:w="3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</w:tcPr>
          <w:p>
            <w:r>
              <w:rPr>
                <w:color w:val="4A5568"/>
                <w:sz w:val="20"/>
                <w:szCs w:val="20"/>
              </w:rPr>
              <w:t xml:space="preserve">Dernière mise à jour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05/03/2026</w:t>
            </w:r>
          </w:p>
        </w:tc>
      </w:tr>
    </w:tbl>
    <w:p>
      <w:pPr>
        <w:spacing w:after="400"/>
      </w:pPr>
    </w:p>
    <w:p>
      <w:pPr>
        <w:spacing w:after="120"/>
        <w:jc w:val="center"/>
      </w:pPr>
      <w:r>
        <w:rPr>
          <w:color w:val="E2E8F0"/>
          <w:sz w:val="18"/>
          <w:szCs w:val="18"/>
        </w:rPr>
        <w:t xml:space="preserve">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color w:val="94A3B8"/>
          <w:sz w:val="18"/>
          <w:szCs w:val="18"/>
        </w:rPr>
        <w:t xml:space="preserve">Document généré le Vendredi 6 mars 2026 à 08:07 — Semaine 10 (2026)</w:t>
      </w:r>
    </w:p>
    <w:p>
      <w:pPr>
        <w:spacing w:after="40"/>
        <w:jc w:val="center"/>
      </w:pPr>
      <w:r>
        <w:rPr>
          <w:color w:val="94A3B8"/>
          <w:sz w:val="18"/>
          <w:szCs w:val="18"/>
        </w:rPr>
        <w:t xml:space="preserve">Document confidentiel – MIKA Services – Usage interne et transmission officielle</w:t>
      </w:r>
    </w:p>
    <w:p>
      <w:pPr>
        <w:jc w:val="center"/>
      </w:pPr>
      <w:r>
        <w:rPr>
          <w:i/>
          <w:iCs/>
          <w:color w:val="94A3B8"/>
          <w:sz w:val="16"/>
          <w:szCs w:val="16"/>
        </w:rPr>
        <w:t xml:space="preserve">Référence : 52/MTPC/SG/2025 — BERGE DE LA LOWE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727" w:right="1224" w:bottom="1440" w:left="122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792"/>
      </w:tabs>
    </w:pPr>
    <w:r>
      <w:rPr>
        <w:color w:val="94A3B8"/>
        <w:sz w:val="16"/>
        <w:szCs w:val="16"/>
      </w:rPr>
      <w:t xml:space="preserve">Document confidentiel – MIKA Services – BERGE DE LA LOWE</w:t>
    </w:r>
    <w:tab/>
    <w:r>
      <w:rPr>
        <w:color w:val="94A3B8"/>
        <w:sz w:val="16"/>
        <w:szCs w:val="16"/>
      </w:rPr>
      <w:t xml:space="preserve">Vendredi 6 mars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MIKA Services — Vendredi 6 mars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792"/>
      </w:tabs>
    </w:pPr>
    <w:r>
      <w:drawing>
        <wp:inline distT="0" distB="0" distL="0" distR="0">
          <wp:extent cx="152400" cy="152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  <w:szCs w:val="18"/>
      </w:rPr>
      <w:t xml:space="preserve">  </w:t>
    </w:r>
    <w:r>
      <w:rPr>
        <w:b/>
        <w:bCs/>
        <w:color w:val="2E5266"/>
        <w:sz w:val="18"/>
        <w:szCs w:val="18"/>
      </w:rPr>
      <w:t xml:space="preserve">MIKA SERVICES</w:t>
    </w:r>
    <w:r>
      <w:rPr>
        <w:color w:val="94A3B8"/>
        <w:sz w:val="16"/>
        <w:szCs w:val="16"/>
      </w:rPr>
      <w:t xml:space="preserve">  —  Réf. 52/MTPC/SG/2025</w:t>
    </w:r>
    <w:tab/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/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bf478c7f363e146b69dc9d9ffd970450d924c9ac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478c7f363e146b69dc9d9ffd970450d924c9ac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2026-03-06T07:07:17.138Z</dcterms:created>
  <dcterms:modified xsi:type="dcterms:W3CDTF">2026-03-06T07:07:17.138Z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