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  <w:jc w:val="center"/>
      </w:pPr>
      <w:r>
        <w:rPr>
          <w:b/>
          <w:bCs/>
          <w:color w:val="1F3A5F"/>
          <w:sz w:val="36"/>
          <w:szCs w:val="36"/>
        </w:rPr>
        <w:t xml:space="preserve">MIKA SERVICES</w:t>
      </w:r>
    </w:p>
    <w:p>
      <w:pPr>
        <w:pBdr>
          <w:top w:val="single" w:color="F39200" w:sz="12" w:space="14"/>
          <w:bottom w:val="single" w:color="F39200" w:sz="12" w:space="14"/>
        </w:pBdr>
        <w:spacing w:after="120" w:before="400"/>
        <w:jc w:val="center"/>
      </w:pPr>
      <w:r>
        <w:rPr>
          <w:b/>
          <w:bCs/>
          <w:color w:val="F39200"/>
          <w:sz w:val="44"/>
          <w:szCs w:val="44"/>
        </w:rPr>
        <w:t xml:space="preserve">RAPPORT D'ANALYSE D'ADOPTION</w:t>
      </w:r>
    </w:p>
    <w:p>
      <w:pPr>
        <w:spacing w:after="80" w:before="200"/>
        <w:jc w:val="center"/>
      </w:pPr>
      <w:r>
        <w:rPr>
          <w:color w:val="5F5E5A"/>
          <w:sz w:val="26"/>
          <w:szCs w:val="26"/>
        </w:rPr>
        <w:t xml:space="preserve">Plateforme numérique de pilotage des chantiers</w:t>
      </w:r>
    </w:p>
    <w:p>
      <w:pPr>
        <w:spacing w:after="600"/>
        <w:jc w:val="center"/>
      </w:pPr>
      <w:r>
        <w:rPr>
          <w:i/>
          <w:iCs/>
          <w:color w:val="5F5E5A"/>
          <w:sz w:val="22"/>
          <w:szCs w:val="22"/>
        </w:rPr>
        <w:t xml:space="preserve">Usage, engagement des équipes et axes d'amélioration</w:t>
      </w:r>
    </w:p>
    <w:p>
      <w:pPr>
        <w:spacing w:after="60" w:before="800"/>
        <w:jc w:val="center"/>
      </w:pPr>
      <w:r>
        <w:rPr>
          <w:b/>
          <w:bCs/>
          <w:color w:val="1F3A5F"/>
          <w:sz w:val="24"/>
          <w:szCs w:val="24"/>
        </w:rPr>
        <w:t xml:space="preserve">À l'attention de la Direction Générale</w:t>
      </w:r>
    </w:p>
    <w:p>
      <w:pPr>
        <w:spacing w:after="60"/>
        <w:jc w:val="center"/>
      </w:pPr>
      <w:r>
        <w:rPr>
          <w:color w:val="5F5E5A"/>
          <w:sz w:val="20"/>
          <w:szCs w:val="20"/>
        </w:rPr>
        <w:t xml:space="preserve">Période analysée : 16 mars — 25 juin 2026</w:t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Document confidentiel — usage interne</w:t>
      </w:r>
    </w:p>
    <w:p>
      <w:pPr>
        <w:pStyle w:val="Heading1"/>
        <w:pageBreakBefore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Synthèse à l'attention de la Direction</w:t>
      </w:r>
    </w:p>
    <w:p>
      <w:pPr>
        <w:spacing w:after="140" w:line="264"/>
        <w:jc w:val="both"/>
      </w:pPr>
      <w:r>
        <w:rPr>
          <w:sz w:val="21"/>
          <w:szCs w:val="21"/>
        </w:rPr>
        <w:t>La plateforme est en service depuis mars 2026. Ce rapport mesure son adoption réelle à partir des données d'usage enregistrées (connexions, consultations, saisies) sur 3 mois.</w:t>
      </w:r>
    </w:p>
    <w:p>
      <w:pPr>
        <w:pStyle w:val="Heading2"/>
      </w:pPr>
      <w:r>
        <w:t xml:space="preserve">Indicateurs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3A5F" w:val="clear"/>
            <w:tcMar>
              <w:top w:type="dxa" w:w="140"/>
              <w:left w:type="dxa" w:w="90"/>
              <w:bottom w:type="dxa" w:w="14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85 %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des comptes activés (17/20)</w:t>
            </w:r>
          </w:p>
        </w:tc>
        <w:tc>
          <w:tcPr>
            <w:tcW w:type="dxa" w:w="300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48B5A0" w:val="clear"/>
            <w:tcMar>
              <w:top w:type="dxa" w:w="140"/>
              <w:left w:type="dxa" w:w="90"/>
              <w:bottom w:type="dxa" w:w="14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10 à 12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utilisateurs actifs par mois</w:t>
            </w:r>
          </w:p>
        </w:tc>
        <w:tc>
          <w:tcPr>
            <w:tcW w:type="dxa" w:w="300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0392B" w:val="clear"/>
            <w:tcMar>
              <w:top w:type="dxa" w:w="140"/>
              <w:left w:type="dxa" w:w="90"/>
              <w:bottom w:type="dxa" w:w="14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1 / 19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module réellement exploité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3A5F" w:val="clear"/>
            <w:tcMar>
              <w:top w:type="dxa" w:w="140"/>
              <w:left w:type="dxa" w:w="90"/>
              <w:bottom w:type="dxa" w:w="14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58 %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des consultations sur le seul module Projets</w:t>
            </w:r>
          </w:p>
        </w:tc>
        <w:tc>
          <w:tcPr>
            <w:tcW w:type="dxa" w:w="300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0392B" w:val="clear"/>
            <w:tcMar>
              <w:top w:type="dxa" w:w="140"/>
              <w:left w:type="dxa" w:w="90"/>
              <w:bottom w:type="dxa" w:w="14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0 %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des projets avec responsable, client ou description</w:t>
            </w:r>
          </w:p>
        </w:tc>
        <w:tc>
          <w:tcPr>
            <w:tcW w:type="dxa" w:w="3008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F39200" w:val="clear"/>
            <w:tcMar>
              <w:top w:type="dxa" w:w="140"/>
              <w:left w:type="dxa" w:w="90"/>
              <w:bottom w:type="dxa" w:w="14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5 / 19</w:t>
            </w:r>
          </w:p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modules avec un usage non nul</w:t>
            </w:r>
          </w:p>
        </w:tc>
      </w:tr>
    </w:tbl>
    <w:p>
      <w:pPr>
        <w:pStyle w:val="Heading2"/>
      </w:pPr>
      <w:r>
        <w:t xml:space="preserve">Note de méthode</w:t>
      </w:r>
    </w:p>
    <w:p>
      <w:pPr>
        <w:spacing w:after="80" w:line="264"/>
        <w:jc w:val="both"/>
      </w:pPr>
      <w:r>
        <w:rPr>
          <w:sz w:val="21"/>
          <w:szCs w:val="21"/>
        </w:rPr>
        <w:t>Les indicateurs excluent le compte technique d'administration (48 % de l'activité totale), afin de refléter l'usage réel des équipes métier.</w:t>
      </w:r>
    </w:p>
    <w:p>
      <w:pPr>
        <w:pStyle w:val="Heading1"/>
        <w:pageBreakBefore/>
      </w:pPr>
      <w:r>
        <w:t xml:space="preserve">2. Périmètre et méthode d'analyse</w:t>
      </w:r>
    </w:p>
    <w:p>
      <w:pPr>
        <w:pStyle w:val="Heading2"/>
      </w:pPr>
      <w:r>
        <w:t xml:space="preserve">2.1. Source des données</w:t>
      </w:r>
    </w:p>
    <w:p>
      <w:pPr>
        <w:spacing w:after="140" w:line="264"/>
        <w:jc w:val="both"/>
      </w:pPr>
      <w:r>
        <w:rPr>
          <w:sz w:val="21"/>
          <w:szCs w:val="21"/>
        </w:rPr>
        <w:t>Source : journal d'activité interne de la plateforme — 4 189 événements enregistrés entre le 16 mars et le 25 juin 2026. Complété par l'état réel du contenu métier (projets, modules).</w:t>
      </w:r>
    </w:p>
    <w:p>
      <w:pPr>
        <w:pStyle w:val="Heading2"/>
      </w:pPr>
      <w:r>
        <w:t xml:space="preserve">2.2. Ce que les données permettent de mesurer</w:t>
      </w:r>
    </w:p>
    <w:p>
      <w:pPr>
        <w:spacing w:after="140" w:line="264"/>
        <w:jc w:val="both"/>
      </w:pPr>
      <w:r>
        <w:rPr>
          <w:sz w:val="21"/>
          <w:szCs w:val="21"/>
        </w:rPr>
        <w:t>Mesurable : taux d'activation, fréquence de connexion, utilisateurs actifs par mois, répartition par module, qualité de saisie. Non mesurable : temps par session, détail des modifications, satisfaction ressentie.</w:t>
      </w:r>
    </w:p>
    <w:p>
      <w:pPr>
        <w:pStyle w:val="Heading1"/>
        <w:pageBreakBefore/>
      </w:pPr>
      <w:r>
        <w:t xml:space="preserve">3. Niveau d'adoption de la plateforme</w:t>
      </w:r>
    </w:p>
    <w:p>
      <w:pPr>
        <w:pStyle w:val="Heading2"/>
      </w:pPr>
      <w:r>
        <w:t xml:space="preserve">3.1. Activation des comptes</w:t>
      </w:r>
    </w:p>
    <w:p>
      <w:pPr>
        <w:spacing w:after="140" w:line="264"/>
        <w:jc w:val="both"/>
      </w:pPr>
      <w:r>
        <w:rPr>
          <w:sz w:val="21"/>
          <w:szCs w:val="21"/>
        </w:rPr>
        <w:t>Sur 20 comptes créés, 17 se sont connectés au moins une fois (85 %). Les 3 comptes inactifs sont des profils administratifs de réserve.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1 : Activation des comptes utilisateurs</w:t>
      </w:r>
    </w:p>
    <w:p>
      <w:pPr>
        <w:pStyle w:val="Heading2"/>
      </w:pPr>
      <w:r>
        <w:t xml:space="preserve">3.2. Utilisateurs actifs dans le temps</w:t>
      </w:r>
    </w:p>
    <w:p>
      <w:pPr>
        <w:spacing w:after="140" w:line="264"/>
        <w:jc w:val="both"/>
      </w:pPr>
      <w:r>
        <w:rPr>
          <w:sz w:val="21"/>
          <w:szCs w:val="21"/>
        </w:rPr>
        <w:t>10 à 12 utilisateurs actifs chaque mois, sans décrochage. La rétention est stable.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2 : Utilisateurs actifs par mois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3 : Évolution mensuelle de l'activité</w:t>
      </w:r>
    </w:p>
    <w:p>
      <w:pPr>
        <w:pStyle w:val="Heading2"/>
      </w:pPr>
      <w:r>
        <w:t xml:space="preserve">3.3. Qui utilise réellement la plateforme</w:t>
      </w:r>
    </w:p>
    <w:p>
      <w:pPr>
        <w:spacing w:after="140" w:line="264"/>
        <w:jc w:val="both"/>
      </w:pPr>
      <w:r>
        <w:rPr>
          <w:sz w:val="21"/>
          <w:szCs w:val="21"/>
        </w:rPr>
        <w:t>L'activité métier repose sur une douzaine de chefs de projet. Quelques-uns sont moteurs, d'autres restent en retrait.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4 : Utilisateurs métier les plus actifs (hors compte technique)</w:t>
      </w:r>
    </w:p>
    <w:p>
      <w:pPr>
        <w:pStyle w:val="Heading1"/>
        <w:pageBreakBefore/>
      </w:pPr>
      <w:r>
        <w:t xml:space="preserve">4. Usage fonctionnel : une plateforme sous-exploitée</w:t>
      </w:r>
    </w:p>
    <w:p>
      <w:pPr>
        <w:pStyle w:val="Heading2"/>
      </w:pPr>
      <w:r>
        <w:t xml:space="preserve">4.1. Concentration sur le module Projets</w:t>
      </w:r>
    </w:p>
    <w:p>
      <w:pPr>
        <w:spacing w:after="140" w:line="264"/>
        <w:jc w:val="both"/>
      </w:pPr>
      <w:r>
        <w:rPr>
          <w:sz w:val="21"/>
          <w:szCs w:val="21"/>
        </w:rPr>
        <w:t>Les pages Projets (liste, détail, modification) concentrent 58 % de toutes les consultations. La plateforme est utilisée quasi exclusivement comme outil de suivi de projets.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5 : Répartition des consultations par module</w:t>
      </w:r>
    </w:p>
    <w:p>
      <w:pPr>
        <w:pStyle w:val="Heading2"/>
      </w:pPr>
      <w:r>
        <w:t xml:space="preserve">4.2. Modules non activés</w:t>
      </w:r>
    </w:p>
    <w:p>
      <w:pPr>
        <w:spacing w:after="140" w:line="264"/>
        <w:jc w:val="both"/>
      </w:pPr>
      <w:r>
        <w:rPr>
          <w:sz w:val="21"/>
          <w:szCs w:val="21"/>
        </w:rPr>
        <w:t>Cinq modules ne contiennent aucune donnée : Engins, Matériaux, Messagerie, QSHE et Documents (1 seul fichier).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6 : Modules exploités (vert) et modules non activés (rouge)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 d'usage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Lecture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Projets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Exploité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Cœur d'usage actuel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Barème des prix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Consulté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Consultation sans saisie organique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Salle MIKA (visio)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Usage ponctuel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77 consultations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Usage par les administrateurs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Engins &amp; Matériel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Non activé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Aucune donnée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Matériaux &amp; Stocks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Non activé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Aucune donnée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Messagerie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Non activé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Aucun message échangé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QSHE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Non activé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Aucune donnée</w:t>
            </w:r>
          </w:p>
        </w:tc>
      </w:tr>
      <w:tr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Quasi nul</w:t>
            </w:r>
          </w:p>
        </w:tc>
        <w:tc>
          <w:tcPr>
            <w:tcW w:type="dxa" w:w="3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Un seul document</w:t>
            </w:r>
          </w:p>
        </w:tc>
      </w:tr>
    </w:tbl>
    <w:p>
      <w:pPr>
        <w:pStyle w:val="Heading1"/>
        <w:pageBreakBefore/>
      </w:pPr>
      <w:r>
        <w:t xml:space="preserve">5. Qualité des données saisies</w:t>
      </w:r>
    </w:p>
    <w:p>
      <w:pPr>
        <w:spacing w:after="140" w:line="264"/>
        <w:jc w:val="both"/>
      </w:pPr>
      <w:r>
        <w:rPr>
          <w:sz w:val="21"/>
          <w:szCs w:val="21"/>
        </w:rPr>
        <w:t>Sur 31 projets, les montants (94 %) et dates (84 %) sont renseignés. En revanche, aucun projet n'a de description, de responsable assigné ni de client — ce qui empêche tout reporting par responsable ou par maître d'ouvrage.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7"/>
          <w:szCs w:val="17"/>
        </w:rPr>
        <w:t xml:space="preserve">Figure 7 : Taux de remplissage des champs projets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626"/>
      </w:tblGrid>
      <w:tr>
        <w:trPr>
          <w:tblHeader/>
        </w:trP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 projet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Taux de remplissage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Montant HT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94 %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Dates début / fin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84 %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Bon</w:t>
            </w:r>
          </w:p>
        </w:tc>
      </w:tr>
      <w:t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Numéro de marché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29 %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39200"/>
                <w:sz w:val="18"/>
                <w:szCs w:val="18"/>
              </w:rPr>
              <w:t xml:space="preserve">Insuffisant</w:t>
            </w:r>
          </w:p>
        </w:tc>
      </w:tr>
      <w:t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0 %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Responsable de projet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0 %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3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Client / maître d'ouvrage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0 %</w:t>
            </w:r>
          </w:p>
        </w:tc>
        <w:tc>
          <w:tcPr>
            <w:tcW w:type="dxa" w:w="26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Absent</w:t>
            </w:r>
          </w:p>
        </w:tc>
      </w:tr>
    </w:tbl>
    <w:p>
      <w:pPr>
        <w:pStyle w:val="Heading1"/>
        <w:pageBreakBefore/>
      </w:pPr>
      <w:r>
        <w:t xml:space="preserve">6. Freins à l'adoption identifiés</w:t>
      </w:r>
    </w:p>
    <w:p>
      <w:pPr>
        <w:spacing w:after="140" w:line="264"/>
        <w:jc w:val="both"/>
      </w:pPr>
      <w:r>
        <w:rPr>
          <w:sz w:val="21"/>
          <w:szCs w:val="21"/>
        </w:rPr>
        <w:t>Usage limité à la consultation — Les utilisateurs consultent mais saisissent peu. L'outil est perçu comme une vitrine, pas un outil de travail quotidien.</w:t>
      </w:r>
    </w:p>
    <w:p>
      <w:pPr>
        <w:spacing w:after="140" w:line="264"/>
        <w:jc w:val="both"/>
      </w:pPr>
      <w:r>
        <w:rPr>
          <w:sz w:val="21"/>
          <w:szCs w:val="21"/>
        </w:rPr>
        <w:t>Saisie incomplète — Aucune règle n'impose le remplissage des champs clés à la création d'un projet.</w:t>
      </w:r>
    </w:p>
    <w:p>
      <w:pPr>
        <w:spacing w:after="140" w:line="264"/>
        <w:jc w:val="both"/>
      </w:pPr>
      <w:r>
        <w:rPr>
          <w:sz w:val="21"/>
          <w:szCs w:val="21"/>
        </w:rPr>
        <w:t>Modules déserts — Engins, Matériaux, Messagerie et QSHE n'ont jamais été investis. Manque de formation ciblée ou de référent par module.</w:t>
      </w:r>
    </w:p>
    <w:p>
      <w:pPr>
        <w:spacing w:after="140" w:line="264"/>
        <w:jc w:val="both"/>
      </w:pPr>
      <w:r>
        <w:rPr>
          <w:sz w:val="21"/>
          <w:szCs w:val="21"/>
        </w:rPr>
        <w:t>Dépendance à quelques moteurs — L'usage repose sur un noyau étroit de chefs de projet actifs. Risque de fragilité si ces personnes se désengagent.</w:t>
      </w:r>
    </w:p>
    <w:p>
      <w:pPr>
        <w:pStyle w:val="Heading1"/>
        <w:pageBreakBefore/>
      </w:pPr>
      <w:r>
        <w:t xml:space="preserve">7. Recommandations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Effet attendu</w:t>
            </w:r>
          </w:p>
        </w:tc>
      </w:tr>
      <w:t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1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Rendre obligatoires les champs clés des projets (responsable, client, description) à la création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Qualité de données immédiate</w:t>
            </w:r>
          </w:p>
        </w:tc>
      </w:tr>
      <w:t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2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Lancer une campagne de complétion des 31 projets existants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Reporting fiable rétroactif</w:t>
            </w:r>
          </w:p>
        </w:tc>
      </w:tr>
      <w:t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3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Désigner un référent par module non activé (engins, QSHE, matériaux)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Amorçage de l'usage</w:t>
            </w:r>
          </w:p>
        </w:tc>
      </w:tr>
      <w:t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4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Organiser une formation courte ciblée sur les modules désertés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Élargissement de l'usage</w:t>
            </w:r>
          </w:p>
        </w:tc>
      </w:tr>
      <w:t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5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Mettre en place un suivi mensuel d'adoption (ce rapport, automatisé)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Pilotage dans la durée</w:t>
            </w:r>
          </w:p>
        </w:tc>
      </w:tr>
      <w:tr>
        <w:tc>
          <w:tcPr>
            <w:tcW w:type="dxa" w:w="9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6</w:t>
            </w:r>
          </w:p>
        </w:tc>
        <w:tc>
          <w:tcPr>
            <w:tcW w:type="dxa" w:w="5126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S'appuyer sur les utilisateurs moteurs comme relais de formation</w:t>
            </w:r>
          </w:p>
        </w:tc>
        <w:tc>
          <w:tcPr>
            <w:tcW w:type="dxa" w:w="3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F5E5A"/>
                <w:sz w:val="18"/>
                <w:szCs w:val="18"/>
              </w:rPr>
              <w:t xml:space="preserve">Diffusion par les pairs</w:t>
            </w:r>
          </w:p>
        </w:tc>
      </w:tr>
    </w:tbl>
    <w:p>
      <w:pPr>
        <w:pStyle w:val="Heading1"/>
        <w:pageBreakBefore/>
      </w:pPr>
      <w:r>
        <w:t xml:space="preserve">8. Conclusion</w:t>
      </w:r>
    </w:p>
    <w:p>
      <w:pPr>
        <w:spacing w:after="140" w:line="264"/>
        <w:jc w:val="both"/>
      </w:pPr>
      <w:r>
        <w:rPr>
          <w:sz w:val="21"/>
          <w:szCs w:val="21"/>
        </w:rPr>
        <w:t>La plateforme a réussi sa mise en service : les équipes se connectent et un noyau d'utilisateurs s'en est emparé. Mais l'appropriation reste partielle — usage concentré sur un module, données incomplètes, fonctionnalités sous-exploitées. L'écart n'est pas technique, il est organisationnel. Les leviers sont identifiés et actionnables rapidement.</w:t>
      </w:r>
    </w:p>
    <w:p>
      <w:pPr>
        <w:pBdr>
          <w:top w:val="single" w:color="F39200" w:sz="6" w:space="6"/>
        </w:pBdr>
        <w:spacing w:before="300"/>
      </w:pPr>
      <w:r>
        <w:rPr>
          <w:i/>
          <w:iCs/>
          <w:color w:val="5F5E5A"/>
          <w:sz w:val="17"/>
          <w:szCs w:val="17"/>
        </w:rPr>
        <w:t xml:space="preserve">Rapport établi le 25 juin 2026 — données de production de la plateforme MIKA SERVICES.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3"/>
      </w:pBdr>
      <w:jc w:val="right"/>
    </w:pPr>
    <w:r>
      <w:rPr>
        <w:color w:val="999999"/>
        <w:sz w:val="15"/>
        <w:szCs w:val="15"/>
      </w:rPr>
      <w:t xml:space="preserve">MIKA SERVICES — Rapport d'analyse d'adoption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39200" w:sz="8" w:space="6"/>
      </w:pBdr>
      <w:spacing w:after="180" w:before="280"/>
      <w:outlineLvl w:val="0"/>
    </w:pPr>
    <w:rPr>
      <w:rFonts w:ascii="Calibri" w:cs="Calibri" w:eastAsia="Calibri" w:hAnsi="Calibri"/>
      <w:b/>
      <w:bCs/>
      <w:color w:val="F392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5F5E5A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0a9e993a86f89a3ef83a498b81448793055329.png"/><Relationship Id="rId10" Type="http://schemas.openxmlformats.org/officeDocument/2006/relationships/image" Target="media/46b3c311f54ba1017eaf16b13e18f4adb84de3e7.png"/><Relationship Id="rId11" Type="http://schemas.openxmlformats.org/officeDocument/2006/relationships/image" Target="media/d7c874d3895811db1a9c15745a75b87dd25bdfaa.png"/><Relationship Id="rId12" Type="http://schemas.openxmlformats.org/officeDocument/2006/relationships/image" Target="media/f76be6ef54d3ccedb8f4a4c44878d14485f46399.png"/><Relationship Id="rId13" Type="http://schemas.openxmlformats.org/officeDocument/2006/relationships/image" Target="media/d3b78ca53ec39d47abc1cbe29a7792602e476faf.png"/><Relationship Id="rId14" Type="http://schemas.openxmlformats.org/officeDocument/2006/relationships/image" Target="media/161fa656ee0ca551b916b8a4b2ea918acd29ecd6.png"/><Relationship Id="rId15" Type="http://schemas.openxmlformats.org/officeDocument/2006/relationships/image" Target="media/6f09ab1890c015e6f523b3b27a07ff1b44e02b71.png"/><Relationship Id="rId16" Type="http://schemas.openxmlformats.org/officeDocument/2006/relationships/image" Target="media/fe1e5111015b638824fd3f282a894ebc54b4fa23.png"/><Relationship Id="rId1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d'analyse d'adoption - Plateforme MIKA Services</dc:title>
  <dc:creator>MIKA SERVICES</dc:creator>
  <cp:lastModifiedBy>Un-named</cp:lastModifiedBy>
  <cp:revision>1</cp:revision>
  <dcterms:created xsi:type="dcterms:W3CDTF">2026-06-25T11:24:10.675Z</dcterms:created>
  <dcterms:modified xsi:type="dcterms:W3CDTF">2026-06-25T11:24:10.675Z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