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600" w:before="0"/>
        <w:jc w:val="center"/>
      </w:pPr>
      <w:r>
        <w:rPr>
          <w:b/>
          <w:bCs/>
          <w:color w:val="B08B40"/>
          <w:spacing w:val="80"/>
          <w:sz w:val="22"/>
          <w:szCs w:val="22"/>
        </w:rPr>
        <w:t xml:space="preserve">DOCUMENT DE RÉFÉRENCE STRATÉGIQUE</w:t>
      </w:r>
    </w:p>
    <w:p>
      <w:pPr>
        <w:spacing w:after="400" w:before="0"/>
      </w:pPr>
      <w:r>
        <w:t xml:space="preserve"/>
      </w:r>
    </w:p>
    <w:p>
      <w:pPr>
        <w:spacing w:after="80" w:before="0"/>
        <w:jc w:val="center"/>
      </w:pPr>
      <w:r>
        <w:rPr>
          <w:b/>
          <w:bCs/>
          <w:color w:val="1F3A5F"/>
          <w:spacing w:val="40"/>
          <w:sz w:val="88"/>
          <w:szCs w:val="88"/>
        </w:rPr>
        <w:t xml:space="preserve">PLAN D'AFFAIRES</w:t>
      </w:r>
    </w:p>
    <w:p>
      <w:pPr>
        <w:pBdr>
          <w:bottom w:val="single" w:color="B08B40" w:sz="10" w:space="1"/>
        </w:pBdr>
        <w:spacing w:after="200" w:before="200"/>
        <w:ind w:left="2880" w:right="2880"/>
        <w:jc w:val="center"/>
      </w:pPr>
      <w:r>
        <w:rPr>
          <w:sz w:val="4"/>
          <w:szCs w:val="4"/>
        </w:rPr>
        <w:t xml:space="preserve"/>
      </w:r>
    </w:p>
    <w:p>
      <w:pPr>
        <w:spacing w:after="0" w:before="200" w:line="360"/>
        <w:jc w:val="center"/>
      </w:pPr>
      <w:r>
        <w:rPr>
          <w:i/>
          <w:iCs/>
          <w:color w:val="5A5A5A"/>
          <w:sz w:val="26"/>
          <w:szCs w:val="26"/>
        </w:rPr>
        <w:t xml:space="preserve">Projet de solution intelligente aux embouteillages</w:t>
      </w:r>
    </w:p>
    <w:p>
      <w:pPr>
        <w:spacing w:after="0" w:before="200" w:line="360"/>
        <w:jc w:val="center"/>
      </w:pPr>
      <w:r>
        <w:rPr>
          <w:i/>
          <w:iCs/>
          <w:color w:val="5A5A5A"/>
          <w:sz w:val="26"/>
          <w:szCs w:val="26"/>
        </w:rPr>
        <w:t xml:space="preserve">de Libreville par l'intelligence artificielle</w:t>
      </w:r>
    </w:p>
    <w:p>
      <w:pPr>
        <w:spacing w:after="600" w:before="0"/>
      </w:pPr>
      <w:r>
        <w:t xml:space="preserve"/>
      </w:r>
    </w:p>
    <w:p>
      <w:pPr>
        <w:spacing w:after="0" w:before="0"/>
        <w:jc w:val="center"/>
      </w:pPr>
      <w:r>
        <w:rPr>
          <w:i/>
          <w:iCs/>
          <w:color w:val="8A8A8A"/>
          <w:sz w:val="20"/>
          <w:szCs w:val="20"/>
        </w:rPr>
        <w:t xml:space="preserve">Volet I  ·  Stratégie, marché, produit, opérations, équipe, finances, juridique</w:t>
      </w:r>
    </w:p>
    <w:p>
      <w:pPr>
        <w:spacing w:after="2000" w:before="0"/>
      </w:pPr>
      <w:r>
        <w:t xml:space="preserve"/>
      </w:r>
    </w:p>
    <w:p>
      <w:pPr>
        <w:pBdr>
          <w:bottom w:val="single" w:color="B08B40" w:sz="6" w:space="1"/>
        </w:pBdr>
        <w:spacing w:after="120" w:before="120"/>
        <w:ind w:left="3600" w:right="3600"/>
        <w:jc w:val="center"/>
      </w:pPr>
      <w:r>
        <w:rPr>
          <w:sz w:val="4"/>
          <w:szCs w:val="4"/>
        </w:rPr>
        <w:t xml:space="preserve"/>
      </w:r>
    </w:p>
    <w:p>
      <w:pPr>
        <w:spacing w:after="160" w:before="0"/>
      </w:pPr>
      <w:r>
        <w:t xml:space="preserve"/>
      </w:r>
    </w:p>
    <w:p>
      <w:pPr>
        <w:spacing w:after="120" w:before="0"/>
        <w:jc w:val="center"/>
      </w:pPr>
      <w:r>
        <w:rPr>
          <w:b/>
          <w:bCs/>
          <w:color w:val="1A1A1A"/>
          <w:sz w:val="28"/>
          <w:szCs w:val="28"/>
        </w:rPr>
        <w:t xml:space="preserve">Olsen KAMPALA</w:t>
      </w:r>
    </w:p>
    <w:p>
      <w:pPr>
        <w:spacing w:after="120" w:before="0"/>
        <w:jc w:val="center"/>
      </w:pPr>
      <w:r>
        <w:rPr>
          <w:b w:val="false"/>
          <w:bCs w:val="false"/>
          <w:color w:val="1A1A1A"/>
          <w:sz w:val="22"/>
          <w:szCs w:val="22"/>
        </w:rPr>
        <w:t xml:space="preserve">Fondateur du projet</w:t>
      </w:r>
    </w:p>
    <w:p>
      <w:pPr>
        <w:spacing w:after="200" w:before="0"/>
      </w:pPr>
      <w:r>
        <w:t xml:space="preserve"/>
      </w:r>
    </w:p>
    <w:p>
      <w:pPr>
        <w:spacing w:after="120" w:before="0"/>
        <w:jc w:val="center"/>
      </w:pPr>
      <w:r>
        <w:rPr>
          <w:b w:val="false"/>
          <w:bCs w:val="false"/>
          <w:color w:val="1A1A1A"/>
          <w:sz w:val="22"/>
          <w:szCs w:val="22"/>
        </w:rPr>
        <w:t xml:space="preserve">Libreville, Gabon  ·  Mai 2026</w:t>
      </w:r>
    </w:p>
    <w:p>
      <w:pPr>
        <w:spacing w:after="400" w:before="0"/>
      </w:pPr>
      <w:r>
        <w:t xml:space="preserve"/>
      </w:r>
    </w:p>
    <w:p>
      <w:pPr>
        <w:jc w:val="center"/>
      </w:pPr>
      <w:r>
        <w:rPr>
          <w:i/>
          <w:iCs/>
          <w:color w:val="8A8A8A"/>
          <w:sz w:val="18"/>
          <w:szCs w:val="18"/>
        </w:rPr>
        <w:t xml:space="preserve">Version 1.0  ·  Document de travail confidentiel</w:t>
      </w:r>
    </w:p>
    <w:p>
      <w:r>
        <w:br w:type="page"/>
      </w:r>
    </w:p>
    <w:p>
      <w:pPr>
        <w:sectPr>
          <w:pgSz w:w="12240" w:h="15840" w:orient="portrait"/>
          <w:pgMar w:top="1440" w:right="1440" w:bottom="1440" w:left="1440" w:header="708" w:footer="708" w:gutter="0"/>
          <w:pgNumType/>
          <w:docGrid w:linePitch="360"/>
        </w:sectPr>
      </w:pPr>
    </w:p>
    <w:p>
      <w:pPr>
        <w:spacing w:after="240" w:before="400"/>
        <w:jc w:val="left"/>
      </w:pPr>
      <w:r>
        <w:rPr>
          <w:b/>
          <w:bCs/>
          <w:color w:val="1F3A5F"/>
          <w:sz w:val="44"/>
          <w:szCs w:val="44"/>
        </w:rPr>
        <w:t xml:space="preserve">Sommaire</w:t>
      </w:r>
    </w:p>
    <w:p>
      <w:pPr>
        <w:pBdr>
          <w:bottom w:val="single" w:color="B08B40" w:sz="8" w:space="4"/>
        </w:pBdr>
        <w:spacing w:after="360" w:before="0"/>
      </w:pPr>
      <w:r>
        <w:rPr>
          <w:sz w:val="4"/>
          <w:szCs w:val="4"/>
        </w:rPr>
        <w:t xml:space="preserve"/>
      </w:r>
    </w:p>
    <w:p>
      <w:pPr>
        <w:tabs>
          <w:tab w:val="right" w:pos="9000"/>
        </w:tabs>
        <w:spacing w:after="80" w:before="80"/>
      </w:pPr>
      <w:r>
        <w:rPr>
          <w:b/>
          <w:bCs/>
          <w:color w:val="B08B40"/>
          <w:sz w:val="22"/>
          <w:szCs w:val="22"/>
        </w:rPr>
        <w:t xml:space="preserve"/>
      </w:r>
      <w:r>
        <w:rPr>
          <w:color w:val="1A1A1A"/>
          <w:sz w:val="22"/>
          <w:szCs w:val="22"/>
        </w:rPr>
        <w:t xml:space="preserve">Synthèse exécutive</w:t>
      </w:r>
      <w:r>
        <w:rPr>
          <w:color w:val="8A8A8A"/>
          <w:sz w:val="22"/>
          <w:szCs w:val="22"/>
        </w:rPr>
        <w:t xml:space="preserve">	</w:t>
      </w:r>
      <w:r>
        <w:rPr>
          <w:color w:val="8A8A8A"/>
          <w:sz w:val="22"/>
          <w:szCs w:val="22"/>
        </w:rPr>
        <w:t xml:space="preserve">4</w:t>
      </w:r>
    </w:p>
    <w:p>
      <w:pPr>
        <w:spacing w:after="100" w:before="240"/>
      </w:pPr>
      <w:r>
        <w:rPr>
          <w:b/>
          <w:bCs/>
          <w:caps/>
          <w:color w:val="1F3A5F"/>
          <w:spacing w:val="40"/>
          <w:sz w:val="22"/>
          <w:szCs w:val="22"/>
        </w:rPr>
        <w:t xml:space="preserve">Partie I  ·  La stratégie d'entreprise</w:t>
      </w:r>
    </w:p>
    <w:p>
      <w:pPr>
        <w:tabs>
          <w:tab w:val="right" w:pos="9000"/>
        </w:tabs>
        <w:spacing w:after="80" w:before="80"/>
      </w:pPr>
      <w:r>
        <w:rPr>
          <w:b/>
          <w:bCs/>
          <w:color w:val="B08B40"/>
          <w:sz w:val="22"/>
          <w:szCs w:val="22"/>
        </w:rPr>
        <w:t xml:space="preserve">1.1  </w:t>
      </w:r>
      <w:r>
        <w:rPr>
          <w:color w:val="1A1A1A"/>
          <w:sz w:val="22"/>
          <w:szCs w:val="22"/>
        </w:rPr>
        <w:t xml:space="preserve">Mission, vision et valeurs</w:t>
      </w:r>
      <w:r>
        <w:rPr>
          <w:color w:val="8A8A8A"/>
          <w:sz w:val="22"/>
          <w:szCs w:val="22"/>
        </w:rPr>
        <w:t xml:space="preserve">	</w:t>
      </w:r>
      <w:r>
        <w:rPr>
          <w:color w:val="8A8A8A"/>
          <w:sz w:val="22"/>
          <w:szCs w:val="22"/>
        </w:rPr>
        <w:t xml:space="preserve">8</w:t>
      </w:r>
    </w:p>
    <w:p>
      <w:pPr>
        <w:tabs>
          <w:tab w:val="right" w:pos="9000"/>
        </w:tabs>
        <w:spacing w:after="80" w:before="80"/>
      </w:pPr>
      <w:r>
        <w:rPr>
          <w:b/>
          <w:bCs/>
          <w:color w:val="B08B40"/>
          <w:sz w:val="22"/>
          <w:szCs w:val="22"/>
        </w:rPr>
        <w:t xml:space="preserve">1.2  </w:t>
      </w:r>
      <w:r>
        <w:rPr>
          <w:color w:val="1A1A1A"/>
          <w:sz w:val="22"/>
          <w:szCs w:val="22"/>
        </w:rPr>
        <w:t xml:space="preserve">Proposition de valeur unique</w:t>
      </w:r>
      <w:r>
        <w:rPr>
          <w:color w:val="8A8A8A"/>
          <w:sz w:val="22"/>
          <w:szCs w:val="22"/>
        </w:rPr>
        <w:t xml:space="preserve">	</w:t>
      </w:r>
      <w:r>
        <w:rPr>
          <w:color w:val="8A8A8A"/>
          <w:sz w:val="22"/>
          <w:szCs w:val="22"/>
        </w:rPr>
        <w:t xml:space="preserve">10</w:t>
      </w:r>
    </w:p>
    <w:p>
      <w:pPr>
        <w:tabs>
          <w:tab w:val="right" w:pos="9000"/>
        </w:tabs>
        <w:spacing w:after="80" w:before="80"/>
      </w:pPr>
      <w:r>
        <w:rPr>
          <w:b/>
          <w:bCs/>
          <w:color w:val="B08B40"/>
          <w:sz w:val="22"/>
          <w:szCs w:val="22"/>
        </w:rPr>
        <w:t xml:space="preserve">1.3  </w:t>
      </w:r>
      <w:r>
        <w:rPr>
          <w:color w:val="1A1A1A"/>
          <w:sz w:val="22"/>
          <w:szCs w:val="22"/>
        </w:rPr>
        <w:t xml:space="preserve">Modèle économique et flux de revenus</w:t>
      </w:r>
      <w:r>
        <w:rPr>
          <w:color w:val="8A8A8A"/>
          <w:sz w:val="22"/>
          <w:szCs w:val="22"/>
        </w:rPr>
        <w:t xml:space="preserve">	</w:t>
      </w:r>
      <w:r>
        <w:rPr>
          <w:color w:val="8A8A8A"/>
          <w:sz w:val="22"/>
          <w:szCs w:val="22"/>
        </w:rPr>
        <w:t xml:space="preserve">12</w:t>
      </w:r>
    </w:p>
    <w:p>
      <w:pPr>
        <w:tabs>
          <w:tab w:val="right" w:pos="9000"/>
        </w:tabs>
        <w:spacing w:after="80" w:before="80"/>
      </w:pPr>
      <w:r>
        <w:rPr>
          <w:b/>
          <w:bCs/>
          <w:color w:val="B08B40"/>
          <w:sz w:val="22"/>
          <w:szCs w:val="22"/>
        </w:rPr>
        <w:t xml:space="preserve">1.4  </w:t>
      </w:r>
      <w:r>
        <w:rPr>
          <w:color w:val="1A1A1A"/>
          <w:sz w:val="22"/>
          <w:szCs w:val="22"/>
        </w:rPr>
        <w:t xml:space="preserve">Stratégie concurrentielle et différenciation</w:t>
      </w:r>
      <w:r>
        <w:rPr>
          <w:color w:val="8A8A8A"/>
          <w:sz w:val="22"/>
          <w:szCs w:val="22"/>
        </w:rPr>
        <w:t xml:space="preserve">	</w:t>
      </w:r>
      <w:r>
        <w:rPr>
          <w:color w:val="8A8A8A"/>
          <w:sz w:val="22"/>
          <w:szCs w:val="22"/>
        </w:rPr>
        <w:t xml:space="preserve">15</w:t>
      </w:r>
    </w:p>
    <w:p>
      <w:pPr>
        <w:tabs>
          <w:tab w:val="right" w:pos="9000"/>
        </w:tabs>
        <w:spacing w:after="80" w:before="80"/>
      </w:pPr>
      <w:r>
        <w:rPr>
          <w:b/>
          <w:bCs/>
          <w:color w:val="B08B40"/>
          <w:sz w:val="22"/>
          <w:szCs w:val="22"/>
        </w:rPr>
        <w:t xml:space="preserve">1.5  </w:t>
      </w:r>
      <w:r>
        <w:rPr>
          <w:color w:val="1A1A1A"/>
          <w:sz w:val="22"/>
          <w:szCs w:val="22"/>
        </w:rPr>
        <w:t xml:space="preserve">Analyse SWOT</w:t>
      </w:r>
      <w:r>
        <w:rPr>
          <w:color w:val="8A8A8A"/>
          <w:sz w:val="22"/>
          <w:szCs w:val="22"/>
        </w:rPr>
        <w:t xml:space="preserve">	</w:t>
      </w:r>
      <w:r>
        <w:rPr>
          <w:color w:val="8A8A8A"/>
          <w:sz w:val="22"/>
          <w:szCs w:val="22"/>
        </w:rPr>
        <w:t xml:space="preserve">17</w:t>
      </w:r>
    </w:p>
    <w:p>
      <w:pPr>
        <w:spacing w:after="100" w:before="240"/>
      </w:pPr>
      <w:r>
        <w:rPr>
          <w:b/>
          <w:bCs/>
          <w:caps/>
          <w:color w:val="1F3A5F"/>
          <w:spacing w:val="40"/>
          <w:sz w:val="22"/>
          <w:szCs w:val="22"/>
        </w:rPr>
        <w:t xml:space="preserve">Partie II  ·  Le marché</w:t>
      </w:r>
    </w:p>
    <w:p>
      <w:pPr>
        <w:tabs>
          <w:tab w:val="right" w:pos="9000"/>
        </w:tabs>
        <w:spacing w:after="80" w:before="80"/>
      </w:pPr>
      <w:r>
        <w:rPr>
          <w:b/>
          <w:bCs/>
          <w:color w:val="B08B40"/>
          <w:sz w:val="22"/>
          <w:szCs w:val="22"/>
        </w:rPr>
        <w:t xml:space="preserve">2.1  </w:t>
      </w:r>
      <w:r>
        <w:rPr>
          <w:color w:val="1A1A1A"/>
          <w:sz w:val="22"/>
          <w:szCs w:val="22"/>
        </w:rPr>
        <w:t xml:space="preserve">Définition et segmentation du marché</w:t>
      </w:r>
      <w:r>
        <w:rPr>
          <w:color w:val="8A8A8A"/>
          <w:sz w:val="22"/>
          <w:szCs w:val="22"/>
        </w:rPr>
        <w:t xml:space="preserve">	</w:t>
      </w:r>
      <w:r>
        <w:rPr>
          <w:color w:val="8A8A8A"/>
          <w:sz w:val="22"/>
          <w:szCs w:val="22"/>
        </w:rPr>
        <w:t xml:space="preserve">20</w:t>
      </w:r>
    </w:p>
    <w:p>
      <w:pPr>
        <w:tabs>
          <w:tab w:val="right" w:pos="9000"/>
        </w:tabs>
        <w:spacing w:after="80" w:before="80"/>
      </w:pPr>
      <w:r>
        <w:rPr>
          <w:b/>
          <w:bCs/>
          <w:color w:val="B08B40"/>
          <w:sz w:val="22"/>
          <w:szCs w:val="22"/>
        </w:rPr>
        <w:t xml:space="preserve">2.2  </w:t>
      </w:r>
      <w:r>
        <w:rPr>
          <w:color w:val="1A1A1A"/>
          <w:sz w:val="22"/>
          <w:szCs w:val="22"/>
        </w:rPr>
        <w:t xml:space="preserve">Taille du marché et potentiel</w:t>
      </w:r>
      <w:r>
        <w:rPr>
          <w:color w:val="8A8A8A"/>
          <w:sz w:val="22"/>
          <w:szCs w:val="22"/>
        </w:rPr>
        <w:t xml:space="preserve">	</w:t>
      </w:r>
      <w:r>
        <w:rPr>
          <w:color w:val="8A8A8A"/>
          <w:sz w:val="22"/>
          <w:szCs w:val="22"/>
        </w:rPr>
        <w:t xml:space="preserve">22</w:t>
      </w:r>
    </w:p>
    <w:p>
      <w:pPr>
        <w:tabs>
          <w:tab w:val="right" w:pos="9000"/>
        </w:tabs>
        <w:spacing w:after="80" w:before="80"/>
      </w:pPr>
      <w:r>
        <w:rPr>
          <w:b/>
          <w:bCs/>
          <w:color w:val="B08B40"/>
          <w:sz w:val="22"/>
          <w:szCs w:val="22"/>
        </w:rPr>
        <w:t xml:space="preserve">2.3  </w:t>
      </w:r>
      <w:r>
        <w:rPr>
          <w:color w:val="1A1A1A"/>
          <w:sz w:val="22"/>
          <w:szCs w:val="22"/>
        </w:rPr>
        <w:t xml:space="preserve">Dynamique et tendances</w:t>
      </w:r>
      <w:r>
        <w:rPr>
          <w:color w:val="8A8A8A"/>
          <w:sz w:val="22"/>
          <w:szCs w:val="22"/>
        </w:rPr>
        <w:t xml:space="preserve">	</w:t>
      </w:r>
      <w:r>
        <w:rPr>
          <w:color w:val="8A8A8A"/>
          <w:sz w:val="22"/>
          <w:szCs w:val="22"/>
        </w:rPr>
        <w:t xml:space="preserve">25</w:t>
      </w:r>
    </w:p>
    <w:p>
      <w:pPr>
        <w:tabs>
          <w:tab w:val="right" w:pos="9000"/>
        </w:tabs>
        <w:spacing w:after="80" w:before="80"/>
      </w:pPr>
      <w:r>
        <w:rPr>
          <w:b/>
          <w:bCs/>
          <w:color w:val="B08B40"/>
          <w:sz w:val="22"/>
          <w:szCs w:val="22"/>
        </w:rPr>
        <w:t xml:space="preserve">2.4  </w:t>
      </w:r>
      <w:r>
        <w:rPr>
          <w:color w:val="1A1A1A"/>
          <w:sz w:val="22"/>
          <w:szCs w:val="22"/>
        </w:rPr>
        <w:t xml:space="preserve">Analyse concurrentielle détaillée</w:t>
      </w:r>
      <w:r>
        <w:rPr>
          <w:color w:val="8A8A8A"/>
          <w:sz w:val="22"/>
          <w:szCs w:val="22"/>
        </w:rPr>
        <w:t xml:space="preserve">	</w:t>
      </w:r>
      <w:r>
        <w:rPr>
          <w:color w:val="8A8A8A"/>
          <w:sz w:val="22"/>
          <w:szCs w:val="22"/>
        </w:rPr>
        <w:t xml:space="preserve">27</w:t>
      </w:r>
    </w:p>
    <w:p>
      <w:pPr>
        <w:spacing w:after="100" w:before="240"/>
      </w:pPr>
      <w:r>
        <w:rPr>
          <w:b/>
          <w:bCs/>
          <w:caps/>
          <w:color w:val="1F3A5F"/>
          <w:spacing w:val="40"/>
          <w:sz w:val="22"/>
          <w:szCs w:val="22"/>
        </w:rPr>
        <w:t xml:space="preserve">Partie III  ·  Le produit</w:t>
      </w:r>
    </w:p>
    <w:p>
      <w:pPr>
        <w:tabs>
          <w:tab w:val="right" w:pos="9000"/>
        </w:tabs>
        <w:spacing w:after="80" w:before="80"/>
      </w:pPr>
      <w:r>
        <w:rPr>
          <w:b/>
          <w:bCs/>
          <w:color w:val="B08B40"/>
          <w:sz w:val="22"/>
          <w:szCs w:val="22"/>
        </w:rPr>
        <w:t xml:space="preserve">3.1  </w:t>
      </w:r>
      <w:r>
        <w:rPr>
          <w:color w:val="1A1A1A"/>
          <w:sz w:val="22"/>
          <w:szCs w:val="22"/>
        </w:rPr>
        <w:t xml:space="preserve">Périmètre fonctionnel et MVP</w:t>
      </w:r>
      <w:r>
        <w:rPr>
          <w:color w:val="8A8A8A"/>
          <w:sz w:val="22"/>
          <w:szCs w:val="22"/>
        </w:rPr>
        <w:t xml:space="preserve">	</w:t>
      </w:r>
      <w:r>
        <w:rPr>
          <w:color w:val="8A8A8A"/>
          <w:sz w:val="22"/>
          <w:szCs w:val="22"/>
        </w:rPr>
        <w:t xml:space="preserve">31</w:t>
      </w:r>
    </w:p>
    <w:p>
      <w:pPr>
        <w:tabs>
          <w:tab w:val="right" w:pos="9000"/>
        </w:tabs>
        <w:spacing w:after="80" w:before="80"/>
      </w:pPr>
      <w:r>
        <w:rPr>
          <w:b/>
          <w:bCs/>
          <w:color w:val="B08B40"/>
          <w:sz w:val="22"/>
          <w:szCs w:val="22"/>
        </w:rPr>
        <w:t xml:space="preserve">3.2  </w:t>
      </w:r>
      <w:r>
        <w:rPr>
          <w:color w:val="1A1A1A"/>
          <w:sz w:val="22"/>
          <w:szCs w:val="22"/>
        </w:rPr>
        <w:t xml:space="preserve">Feuille de route produit</w:t>
      </w:r>
      <w:r>
        <w:rPr>
          <w:color w:val="8A8A8A"/>
          <w:sz w:val="22"/>
          <w:szCs w:val="22"/>
        </w:rPr>
        <w:t xml:space="preserve">	</w:t>
      </w:r>
      <w:r>
        <w:rPr>
          <w:color w:val="8A8A8A"/>
          <w:sz w:val="22"/>
          <w:szCs w:val="22"/>
        </w:rPr>
        <w:t xml:space="preserve">33</w:t>
      </w:r>
    </w:p>
    <w:p>
      <w:pPr>
        <w:tabs>
          <w:tab w:val="right" w:pos="9000"/>
        </w:tabs>
        <w:spacing w:after="80" w:before="80"/>
      </w:pPr>
      <w:r>
        <w:rPr>
          <w:b/>
          <w:bCs/>
          <w:color w:val="B08B40"/>
          <w:sz w:val="22"/>
          <w:szCs w:val="22"/>
        </w:rPr>
        <w:t xml:space="preserve">3.3  </w:t>
      </w:r>
      <w:r>
        <w:rPr>
          <w:color w:val="1A1A1A"/>
          <w:sz w:val="22"/>
          <w:szCs w:val="22"/>
        </w:rPr>
        <w:t xml:space="preserve">Indicateurs clés de performance</w:t>
      </w:r>
      <w:r>
        <w:rPr>
          <w:color w:val="8A8A8A"/>
          <w:sz w:val="22"/>
          <w:szCs w:val="22"/>
        </w:rPr>
        <w:t xml:space="preserve">	</w:t>
      </w:r>
      <w:r>
        <w:rPr>
          <w:color w:val="8A8A8A"/>
          <w:sz w:val="22"/>
          <w:szCs w:val="22"/>
        </w:rPr>
        <w:t xml:space="preserve">35</w:t>
      </w:r>
    </w:p>
    <w:p>
      <w:pPr>
        <w:spacing w:after="100" w:before="240"/>
      </w:pPr>
      <w:r>
        <w:rPr>
          <w:b/>
          <w:bCs/>
          <w:caps/>
          <w:color w:val="1F3A5F"/>
          <w:spacing w:val="40"/>
          <w:sz w:val="22"/>
          <w:szCs w:val="22"/>
        </w:rPr>
        <w:t xml:space="preserve">Partie IV  ·  L'opérationnel</w:t>
      </w:r>
    </w:p>
    <w:p>
      <w:pPr>
        <w:tabs>
          <w:tab w:val="right" w:pos="9000"/>
        </w:tabs>
        <w:spacing w:after="80" w:before="80"/>
      </w:pPr>
      <w:r>
        <w:rPr>
          <w:b/>
          <w:bCs/>
          <w:color w:val="B08B40"/>
          <w:sz w:val="22"/>
          <w:szCs w:val="22"/>
        </w:rPr>
        <w:t xml:space="preserve">4.1  </w:t>
      </w:r>
      <w:r>
        <w:rPr>
          <w:color w:val="1A1A1A"/>
          <w:sz w:val="22"/>
          <w:szCs w:val="22"/>
        </w:rPr>
        <w:t xml:space="preserve">Chaîne de valeur et processus critiques</w:t>
      </w:r>
      <w:r>
        <w:rPr>
          <w:color w:val="8A8A8A"/>
          <w:sz w:val="22"/>
          <w:szCs w:val="22"/>
        </w:rPr>
        <w:t xml:space="preserve">	</w:t>
      </w:r>
      <w:r>
        <w:rPr>
          <w:color w:val="8A8A8A"/>
          <w:sz w:val="22"/>
          <w:szCs w:val="22"/>
        </w:rPr>
        <w:t xml:space="preserve">37</w:t>
      </w:r>
    </w:p>
    <w:p>
      <w:pPr>
        <w:tabs>
          <w:tab w:val="right" w:pos="9000"/>
        </w:tabs>
        <w:spacing w:after="80" w:before="80"/>
      </w:pPr>
      <w:r>
        <w:rPr>
          <w:b/>
          <w:bCs/>
          <w:color w:val="B08B40"/>
          <w:sz w:val="22"/>
          <w:szCs w:val="22"/>
        </w:rPr>
        <w:t xml:space="preserve">4.2  </w:t>
      </w:r>
      <w:r>
        <w:rPr>
          <w:color w:val="1A1A1A"/>
          <w:sz w:val="22"/>
          <w:szCs w:val="22"/>
        </w:rPr>
        <w:t xml:space="preserve">Partenaires stratégiques et fournisseurs</w:t>
      </w:r>
      <w:r>
        <w:rPr>
          <w:color w:val="8A8A8A"/>
          <w:sz w:val="22"/>
          <w:szCs w:val="22"/>
        </w:rPr>
        <w:t xml:space="preserve">	</w:t>
      </w:r>
      <w:r>
        <w:rPr>
          <w:color w:val="8A8A8A"/>
          <w:sz w:val="22"/>
          <w:szCs w:val="22"/>
        </w:rPr>
        <w:t xml:space="preserve">39</w:t>
      </w:r>
    </w:p>
    <w:p>
      <w:pPr>
        <w:tabs>
          <w:tab w:val="right" w:pos="9000"/>
        </w:tabs>
        <w:spacing w:after="80" w:before="80"/>
      </w:pPr>
      <w:r>
        <w:rPr>
          <w:b/>
          <w:bCs/>
          <w:color w:val="B08B40"/>
          <w:sz w:val="22"/>
          <w:szCs w:val="22"/>
        </w:rPr>
        <w:t xml:space="preserve">4.3  </w:t>
      </w:r>
      <w:r>
        <w:rPr>
          <w:color w:val="1A1A1A"/>
          <w:sz w:val="22"/>
          <w:szCs w:val="22"/>
        </w:rPr>
        <w:t xml:space="preserve">Risques opérationnels et mitigations</w:t>
      </w:r>
      <w:r>
        <w:rPr>
          <w:color w:val="8A8A8A"/>
          <w:sz w:val="22"/>
          <w:szCs w:val="22"/>
        </w:rPr>
        <w:t xml:space="preserve">	</w:t>
      </w:r>
      <w:r>
        <w:rPr>
          <w:color w:val="8A8A8A"/>
          <w:sz w:val="22"/>
          <w:szCs w:val="22"/>
        </w:rPr>
        <w:t xml:space="preserve">41</w:t>
      </w:r>
    </w:p>
    <w:p>
      <w:pPr>
        <w:spacing w:after="100" w:before="240"/>
      </w:pPr>
      <w:r>
        <w:rPr>
          <w:b/>
          <w:bCs/>
          <w:caps/>
          <w:color w:val="1F3A5F"/>
          <w:spacing w:val="40"/>
          <w:sz w:val="22"/>
          <w:szCs w:val="22"/>
        </w:rPr>
        <w:t xml:space="preserve">Partie V  ·  Équipe et organisation</w:t>
      </w:r>
    </w:p>
    <w:p>
      <w:pPr>
        <w:tabs>
          <w:tab w:val="right" w:pos="9000"/>
        </w:tabs>
        <w:spacing w:after="80" w:before="80"/>
      </w:pPr>
      <w:r>
        <w:rPr>
          <w:b/>
          <w:bCs/>
          <w:color w:val="B08B40"/>
          <w:sz w:val="22"/>
          <w:szCs w:val="22"/>
        </w:rPr>
        <w:t xml:space="preserve">5.1  </w:t>
      </w:r>
      <w:r>
        <w:rPr>
          <w:color w:val="1A1A1A"/>
          <w:sz w:val="22"/>
          <w:szCs w:val="22"/>
        </w:rPr>
        <w:t xml:space="preserve">Organigramme cible et profils</w:t>
      </w:r>
      <w:r>
        <w:rPr>
          <w:color w:val="8A8A8A"/>
          <w:sz w:val="22"/>
          <w:szCs w:val="22"/>
        </w:rPr>
        <w:t xml:space="preserve">	</w:t>
      </w:r>
      <w:r>
        <w:rPr>
          <w:color w:val="8A8A8A"/>
          <w:sz w:val="22"/>
          <w:szCs w:val="22"/>
        </w:rPr>
        <w:t xml:space="preserve">43</w:t>
      </w:r>
    </w:p>
    <w:p>
      <w:pPr>
        <w:tabs>
          <w:tab w:val="right" w:pos="9000"/>
        </w:tabs>
        <w:spacing w:after="80" w:before="80"/>
      </w:pPr>
      <w:r>
        <w:rPr>
          <w:b/>
          <w:bCs/>
          <w:color w:val="B08B40"/>
          <w:sz w:val="22"/>
          <w:szCs w:val="22"/>
        </w:rPr>
        <w:t xml:space="preserve">5.2  </w:t>
      </w:r>
      <w:r>
        <w:rPr>
          <w:color w:val="1A1A1A"/>
          <w:sz w:val="22"/>
          <w:szCs w:val="22"/>
        </w:rPr>
        <w:t xml:space="preserve">Rémunération, capital et culture</w:t>
      </w:r>
      <w:r>
        <w:rPr>
          <w:color w:val="8A8A8A"/>
          <w:sz w:val="22"/>
          <w:szCs w:val="22"/>
        </w:rPr>
        <w:t xml:space="preserve">	</w:t>
      </w:r>
      <w:r>
        <w:rPr>
          <w:color w:val="8A8A8A"/>
          <w:sz w:val="22"/>
          <w:szCs w:val="22"/>
        </w:rPr>
        <w:t xml:space="preserve">45</w:t>
      </w:r>
    </w:p>
    <w:p>
      <w:pPr>
        <w:spacing w:after="100" w:before="240"/>
      </w:pPr>
      <w:r>
        <w:rPr>
          <w:b/>
          <w:bCs/>
          <w:caps/>
          <w:color w:val="1F3A5F"/>
          <w:spacing w:val="40"/>
          <w:sz w:val="22"/>
          <w:szCs w:val="22"/>
        </w:rPr>
        <w:t xml:space="preserve">Partie VI  ·  Le financier</w:t>
      </w:r>
    </w:p>
    <w:p>
      <w:pPr>
        <w:tabs>
          <w:tab w:val="right" w:pos="9000"/>
        </w:tabs>
        <w:spacing w:after="80" w:before="80"/>
      </w:pPr>
      <w:r>
        <w:rPr>
          <w:b/>
          <w:bCs/>
          <w:color w:val="B08B40"/>
          <w:sz w:val="22"/>
          <w:szCs w:val="22"/>
        </w:rPr>
        <w:t xml:space="preserve">6.1  </w:t>
      </w:r>
      <w:r>
        <w:rPr>
          <w:color w:val="1A1A1A"/>
          <w:sz w:val="22"/>
          <w:szCs w:val="22"/>
        </w:rPr>
        <w:t xml:space="preserve">Besoins de financement par phase</w:t>
      </w:r>
      <w:r>
        <w:rPr>
          <w:color w:val="8A8A8A"/>
          <w:sz w:val="22"/>
          <w:szCs w:val="22"/>
        </w:rPr>
        <w:t xml:space="preserve">	</w:t>
      </w:r>
      <w:r>
        <w:rPr>
          <w:color w:val="8A8A8A"/>
          <w:sz w:val="22"/>
          <w:szCs w:val="22"/>
        </w:rPr>
        <w:t xml:space="preserve">47</w:t>
      </w:r>
    </w:p>
    <w:p>
      <w:pPr>
        <w:tabs>
          <w:tab w:val="right" w:pos="9000"/>
        </w:tabs>
        <w:spacing w:after="80" w:before="80"/>
      </w:pPr>
      <w:r>
        <w:rPr>
          <w:b/>
          <w:bCs/>
          <w:color w:val="B08B40"/>
          <w:sz w:val="22"/>
          <w:szCs w:val="22"/>
        </w:rPr>
        <w:t xml:space="preserve">6.2  </w:t>
      </w:r>
      <w:r>
        <w:rPr>
          <w:color w:val="1A1A1A"/>
          <w:sz w:val="22"/>
          <w:szCs w:val="22"/>
        </w:rPr>
        <w:t xml:space="preserve">Compte de résultat prévisionnel</w:t>
      </w:r>
      <w:r>
        <w:rPr>
          <w:color w:val="8A8A8A"/>
          <w:sz w:val="22"/>
          <w:szCs w:val="22"/>
        </w:rPr>
        <w:t xml:space="preserve">	</w:t>
      </w:r>
      <w:r>
        <w:rPr>
          <w:color w:val="8A8A8A"/>
          <w:sz w:val="22"/>
          <w:szCs w:val="22"/>
        </w:rPr>
        <w:t xml:space="preserve">49</w:t>
      </w:r>
    </w:p>
    <w:p>
      <w:pPr>
        <w:tabs>
          <w:tab w:val="right" w:pos="9000"/>
        </w:tabs>
        <w:spacing w:after="80" w:before="80"/>
      </w:pPr>
      <w:r>
        <w:rPr>
          <w:b/>
          <w:bCs/>
          <w:color w:val="B08B40"/>
          <w:sz w:val="22"/>
          <w:szCs w:val="22"/>
        </w:rPr>
        <w:t xml:space="preserve">6.3  </w:t>
      </w:r>
      <w:r>
        <w:rPr>
          <w:color w:val="1A1A1A"/>
          <w:sz w:val="22"/>
          <w:szCs w:val="22"/>
        </w:rPr>
        <w:t xml:space="preserve">Stratégie de levées successives</w:t>
      </w:r>
      <w:r>
        <w:rPr>
          <w:color w:val="8A8A8A"/>
          <w:sz w:val="22"/>
          <w:szCs w:val="22"/>
        </w:rPr>
        <w:t xml:space="preserve">	</w:t>
      </w:r>
      <w:r>
        <w:rPr>
          <w:color w:val="8A8A8A"/>
          <w:sz w:val="22"/>
          <w:szCs w:val="22"/>
        </w:rPr>
        <w:t xml:space="preserve">51</w:t>
      </w:r>
    </w:p>
    <w:p>
      <w:pPr>
        <w:spacing w:after="100" w:before="240"/>
      </w:pPr>
      <w:r>
        <w:rPr>
          <w:b/>
          <w:bCs/>
          <w:caps/>
          <w:color w:val="1F3A5F"/>
          <w:spacing w:val="40"/>
          <w:sz w:val="22"/>
          <w:szCs w:val="22"/>
        </w:rPr>
        <w:t xml:space="preserve">Partie VII  ·  Juridique et institutionnel</w:t>
      </w:r>
    </w:p>
    <w:p>
      <w:pPr>
        <w:tabs>
          <w:tab w:val="right" w:pos="9000"/>
        </w:tabs>
        <w:spacing w:after="80" w:before="80"/>
      </w:pPr>
      <w:r>
        <w:rPr>
          <w:b/>
          <w:bCs/>
          <w:color w:val="B08B40"/>
          <w:sz w:val="22"/>
          <w:szCs w:val="22"/>
        </w:rPr>
        <w:t xml:space="preserve">7.1  </w:t>
      </w:r>
      <w:r>
        <w:rPr>
          <w:color w:val="1A1A1A"/>
          <w:sz w:val="22"/>
          <w:szCs w:val="22"/>
        </w:rPr>
        <w:t xml:space="preserve">Forme juridique et structuration</w:t>
      </w:r>
      <w:r>
        <w:rPr>
          <w:color w:val="8A8A8A"/>
          <w:sz w:val="22"/>
          <w:szCs w:val="22"/>
        </w:rPr>
        <w:t xml:space="preserve">	</w:t>
      </w:r>
      <w:r>
        <w:rPr>
          <w:color w:val="8A8A8A"/>
          <w:sz w:val="22"/>
          <w:szCs w:val="22"/>
        </w:rPr>
        <w:t xml:space="preserve">54</w:t>
      </w:r>
    </w:p>
    <w:p>
      <w:pPr>
        <w:tabs>
          <w:tab w:val="right" w:pos="9000"/>
        </w:tabs>
        <w:spacing w:after="80" w:before="80"/>
      </w:pPr>
      <w:r>
        <w:rPr>
          <w:b/>
          <w:bCs/>
          <w:color w:val="B08B40"/>
          <w:sz w:val="22"/>
          <w:szCs w:val="22"/>
        </w:rPr>
        <w:t xml:space="preserve">7.2  </w:t>
      </w:r>
      <w:r>
        <w:rPr>
          <w:color w:val="1A1A1A"/>
          <w:sz w:val="22"/>
          <w:szCs w:val="22"/>
        </w:rPr>
        <w:t xml:space="preserve">Conformité et propriété intellectuelle</w:t>
      </w:r>
      <w:r>
        <w:rPr>
          <w:color w:val="8A8A8A"/>
          <w:sz w:val="22"/>
          <w:szCs w:val="22"/>
        </w:rPr>
        <w:t xml:space="preserve">	</w:t>
      </w:r>
      <w:r>
        <w:rPr>
          <w:color w:val="8A8A8A"/>
          <w:sz w:val="22"/>
          <w:szCs w:val="22"/>
        </w:rPr>
        <w:t xml:space="preserve">56</w:t>
      </w:r>
    </w:p>
    <w:p>
      <w:pPr>
        <w:tabs>
          <w:tab w:val="right" w:pos="9000"/>
        </w:tabs>
        <w:spacing w:after="80" w:before="80"/>
      </w:pPr>
      <w:r>
        <w:rPr>
          <w:b/>
          <w:bCs/>
          <w:color w:val="B08B40"/>
          <w:sz w:val="22"/>
          <w:szCs w:val="22"/>
        </w:rPr>
        <w:t xml:space="preserve"/>
      </w:r>
      <w:r>
        <w:rPr>
          <w:color w:val="1A1A1A"/>
          <w:sz w:val="22"/>
          <w:szCs w:val="22"/>
        </w:rPr>
        <w:t xml:space="preserve">Conclusion et prochaines étapes</w:t>
      </w:r>
      <w:r>
        <w:rPr>
          <w:color w:val="8A8A8A"/>
          <w:sz w:val="22"/>
          <w:szCs w:val="22"/>
        </w:rPr>
        <w:t xml:space="preserve">	</w:t>
      </w:r>
      <w:r>
        <w:rPr>
          <w:color w:val="8A8A8A"/>
          <w:sz w:val="22"/>
          <w:szCs w:val="22"/>
        </w:rPr>
        <w:t xml:space="preserve">58</w:t>
      </w:r>
    </w:p>
    <w:p>
      <w:pPr>
        <w:tabs>
          <w:tab w:val="right" w:pos="9000"/>
        </w:tabs>
        <w:spacing w:after="80" w:before="80"/>
      </w:pPr>
      <w:r>
        <w:rPr>
          <w:b/>
          <w:bCs/>
          <w:color w:val="B08B40"/>
          <w:sz w:val="22"/>
          <w:szCs w:val="22"/>
        </w:rPr>
        <w:t xml:space="preserve"/>
      </w:r>
      <w:r>
        <w:rPr>
          <w:color w:val="1A1A1A"/>
          <w:sz w:val="22"/>
          <w:szCs w:val="22"/>
        </w:rPr>
        <w:t xml:space="preserve">Sources et références</w:t>
      </w:r>
      <w:r>
        <w:rPr>
          <w:color w:val="8A8A8A"/>
          <w:sz w:val="22"/>
          <w:szCs w:val="22"/>
        </w:rPr>
        <w:t xml:space="preserve">	</w:t>
      </w:r>
      <w:r>
        <w:rPr>
          <w:color w:val="8A8A8A"/>
          <w:sz w:val="22"/>
          <w:szCs w:val="22"/>
        </w:rPr>
        <w:t xml:space="preserve">59</w:t>
      </w:r>
    </w:p>
    <w:p>
      <w:r>
        <w:br w:type="page"/>
      </w:r>
    </w:p>
    <w:p>
      <w:pPr>
        <w:spacing w:after="80" w:before="400"/>
        <w:jc w:val="left"/>
      </w:pPr>
      <w:r>
        <w:rPr>
          <w:b/>
          <w:bCs/>
          <w:color w:val="1F3A5F"/>
          <w:sz w:val="44"/>
          <w:szCs w:val="44"/>
        </w:rPr>
        <w:t xml:space="preserve">Synthèse exécutive</w:t>
      </w:r>
    </w:p>
    <w:p>
      <w:pPr>
        <w:pBdr>
          <w:bottom w:val="single" w:color="B08B40" w:sz="8" w:space="4"/>
        </w:pBdr>
        <w:spacing w:after="320" w:before="0"/>
      </w:pPr>
      <w:r>
        <w:rPr>
          <w:sz w:val="4"/>
          <w:szCs w:val="4"/>
        </w:rPr>
        <w:t xml:space="preserve"/>
      </w:r>
    </w:p>
    <w:p>
      <w:pPr>
        <w:spacing w:after="100" w:before="240"/>
      </w:pPr>
      <w:r>
        <w:rPr>
          <w:b/>
          <w:bCs/>
          <w:color w:val="B08B40"/>
          <w:sz w:val="22"/>
          <w:szCs w:val="22"/>
        </w:rPr>
        <w:t xml:space="preserve">Le projet en une phrase</w:t>
      </w:r>
    </w:p>
    <w:p>
      <w:pPr>
        <w:spacing w:after="160" w:before="0" w:line="320"/>
        <w:jc w:val="both"/>
      </w:pPr>
      <w:r>
        <w:rPr>
          <w:color w:val="1A1A1A"/>
          <w:sz w:val="22"/>
          <w:szCs w:val="22"/>
        </w:rPr>
        <w:t xml:space="preserve">Construire la première plateforme africaine d'intelligence collective de la mobilité urbaine, qui combine un réseau d'observation temps réel du trafic de Libreville et un journal des intentions où les habitants déclarent volontairement leurs déplacements à venir, afin de désengorger durablement la capitale et de devenir l'infrastructure de coordination civique indispensable à la prochaine génération d'investissements urbains gabonais.</w:t>
      </w:r>
    </w:p>
    <w:p>
      <w:pPr>
        <w:spacing w:after="100" w:before="240"/>
      </w:pPr>
      <w:r>
        <w:rPr>
          <w:b/>
          <w:bCs/>
          <w:color w:val="B08B40"/>
          <w:sz w:val="22"/>
          <w:szCs w:val="22"/>
        </w:rPr>
        <w:t xml:space="preserve">Le problème adressé</w:t>
      </w:r>
    </w:p>
    <w:p>
      <w:pPr>
        <w:spacing w:after="160" w:before="0" w:line="320"/>
        <w:jc w:val="both"/>
      </w:pPr>
      <w:r>
        <w:rPr>
          <w:color w:val="1A1A1A"/>
          <w:sz w:val="22"/>
          <w:szCs w:val="22"/>
        </w:rPr>
        <w:t xml:space="preserve">Libreville concentre 53,6 % de la population du Gabon, soit environ 1,08 million d'habitants sur les 2,03 millions recensés en 2024 par la Direction générale de l'emploi. Sa circulation est devenue un coût économique majeur : la pollution liée à la saturation routière coûte au pays environ deux milliards de dollars par an, soit près de 14 % du produit intérieur brut national selon l'étude Edou Ebolo publiée dans Espaces Africains en 2022. Plus de 800 décès prématurés annuels y sont attribués. Le parc automobile gonfle de 15 000 à 20 000 véhicules d'importation chaque année, contre seulement 5 000 neufs, et plus de 80 % des bus de la société publique Trans'Urb sont en panne. Aucune infrastructure de mesure temps réel du trafic n'existe dans la capitale aujourd'hui.</w:t>
      </w:r>
    </w:p>
    <w:p>
      <w:pPr>
        <w:spacing w:after="100" w:before="240"/>
      </w:pPr>
      <w:r>
        <w:rPr>
          <w:b/>
          <w:bCs/>
          <w:color w:val="B08B40"/>
          <w:sz w:val="22"/>
          <w:szCs w:val="22"/>
        </w:rPr>
        <w:t xml:space="preserve">La solution proposée</w:t>
      </w:r>
    </w:p>
    <w:p>
      <w:pPr>
        <w:spacing w:after="160" w:before="0" w:line="320"/>
        <w:jc w:val="both"/>
      </w:pPr>
      <w:r>
        <w:rPr>
          <w:color w:val="1A1A1A"/>
          <w:sz w:val="22"/>
          <w:szCs w:val="22"/>
        </w:rPr>
        <w:t xml:space="preserve">Une plateforme à quatre fondations qui se renforcent mutuellement. D'abord, une carte enrichie de Libreville incluant les raccourcis informels jamais cartographiés. Ensuite, un annuaire vivant et géolocalisé des lieux de la ville (banques, écoles, ministères, marchés, hôpitaux). Puis un journal des intentions où les utilisateurs déclarent leurs déplacements à venir, avec agrégation anonymisée. Enfin un réseau d'observation combinant dix caméras intelligentes aux points noirs, une collecte passive via l'application mobile, et des partenariats avec les flottes existantes. L'ensemble produit une intelligence prédictive du trafic et de la fréquentation des lieux qui n'a aucun équivalent en Afrique centrale francophone.</w:t>
      </w:r>
    </w:p>
    <w:p>
      <w:pPr>
        <w:spacing w:after="100" w:before="240"/>
      </w:pPr>
      <w:r>
        <w:rPr>
          <w:b/>
          <w:bCs/>
          <w:color w:val="B08B40"/>
          <w:sz w:val="22"/>
          <w:szCs w:val="22"/>
        </w:rPr>
        <w:t xml:space="preserve">Le marché</w:t>
      </w:r>
    </w:p>
    <w:p>
      <w:pPr>
        <w:spacing w:after="160" w:before="0" w:line="320"/>
        <w:jc w:val="both"/>
      </w:pPr>
      <w:r>
        <w:rPr>
          <w:color w:val="1A1A1A"/>
          <w:sz w:val="22"/>
          <w:szCs w:val="22"/>
        </w:rPr>
        <w:t xml:space="preserve">Le marché total adressable comprend trois segments. D'abord, les 1,08 million de Librevillois équipés à 95 % d'un smartphone selon les données ARCEP, dont environ 600 000 utilisateurs urbains actifs visés à terme. Ensuite, les 121 acteurs majeurs de l'économie numérique identifiés par le rapport SING 2025, auxquels s'ajoutent les banques, assurances, retailers et logisticiens estimés à environ 500 entités solvables clientes potentielles. Enfin, les pouvoirs publics gabonais qui ont fait de la transformation digitale une priorité du Plan national de développement pour la transition 2024-2026, avec déjà 72,4 millions de dollars budgétés pour l'économie numérique. Le segment transport et communications du secteur tertiaire représentait à lui seul 900,5 milliards de FCFA du PIB 2024.</w:t>
      </w:r>
    </w:p>
    <w:p>
      <w:pPr>
        <w:spacing w:after="100" w:before="240"/>
      </w:pPr>
      <w:r>
        <w:rPr>
          <w:b/>
          <w:bCs/>
          <w:color w:val="B08B40"/>
          <w:sz w:val="22"/>
          <w:szCs w:val="22"/>
        </w:rPr>
        <w:t xml:space="preserve">Le modèle économique</w:t>
      </w:r>
    </w:p>
    <w:p>
      <w:pPr>
        <w:spacing w:after="160" w:before="0" w:line="320"/>
        <w:jc w:val="both"/>
      </w:pPr>
      <w:r>
        <w:rPr>
          <w:color w:val="1A1A1A"/>
          <w:sz w:val="22"/>
          <w:szCs w:val="22"/>
        </w:rPr>
        <w:t xml:space="preserve">Trois flux de revenus complémentaires. Le B2C en freemium, gratuit pour l'usage de base et premium à 2 500 FCFA mensuels pour les fonctions avancées de prédiction long terme. Le B2B par API et données agrégées, avec des forfaits mensuels de 100 000 à 2 000 000 FCFA selon le volume et le périmètre, vendus aux banques, assurances, logisticiens et retailers. Le B2G par contrats annuels de tableaux de bord de pilotage à la Mairie, à la Direction générale des Transports terrestres et à Trans'Urb, avec des tickets attendus entre 50 et 300 millions de FCFA par administration. À horizon trente-six mois, le chiffre d'affaires cumulé visé est de 1,2 milliard de FCFA.</w:t>
      </w:r>
    </w:p>
    <w:p>
      <w:pPr>
        <w:spacing w:after="100" w:before="240"/>
      </w:pPr>
      <w:r>
        <w:rPr>
          <w:b/>
          <w:bCs/>
          <w:color w:val="B08B40"/>
          <w:sz w:val="22"/>
          <w:szCs w:val="22"/>
        </w:rPr>
        <w:t xml:space="preserve">L'avantage concurrentiel</w:t>
      </w:r>
    </w:p>
    <w:p>
      <w:pPr>
        <w:spacing w:after="160" w:before="0" w:line="320"/>
        <w:jc w:val="both"/>
      </w:pPr>
      <w:r>
        <w:rPr>
          <w:color w:val="1A1A1A"/>
          <w:sz w:val="22"/>
          <w:szCs w:val="22"/>
        </w:rPr>
        <w:t xml:space="preserve">Aucun concurrent direct n'existe sur ce périmètre au Gabon ni en Afrique centrale. POZI, la seule startup gabonaise ayant levé en capital-risque international en 2025, opère sur la télématique B2B de flottes privées et ne fait pas d'intelligence collective ni de B2C. Yango et Gozem opèrent des VTC sans agréger ni publier de données trafic. Google Maps couvre approximativement les grands axes mais ignore la voirie secondaire et les raccourcis. La défendabilité tient à quatre couches superposées, à savoir la donnée propriétaire qui s'accumule, le réseau de caméras déployées physiquement, les contrats institutionnels qui créent un coût de switching, et l'ancrage culturel local que les plateformes globales ne pourront pas répliquer.</w:t>
      </w:r>
    </w:p>
    <w:p>
      <w:pPr>
        <w:spacing w:after="100" w:before="240"/>
      </w:pPr>
      <w:r>
        <w:rPr>
          <w:b/>
          <w:bCs/>
          <w:color w:val="B08B40"/>
          <w:sz w:val="22"/>
          <w:szCs w:val="22"/>
        </w:rPr>
        <w:t xml:space="preserve">Le besoin de financement</w:t>
      </w:r>
    </w:p>
    <w:p>
      <w:pPr>
        <w:spacing w:after="160" w:before="0" w:line="320"/>
        <w:jc w:val="both"/>
      </w:pPr>
      <w:r>
        <w:rPr>
          <w:color w:val="1A1A1A"/>
          <w:sz w:val="22"/>
          <w:szCs w:val="22"/>
        </w:rPr>
        <w:t xml:space="preserve">Un total de 320 millions de FCFA, soit environ 488 000 euros, sur dix-huit mois en deux temps. Une première tranche pre-seed de 120 millions de FCFA, soit environ 183 000 euros, sur les six premiers mois, pour constituer l'équipe fondatrice de quatre personnes, déployer les dix premières caméras et lancer les premiers contrats B2B. Une seconde tranche seed de 200 millions de FCFA, soit environ 305 000 euros, en mois neuf, pour étendre l'équipe à huit personnes, déployer vingt caméras supplémentaires et négocier les premiers contrats B2G. Ce calibre est cohérent avec la fourchette d'investissement de Saviu Ventures (500 000 à 3 millions d'euros), fonds qui a déjà investi dans POZI au Gabon en 2025, et plus largement avec les pratiques du capital-risque africain francophone.</w:t>
      </w:r>
    </w:p>
    <w:p>
      <w:pPr>
        <w:spacing w:after="100" w:before="240"/>
      </w:pPr>
      <w:r>
        <w:rPr>
          <w:b/>
          <w:bCs/>
          <w:color w:val="B08B40"/>
          <w:sz w:val="22"/>
          <w:szCs w:val="22"/>
        </w:rPr>
        <w:t xml:space="preserve">Pourquoi maintenant</w:t>
      </w:r>
    </w:p>
    <w:p>
      <w:pPr>
        <w:spacing w:after="160" w:before="0" w:line="320"/>
        <w:jc w:val="both"/>
      </w:pPr>
      <w:r>
        <w:rPr>
          <w:color w:val="1A1A1A"/>
          <w:sz w:val="22"/>
          <w:szCs w:val="22"/>
        </w:rPr>
        <w:t xml:space="preserve">Trois fenêtres temporelles convergent. D'abord, le précédent POZI a prouvé en octobre 2025 que le capital-risque international peut s'investir au Gabon, ouvrant la voie aux suivants. Ensuite, le gouvernement de la transition prépare une Start-up Act gabonaise et un Pacte Numérique Gabonais qui structureront le marché dans les vingt-quatre prochains mois. Enfin, les grands chantiers d'infrastructure (tramway annoncé à 400 millions de dollars, axe Alembé-Lopé-Mikouyi à 140 milliards de FCFA, Boulevard de la Transition) seront tous livrés sans couche logicielle de pilotage. Celui qui posera cette couche aujourd'hui captera mécaniquement leur exploitation demain.</w:t>
      </w:r>
    </w:p>
    <w:p>
      <w:r>
        <w:br w:type="page"/>
      </w:r>
    </w:p>
    <w:p>
      <w:r>
        <w:br w:type="page"/>
      </w:r>
    </w:p>
    <w:p>
      <w:pPr>
        <w:spacing w:after="2400" w:before="0"/>
      </w:pPr>
      <w:r>
        <w:t xml:space="preserve"/>
      </w:r>
    </w:p>
    <w:p>
      <w:pPr>
        <w:spacing w:after="80" w:before="0"/>
        <w:jc w:val="center"/>
      </w:pPr>
      <w:r>
        <w:rPr>
          <w:b/>
          <w:bCs/>
          <w:color w:val="B08B40"/>
          <w:spacing w:val="120"/>
          <w:sz w:val="28"/>
          <w:szCs w:val="28"/>
        </w:rPr>
        <w:t xml:space="preserve">PARTIE I</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La stratégie d'entreprise</w:t>
      </w:r>
    </w:p>
    <w:p>
      <w:r>
        <w:br w:type="page"/>
      </w:r>
    </w:p>
    <w:p>
      <w:pPr>
        <w:pStyle w:val="Heading1"/>
        <w:pBdr>
          <w:top w:val="single" w:color="B08B40" w:sz="8" w:space="12"/>
        </w:pBdr>
        <w:spacing w:after="80" w:before="520"/>
        <w:jc w:val="left"/>
      </w:pPr>
      <w:r>
        <w:rPr>
          <w:b/>
          <w:bCs/>
          <w:color w:val="B08B40"/>
          <w:sz w:val="30"/>
          <w:szCs w:val="30"/>
        </w:rPr>
        <w:t xml:space="preserve">1.1  </w:t>
      </w:r>
      <w:r>
        <w:rPr>
          <w:b/>
          <w:bCs/>
          <w:color w:val="1F3A5F"/>
          <w:sz w:val="30"/>
          <w:szCs w:val="30"/>
        </w:rPr>
        <w:t xml:space="preserve">Mission, vision et valeurs</w:t>
      </w:r>
    </w:p>
    <w:p>
      <w:pPr>
        <w:pStyle w:val="Heading2"/>
        <w:spacing w:after="120" w:before="320"/>
      </w:pPr>
      <w:r>
        <w:rPr>
          <w:b/>
          <w:bCs/>
          <w:color w:val="1F3A5F"/>
          <w:sz w:val="24"/>
          <w:szCs w:val="24"/>
        </w:rPr>
        <w:t xml:space="preserve">Mission</w:t>
      </w:r>
    </w:p>
    <w:p>
      <w:pPr>
        <w:spacing w:after="160" w:before="0" w:line="320"/>
        <w:jc w:val="both"/>
      </w:pPr>
      <w:r>
        <w:rPr>
          <w:color w:val="1A1A1A"/>
          <w:sz w:val="22"/>
          <w:szCs w:val="22"/>
        </w:rPr>
        <w:t xml:space="preserve">La mission de l'entreprise est de doter les villes d'Afrique centrale francophone, à commencer par Libreville, d'une intelligence collective de la mobilité urbaine. Cette intelligence permet à chaque habitant de se déplacer mieux, à chaque entreprise de mieux anticiper ses flux, et à chaque pouvoir public de mieux piloter sa ville. Nous transformons l'embouteillage, qui est aujourd'hui un coût caché supporté individuellement par chaque citoyen, en information collective utile, vendable et améliorable.</w:t>
      </w:r>
    </w:p>
    <w:p>
      <w:pPr>
        <w:pStyle w:val="Heading2"/>
        <w:spacing w:after="120" w:before="320"/>
      </w:pPr>
      <w:r>
        <w:rPr>
          <w:b/>
          <w:bCs/>
          <w:color w:val="1F3A5F"/>
          <w:sz w:val="24"/>
          <w:szCs w:val="24"/>
        </w:rPr>
        <w:t xml:space="preserve">Vision à dix ans</w:t>
      </w:r>
    </w:p>
    <w:p>
      <w:pPr>
        <w:spacing w:after="160" w:before="0" w:line="320"/>
        <w:jc w:val="both"/>
      </w:pPr>
      <w:r>
        <w:rPr>
          <w:color w:val="1A1A1A"/>
          <w:sz w:val="22"/>
          <w:szCs w:val="22"/>
        </w:rPr>
        <w:t xml:space="preserve">Devenir l'infrastructure numérique de référence de la mobilité urbaine en Afrique centrale francophone. À horizon 2036, la plateforme couvre les six métropoles principales de la sous-région (Libreville, Port-Gentil, Douala, Yaoundé, Brazzaville, Kinshasa) avec un total cumulé de cinq à six millions d'utilisateurs actifs, deux mille clients B2B et au moins six contrats cadres avec des administrations urbaines. La donnée agrégée et anonymisée que nous produisons devient alors la référence dont s'inspirent les politiques publiques d'aménagement, les implantations commerciales et les investissements infrastructurels de toute la sous-région.</w:t>
      </w:r>
    </w:p>
    <w:p>
      <w:pPr>
        <w:pStyle w:val="Heading2"/>
        <w:spacing w:after="120" w:before="320"/>
      </w:pPr>
      <w:r>
        <w:rPr>
          <w:b/>
          <w:bCs/>
          <w:color w:val="1F3A5F"/>
          <w:sz w:val="24"/>
          <w:szCs w:val="24"/>
        </w:rPr>
        <w:t xml:space="preserve">Valeurs fondatrices</w:t>
      </w:r>
    </w:p>
    <w:p>
      <w:pPr>
        <w:spacing w:after="160" w:before="0" w:line="320"/>
        <w:jc w:val="both"/>
      </w:pPr>
      <w:r>
        <w:rPr>
          <w:color w:val="1A1A1A"/>
          <w:sz w:val="22"/>
          <w:szCs w:val="22"/>
        </w:rPr>
        <w:t xml:space="preserve">Cinq valeurs structurent les décisions de l'entreprise au quotidien.</w:t>
      </w:r>
    </w:p>
    <w:p>
      <w:pPr>
        <w:spacing w:after="140" w:before="0" w:line="320"/>
        <w:ind w:left="200"/>
        <w:jc w:val="both"/>
      </w:pPr>
      <w:r>
        <w:rPr>
          <w:b/>
          <w:bCs/>
          <w:color w:val="B08B40"/>
          <w:sz w:val="22"/>
          <w:szCs w:val="22"/>
        </w:rPr>
        <w:t xml:space="preserve">La primauté de la donnée locale. </w:t>
      </w:r>
      <w:r>
        <w:rPr>
          <w:color w:val="1A1A1A"/>
          <w:sz w:val="22"/>
          <w:szCs w:val="22"/>
        </w:rPr>
        <w:t xml:space="preserve">Aucune décision produit, technique ou commerciale ne sera prise sans confrontation au terrain gabonais. Nous refusons les solutions importées de marchés occidentaux qui ignorent la réalité de la voirie de Nzeng-Ayong ou des clandos d'Akébé.</w:t>
      </w:r>
    </w:p>
    <w:p>
      <w:pPr>
        <w:spacing w:after="140" w:before="0" w:line="320"/>
        <w:ind w:left="200"/>
        <w:jc w:val="both"/>
      </w:pPr>
      <w:r>
        <w:rPr>
          <w:b/>
          <w:bCs/>
          <w:color w:val="B08B40"/>
          <w:sz w:val="22"/>
          <w:szCs w:val="22"/>
        </w:rPr>
        <w:t xml:space="preserve">La discipline de la confidentialité. </w:t>
      </w:r>
      <w:r>
        <w:rPr>
          <w:color w:val="1A1A1A"/>
          <w:sz w:val="22"/>
          <w:szCs w:val="22"/>
        </w:rPr>
        <w:t xml:space="preserve">La déclaration individuelle d'un utilisateur n'a d'existence que comme grain d'une agrégation collective anonyme. Aucune donnée individuelle ne sera jamais revendue, transmise, ou rendue accessible à un tiers, qu'il s'agisse d'un acteur privé ou public. Cette discipline est la condition de la confiance, donc de l'existence même de la plateforme.</w:t>
      </w:r>
    </w:p>
    <w:p>
      <w:pPr>
        <w:spacing w:after="140" w:before="0" w:line="320"/>
        <w:ind w:left="200"/>
        <w:jc w:val="both"/>
      </w:pPr>
      <w:r>
        <w:rPr>
          <w:b/>
          <w:bCs/>
          <w:color w:val="B08B40"/>
          <w:sz w:val="22"/>
          <w:szCs w:val="22"/>
        </w:rPr>
        <w:t xml:space="preserve">L'utilité avant l'élégance. </w:t>
      </w:r>
      <w:r>
        <w:rPr>
          <w:color w:val="1A1A1A"/>
          <w:sz w:val="22"/>
          <w:szCs w:val="22"/>
        </w:rPr>
        <w:t xml:space="preserve">Notre application doit fonctionner d'abord sur des smartphones d'entrée de gamme, des connexions 3G dégradées et des téléphones aux batteries faibles. La performance technique et la finesse ergonomique viennent ensuite.</w:t>
      </w:r>
    </w:p>
    <w:p>
      <w:pPr>
        <w:spacing w:after="140" w:before="0" w:line="320"/>
        <w:ind w:left="200"/>
        <w:jc w:val="both"/>
      </w:pPr>
      <w:r>
        <w:rPr>
          <w:b/>
          <w:bCs/>
          <w:color w:val="B08B40"/>
          <w:sz w:val="22"/>
          <w:szCs w:val="22"/>
        </w:rPr>
        <w:t xml:space="preserve">La transparence financière. </w:t>
      </w:r>
      <w:r>
        <w:rPr>
          <w:color w:val="1A1A1A"/>
          <w:sz w:val="22"/>
          <w:szCs w:val="22"/>
        </w:rPr>
        <w:t xml:space="preserve">Les comptes de l'entreprise, ses sources de revenus et la structure de son capital seront tenus avec une rigueur identique à celle qu'on attend d'un acteur coté. Cette discipline est notre meilleure protection contre les soupçons que les jeunes pousses gabonaises traînent encore, et notre meilleure carte pour attirer le capital international.</w:t>
      </w:r>
    </w:p>
    <w:p>
      <w:pPr>
        <w:spacing w:after="140" w:before="0" w:line="320"/>
        <w:ind w:left="200"/>
        <w:jc w:val="both"/>
      </w:pPr>
      <w:r>
        <w:rPr>
          <w:b/>
          <w:bCs/>
          <w:color w:val="B08B40"/>
          <w:sz w:val="22"/>
          <w:szCs w:val="22"/>
        </w:rPr>
        <w:t xml:space="preserve">L'ancrage gabonais et l'ambition continentale. </w:t>
      </w:r>
      <w:r>
        <w:rPr>
          <w:color w:val="1A1A1A"/>
          <w:sz w:val="22"/>
          <w:szCs w:val="22"/>
        </w:rPr>
        <w:t xml:space="preserve">Nous bâtissons depuis Libreville pour Libreville d'abord, mais nous concevons chaque brique technique, contractuelle et juridique en pensant à son redéploiement à Douala, Brazzaville et Kinshasa.</w:t>
      </w:r>
    </w:p>
    <w:p>
      <w:pPr>
        <w:pStyle w:val="Heading1"/>
        <w:pBdr>
          <w:top w:val="single" w:color="B08B40" w:sz="8" w:space="12"/>
        </w:pBdr>
        <w:spacing w:after="80" w:before="520"/>
        <w:jc w:val="left"/>
      </w:pPr>
      <w:r>
        <w:rPr>
          <w:b/>
          <w:bCs/>
          <w:color w:val="B08B40"/>
          <w:sz w:val="30"/>
          <w:szCs w:val="30"/>
        </w:rPr>
        <w:t xml:space="preserve">1.2  </w:t>
      </w:r>
      <w:r>
        <w:rPr>
          <w:b/>
          <w:bCs/>
          <w:color w:val="1F3A5F"/>
          <w:sz w:val="30"/>
          <w:szCs w:val="30"/>
        </w:rPr>
        <w:t xml:space="preserve">Proposition de valeur unique</w:t>
      </w:r>
    </w:p>
    <w:p>
      <w:pPr>
        <w:spacing w:after="160" w:before="0" w:line="320"/>
        <w:jc w:val="both"/>
      </w:pPr>
      <w:r>
        <w:rPr>
          <w:color w:val="1A1A1A"/>
          <w:sz w:val="22"/>
          <w:szCs w:val="22"/>
        </w:rPr>
        <w:t xml:space="preserve">La proposition de valeur de la plateforme se décline en trois énoncés, un par segment de clientèle, qui partagent tous une même promesse de fond : transformer l'incertitude des déplacements en information actionnable.</w:t>
      </w:r>
    </w:p>
    <w:p>
      <w:pPr>
        <w:pStyle w:val="Heading2"/>
        <w:spacing w:after="120" w:before="320"/>
      </w:pPr>
      <w:r>
        <w:rPr>
          <w:b/>
          <w:bCs/>
          <w:color w:val="1F3A5F"/>
          <w:sz w:val="24"/>
          <w:szCs w:val="24"/>
        </w:rPr>
        <w:t xml:space="preserve">Pour le citoyen ordinaire</w:t>
      </w:r>
    </w:p>
    <w:p>
      <w:pPr>
        <w:spacing w:after="160" w:before="0" w:line="320"/>
        <w:jc w:val="both"/>
      </w:pPr>
      <w:r>
        <w:rPr>
          <w:color w:val="1A1A1A"/>
          <w:sz w:val="22"/>
          <w:szCs w:val="22"/>
        </w:rPr>
        <w:t xml:space="preserve">Nous proposons au Librevillois de ne plus jamais sortir à l'aveugle. Avant de partir, il sait combien de temps prendra son trajet, quels axes éviter, à quelle heure l'agence Orabank d'Oloumi sera bondée ou désengorgée, et quels voisins de son quartier vont dans la même direction au même moment. Ce service est gratuit pour l'usage de base, et il vaut, par utilisateur actif, entre vingt-cinq minutes et une heure de temps économisé chaque jour, soit l'équivalent économique de plusieurs dizaines d'heures par mois.</w:t>
      </w:r>
    </w:p>
    <w:p>
      <w:pPr>
        <w:pStyle w:val="Heading2"/>
        <w:spacing w:after="120" w:before="320"/>
      </w:pPr>
      <w:r>
        <w:rPr>
          <w:b/>
          <w:bCs/>
          <w:color w:val="1F3A5F"/>
          <w:sz w:val="24"/>
          <w:szCs w:val="24"/>
        </w:rPr>
        <w:t xml:space="preserve">Pour l'entreprise ou la destination</w:t>
      </w:r>
    </w:p>
    <w:p>
      <w:pPr>
        <w:spacing w:after="160" w:before="0" w:line="320"/>
        <w:jc w:val="both"/>
      </w:pPr>
      <w:r>
        <w:rPr>
          <w:color w:val="1A1A1A"/>
          <w:sz w:val="22"/>
          <w:szCs w:val="22"/>
        </w:rPr>
        <w:t xml:space="preserve">Nous proposons aux banques, ministères, supermarchés, hôpitaux, restaurants et autres établissements recevant du public une information qu'aucun d'eux n'a jamais possédée, à savoir le nombre prévisible de visiteurs qu'ils vont accueillir demain, à quelle heure, et en provenance de quels quartiers. Pour BGFI ou Ecobank, c'est l'optimisation du nombre de guichetiers ouverts. Pour Mbolo ou Géant Casino, c'est la prévision de l'affluence et le calibrage des stocks. Pour la logistique (TotalEnergies, Olam, Sogara), ce sont des temps de trajet fiables, des ETA tenables, et des coûts de carburant réduits.</w:t>
      </w:r>
    </w:p>
    <w:p>
      <w:pPr>
        <w:pStyle w:val="Heading2"/>
        <w:spacing w:after="120" w:before="320"/>
      </w:pPr>
      <w:r>
        <w:rPr>
          <w:b/>
          <w:bCs/>
          <w:color w:val="1F3A5F"/>
          <w:sz w:val="24"/>
          <w:szCs w:val="24"/>
        </w:rPr>
        <w:t xml:space="preserve">Pour le pouvoir public</w:t>
      </w:r>
    </w:p>
    <w:p>
      <w:pPr>
        <w:spacing w:after="160" w:before="0" w:line="320"/>
        <w:jc w:val="both"/>
      </w:pPr>
      <w:r>
        <w:rPr>
          <w:color w:val="1A1A1A"/>
          <w:sz w:val="22"/>
          <w:szCs w:val="22"/>
        </w:rPr>
        <w:t xml:space="preserve">Nous proposons à la Mairie de Libreville, à la Direction générale des Transports terrestres et au futur opérateur du tramway une couche d'intelligence opérationnelle qui rend gouvernables les flux urbains. Pour la première fois, ces administrations disposent d'un tableau de bord en temps réel sur l'état du trafic, d'outils de simulation pour évaluer les effets d'une fermeture de voirie ou d'un nouveau plan de circulation, et de cartes de chaleur pour décider où investir en priorité. Cette couche est l'équivalent fonctionnel de ce que les villes occidentales appellent un Centre de Régulation du Trafic, mais à un coût compatible avec un budget municipal africain.</w:t>
      </w:r>
    </w:p>
    <w:p>
      <w:pPr>
        <w:pStyle w:val="Heading2"/>
        <w:spacing w:after="120" w:before="320"/>
      </w:pPr>
      <w:r>
        <w:rPr>
          <w:b/>
          <w:bCs/>
          <w:color w:val="1F3A5F"/>
          <w:sz w:val="24"/>
          <w:szCs w:val="24"/>
        </w:rPr>
        <w:t xml:space="preserve">Le noyau commun</w:t>
      </w:r>
    </w:p>
    <w:p>
      <w:pPr>
        <w:spacing w:after="160" w:before="0" w:line="320"/>
        <w:jc w:val="both"/>
      </w:pPr>
      <w:r>
        <w:rPr>
          <w:color w:val="1A1A1A"/>
          <w:sz w:val="22"/>
          <w:szCs w:val="22"/>
        </w:rPr>
        <w:t xml:space="preserve">Sous ces trois énoncés se trouve une seule et même promesse : nous transformons la mobilité urbaine, qui est aujourd'hui un domaine d'incertitude individuelle subie, en domaine de prévisibilité collective maîtrisée. Le slogan de travail interne pourrait être : Libreville lucide, c'est-à-dire une ville qui voit ses propres mouvements et qui, par conséquent, peut les ajuster.</w:t>
      </w:r>
    </w:p>
    <w:p>
      <w:pPr>
        <w:pStyle w:val="Heading1"/>
        <w:pBdr>
          <w:top w:val="single" w:color="B08B40" w:sz="8" w:space="12"/>
        </w:pBdr>
        <w:spacing w:after="80" w:before="520"/>
        <w:jc w:val="left"/>
      </w:pPr>
      <w:r>
        <w:rPr>
          <w:b/>
          <w:bCs/>
          <w:color w:val="B08B40"/>
          <w:sz w:val="30"/>
          <w:szCs w:val="30"/>
        </w:rPr>
        <w:t xml:space="preserve">1.3  </w:t>
      </w:r>
      <w:r>
        <w:rPr>
          <w:b/>
          <w:bCs/>
          <w:color w:val="1F3A5F"/>
          <w:sz w:val="30"/>
          <w:szCs w:val="30"/>
        </w:rPr>
        <w:t xml:space="preserve">Modèle économique et flux de revenus</w:t>
      </w:r>
    </w:p>
    <w:p>
      <w:pPr>
        <w:spacing w:after="160" w:before="0" w:line="320"/>
        <w:jc w:val="both"/>
      </w:pPr>
      <w:r>
        <w:rPr>
          <w:color w:val="1A1A1A"/>
          <w:sz w:val="22"/>
          <w:szCs w:val="22"/>
        </w:rPr>
        <w:t xml:space="preserve">Le modèle économique de la plateforme repose sur trois flux qui se renforcent en cycle, ce que les financiers appellent un flywheel à trois faces.</w:t>
      </w:r>
    </w:p>
    <w:p>
      <w:pPr>
        <w:pStyle w:val="Heading2"/>
        <w:spacing w:after="120" w:before="320"/>
      </w:pPr>
      <w:r>
        <w:rPr>
          <w:b/>
          <w:bCs/>
          <w:color w:val="1F3A5F"/>
          <w:sz w:val="24"/>
          <w:szCs w:val="24"/>
        </w:rPr>
        <w:t xml:space="preserve">Flux 1 : le freemium B2C</w:t>
      </w:r>
    </w:p>
    <w:p>
      <w:pPr>
        <w:spacing w:after="160" w:before="0" w:line="320"/>
        <w:jc w:val="both"/>
      </w:pPr>
      <w:r>
        <w:rPr>
          <w:color w:val="1A1A1A"/>
          <w:sz w:val="22"/>
          <w:szCs w:val="22"/>
        </w:rPr>
        <w:t xml:space="preserve">L'application grand public est gratuite pour son usage de base, qui comprend la consultation du trafic temps réel, la déclaration d'intentions de déplacements, l'accès à l'annuaire des lieux et à la carte enrichie. Cette gratuité est non négociable car elle est la seule façon d'atteindre rapidement la masse critique de cent mille utilisateurs actifs, seuil au-delà duquel les effets de réseau jouent à plein.</w:t>
      </w:r>
    </w:p>
    <w:p>
      <w:pPr>
        <w:spacing w:after="160" w:before="0" w:line="320"/>
        <w:jc w:val="both"/>
      </w:pPr>
      <w:r>
        <w:rPr>
          <w:color w:val="1A1A1A"/>
          <w:sz w:val="22"/>
          <w:szCs w:val="22"/>
        </w:rPr>
        <w:t xml:space="preserve">La monétisation B2C passe par une formule premium à 2 500 FCFA par mois, qui donne accès aux prédictions longue distance (jusqu'à sept jours à l'avance), à des alertes personnalisées sur des axes ou destinations choisies, à des rapports mensuels sur ses habitudes de mobilité, et à un mode hors-ligne enrichi. À 5 % de taux de conversion sur cent mille utilisateurs actifs, soit cinq mille abonnés payants, cette ligne génère 12,5 millions de FCFA par mois, soit 150 millions de FCFA annuels. Le rôle réel de cette ligne n'est pas de financer l'opération mais de fidéliser et de transformer les utilisateurs les plus engagés en ambassadeurs.</w:t>
      </w:r>
    </w:p>
    <w:p>
      <w:pPr>
        <w:pStyle w:val="Heading2"/>
        <w:spacing w:after="120" w:before="320"/>
      </w:pPr>
      <w:r>
        <w:rPr>
          <w:b/>
          <w:bCs/>
          <w:color w:val="1F3A5F"/>
          <w:sz w:val="24"/>
          <w:szCs w:val="24"/>
        </w:rPr>
        <w:t xml:space="preserve">Flux 2 : le B2B par API et données agrégées</w:t>
      </w:r>
    </w:p>
    <w:p>
      <w:pPr>
        <w:spacing w:after="160" w:before="0" w:line="320"/>
        <w:jc w:val="both"/>
      </w:pPr>
      <w:r>
        <w:rPr>
          <w:color w:val="1A1A1A"/>
          <w:sz w:val="22"/>
          <w:szCs w:val="22"/>
        </w:rPr>
        <w:t xml:space="preserve">Trois sous-segments composent ce flux. Le premier est la logistique, qui paie pour des appels API en temps réel afin d'optimiser ses tournées de livraison et ses temps de trajet. Les clients cibles sont TotalEnergies Marketing, BGFI Bank pour ses convoyeurs de fonds, les transitaires du port d'Owendo, et toutes les sociétés disposant de flottes en milieu urbain. Le forfait mensuel se situe entre 200 000 et 500 000 FCFA selon le volume d'appels.</w:t>
      </w:r>
    </w:p>
    <w:p>
      <w:pPr>
        <w:spacing w:after="160" w:before="0" w:line="320"/>
        <w:jc w:val="both"/>
      </w:pPr>
      <w:r>
        <w:rPr>
          <w:color w:val="1A1A1A"/>
          <w:sz w:val="22"/>
          <w:szCs w:val="22"/>
        </w:rPr>
        <w:t xml:space="preserve">Le second sous-segment est constitué des destinations recevant du public, qui paient pour des tableaux de bord prédisant leur affluence. Cibles principales : banques (BGFI, Orabank, Ecobank, UBA, Société Générale Gabon), supermarchés (Mbolo, Géant Casino, Carrefour), pharmacies (Saint Michel, Pharmacie de l'Aéroport), administrations recevant du public. Forfait mensuel entre 100 000 et 300 000 FCFA selon la taille.</w:t>
      </w:r>
    </w:p>
    <w:p>
      <w:pPr>
        <w:spacing w:after="160" w:before="0" w:line="320"/>
        <w:jc w:val="both"/>
      </w:pPr>
      <w:r>
        <w:rPr>
          <w:color w:val="1A1A1A"/>
          <w:sz w:val="22"/>
          <w:szCs w:val="22"/>
        </w:rPr>
        <w:t xml:space="preserve">Le troisième sous-segment est constitué des acteurs qui valorisent la donnée agrégée pour leur propre stratégie : assureurs auto et habitation (NSIA, AXA Assurances Gabon, Saham), promoteurs immobiliers, retailers en phase d'expansion, médias et agences publicitaires en quête de cartes de fréquentation. Pour ces acteurs, des packs de données géographiques anonymisées sont proposés en forfait annuel ou en licence à l'usage, avec des tickets entre 1 et 5 millions de FCFA par contrat.</w:t>
      </w:r>
    </w:p>
    <w:p>
      <w:pPr>
        <w:spacing w:after="160" w:before="0" w:line="320"/>
        <w:jc w:val="both"/>
      </w:pPr>
      <w:r>
        <w:rPr>
          <w:color w:val="1A1A1A"/>
          <w:sz w:val="22"/>
          <w:szCs w:val="22"/>
        </w:rPr>
        <w:t xml:space="preserve">À horizon trente-six mois, l'objectif est d'atteindre trente clients B2B actifs avec un revenu mensuel récurrent moyen de 350 000 FCFA, soit 126 millions de FCFA annuels. Ce flux est le premier à atteindre la rentabilité opérationnelle car son cycle de vente est court (quatre à huit semaines) et ses clients sont solvables.</w:t>
      </w:r>
    </w:p>
    <w:p>
      <w:pPr>
        <w:pStyle w:val="Heading2"/>
        <w:spacing w:after="120" w:before="320"/>
      </w:pPr>
      <w:r>
        <w:rPr>
          <w:b/>
          <w:bCs/>
          <w:color w:val="1F3A5F"/>
          <w:sz w:val="24"/>
          <w:szCs w:val="24"/>
        </w:rPr>
        <w:t xml:space="preserve">Flux 3 : le B2G par contrats institutionnels</w:t>
      </w:r>
    </w:p>
    <w:p>
      <w:pPr>
        <w:spacing w:after="160" w:before="0" w:line="320"/>
        <w:jc w:val="both"/>
      </w:pPr>
      <w:r>
        <w:rPr>
          <w:color w:val="1A1A1A"/>
          <w:sz w:val="22"/>
          <w:szCs w:val="22"/>
        </w:rPr>
        <w:t xml:space="preserve">Le segment public est celui qui justifie une vraie levée de fonds car ses tickets sont les plus élevés et son rythme de récurrence le plus structurant. Trois cibles principales.</w:t>
      </w:r>
    </w:p>
    <w:p>
      <w:pPr>
        <w:spacing w:after="160" w:before="0" w:line="320"/>
        <w:jc w:val="both"/>
      </w:pPr>
      <w:r>
        <w:rPr>
          <w:color w:val="1A1A1A"/>
          <w:sz w:val="22"/>
          <w:szCs w:val="22"/>
        </w:rPr>
        <w:t xml:space="preserve">La Mairie de Libreville et les communes du Grand Libreville (Akanda, Owendo) sont des clients pour des tableaux de bord de pilotage de la circulation et des modules de simulation. Ticket attendu : 50 à 100 millions de FCFA annuels par commune.</w:t>
      </w:r>
    </w:p>
    <w:p>
      <w:pPr>
        <w:spacing w:after="160" w:before="0" w:line="320"/>
        <w:jc w:val="both"/>
      </w:pPr>
      <w:r>
        <w:rPr>
          <w:color w:val="1A1A1A"/>
          <w:sz w:val="22"/>
          <w:szCs w:val="22"/>
        </w:rPr>
        <w:t xml:space="preserve">La Direction générale des Transports terrestres, qui dépend du Ministère des Transports, est le client pour la couche de régulation nationale et la coordination intermodale. Ticket attendu : 100 à 200 millions de FCFA annuels.</w:t>
      </w:r>
    </w:p>
    <w:p>
      <w:pPr>
        <w:spacing w:after="160" w:before="0" w:line="320"/>
        <w:jc w:val="both"/>
      </w:pPr>
      <w:r>
        <w:rPr>
          <w:color w:val="1A1A1A"/>
          <w:sz w:val="22"/>
          <w:szCs w:val="22"/>
        </w:rPr>
        <w:t xml:space="preserve">Trans'Urb est le client pour la planification de ses lignes, la prédiction de la fréquentation et la gestion de sa flotte. Ticket attendu : 30 à 80 millions de FCFA annuels. À horizon trois ans, le futur exploitant du tramway de Libreville, dont le projet est budgété à 400 millions de dollars selon le Portail de l'Intelligence Économique, sera également un client naturel à ticket potentiellement supérieur à 300 millions de FCFA annuels.</w:t>
      </w:r>
    </w:p>
    <w:p>
      <w:pPr>
        <w:pStyle w:val="Heading2"/>
        <w:spacing w:after="120" w:before="320"/>
      </w:pPr>
      <w:r>
        <w:rPr>
          <w:b/>
          <w:bCs/>
          <w:color w:val="1F3A5F"/>
          <w:sz w:val="24"/>
          <w:szCs w:val="24"/>
        </w:rPr>
        <w:t xml:space="preserve">Synthèse des revenus à horizon trente-six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shd w:fill="1F3A5F" w:val="clear"/>
            <w:tcMar>
              <w:top w:type="dxa" w:w="100"/>
              <w:left w:type="dxa" w:w="140"/>
              <w:bottom w:type="dxa" w:w="100"/>
              <w:right w:type="dxa" w:w="140"/>
            </w:tcMar>
          </w:tcPr>
          <w:p>
            <w:pPr>
              <w:spacing w:after="0" w:before="0" w:line="280"/>
              <w:jc w:val="left"/>
            </w:pPr>
            <w:r>
              <w:rPr>
                <w:b/>
                <w:bCs/>
                <w:color w:val="FFFFFF"/>
                <w:sz w:val="20"/>
                <w:szCs w:val="20"/>
              </w:rPr>
              <w:t xml:space="preserve">Flux de revenu</w:t>
            </w:r>
          </w:p>
        </w:tc>
        <w:tc>
          <w:tcPr>
            <w:tcW w:type="dxa" w:w="21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1 (FCFA)</w:t>
            </w:r>
          </w:p>
        </w:tc>
        <w:tc>
          <w:tcPr>
            <w:tcW w:type="dxa" w:w="21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2 (FCFA)</w:t>
            </w:r>
          </w:p>
        </w:tc>
        <w:tc>
          <w:tcPr>
            <w:tcW w:type="dxa" w:w="21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3 (FCFA)</w:t>
            </w:r>
          </w:p>
        </w:tc>
      </w:tr>
      <w:tr>
        <w:tc>
          <w:tcPr>
            <w:tcW w:type="dxa" w:w="2700"/>
            <w:tcMar>
              <w:top w:type="dxa" w:w="100"/>
              <w:left w:type="dxa" w:w="140"/>
              <w:bottom w:type="dxa" w:w="100"/>
              <w:right w:type="dxa" w:w="140"/>
            </w:tcMar>
          </w:tcPr>
          <w:p>
            <w:pPr>
              <w:spacing w:after="0" w:before="0" w:line="280"/>
              <w:jc w:val="left"/>
            </w:pPr>
            <w:r>
              <w:rPr>
                <w:b/>
                <w:bCs/>
                <w:color w:val="1A1A1A"/>
                <w:sz w:val="20"/>
                <w:szCs w:val="20"/>
              </w:rPr>
              <w:t xml:space="preserve">B2C freemium</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0</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36 millions</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150 millions</w:t>
            </w:r>
          </w:p>
        </w:tc>
      </w:tr>
      <w:tr>
        <w:tc>
          <w:tcPr>
            <w:tcW w:type="dxa" w:w="2700"/>
            <w:shd w:fill="F8F5EE" w:val="clear"/>
            <w:tcMar>
              <w:top w:type="dxa" w:w="100"/>
              <w:left w:type="dxa" w:w="140"/>
              <w:bottom w:type="dxa" w:w="100"/>
              <w:right w:type="dxa" w:w="140"/>
            </w:tcMar>
          </w:tcPr>
          <w:p>
            <w:pPr>
              <w:spacing w:after="0" w:before="0" w:line="280"/>
              <w:jc w:val="left"/>
            </w:pPr>
            <w:r>
              <w:rPr>
                <w:b/>
                <w:bCs/>
                <w:color w:val="1A1A1A"/>
                <w:sz w:val="20"/>
                <w:szCs w:val="20"/>
              </w:rPr>
              <w:t xml:space="preserve">B2B API et données</w:t>
            </w:r>
          </w:p>
        </w:tc>
        <w:tc>
          <w:tcPr>
            <w:tcW w:type="dxa" w:w="21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18 millions</w:t>
            </w:r>
          </w:p>
        </w:tc>
        <w:tc>
          <w:tcPr>
            <w:tcW w:type="dxa" w:w="21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72 millions</w:t>
            </w:r>
          </w:p>
        </w:tc>
        <w:tc>
          <w:tcPr>
            <w:tcW w:type="dxa" w:w="21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126 millions</w:t>
            </w:r>
          </w:p>
        </w:tc>
      </w:tr>
      <w:tr>
        <w:tc>
          <w:tcPr>
            <w:tcW w:type="dxa" w:w="2700"/>
            <w:tcMar>
              <w:top w:type="dxa" w:w="100"/>
              <w:left w:type="dxa" w:w="140"/>
              <w:bottom w:type="dxa" w:w="100"/>
              <w:right w:type="dxa" w:w="140"/>
            </w:tcMar>
          </w:tcPr>
          <w:p>
            <w:pPr>
              <w:spacing w:after="0" w:before="0" w:line="280"/>
              <w:jc w:val="left"/>
            </w:pPr>
            <w:r>
              <w:rPr>
                <w:b/>
                <w:bCs/>
                <w:color w:val="1A1A1A"/>
                <w:sz w:val="20"/>
                <w:szCs w:val="20"/>
              </w:rPr>
              <w:t xml:space="preserve">B2G institutionnel</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0</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120 millions</w:t>
            </w:r>
          </w:p>
        </w:tc>
        <w:tc>
          <w:tcPr>
            <w:tcW w:type="dxa" w:w="2100"/>
            <w:tcMar>
              <w:top w:type="dxa" w:w="100"/>
              <w:left w:type="dxa" w:w="140"/>
              <w:bottom w:type="dxa" w:w="100"/>
              <w:right w:type="dxa" w:w="140"/>
            </w:tcMar>
          </w:tcPr>
          <w:p>
            <w:pPr>
              <w:spacing w:after="0" w:before="0" w:line="280"/>
              <w:jc w:val="right"/>
            </w:pPr>
            <w:r>
              <w:rPr>
                <w:b w:val="false"/>
                <w:bCs w:val="false"/>
                <w:color w:val="1A1A1A"/>
                <w:sz w:val="20"/>
                <w:szCs w:val="20"/>
              </w:rPr>
              <w:t xml:space="preserve">380 millions</w:t>
            </w:r>
          </w:p>
        </w:tc>
      </w:tr>
      <w:tr>
        <w:tc>
          <w:tcPr>
            <w:tcW w:type="dxa" w:w="2700"/>
            <w:shd w:fill="1F3A5F" w:val="clear"/>
            <w:tcMar>
              <w:top w:type="dxa" w:w="100"/>
              <w:left w:type="dxa" w:w="140"/>
              <w:bottom w:type="dxa" w:w="100"/>
              <w:right w:type="dxa" w:w="140"/>
            </w:tcMar>
          </w:tcPr>
          <w:p>
            <w:pPr>
              <w:spacing w:after="0" w:before="0" w:line="280"/>
              <w:jc w:val="left"/>
            </w:pPr>
            <w:r>
              <w:rPr>
                <w:b/>
                <w:bCs/>
                <w:color w:val="FFFFFF"/>
                <w:sz w:val="20"/>
                <w:szCs w:val="20"/>
              </w:rPr>
              <w:t xml:space="preserve">Total annuel</w:t>
            </w:r>
          </w:p>
        </w:tc>
        <w:tc>
          <w:tcPr>
            <w:tcW w:type="dxa" w:w="21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18 millions</w:t>
            </w:r>
          </w:p>
        </w:tc>
        <w:tc>
          <w:tcPr>
            <w:tcW w:type="dxa" w:w="21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228 millions</w:t>
            </w:r>
          </w:p>
        </w:tc>
        <w:tc>
          <w:tcPr>
            <w:tcW w:type="dxa" w:w="21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656 millions</w:t>
            </w:r>
          </w:p>
        </w:tc>
      </w:tr>
    </w:tbl>
    <w:p>
      <w:pPr>
        <w:spacing w:after="160" w:before="0" w:line="320"/>
        <w:jc w:val="both"/>
      </w:pPr>
      <w:r>
        <w:rPr>
          <w:color w:val="1A1A1A"/>
          <w:sz w:val="22"/>
          <w:szCs w:val="22"/>
        </w:rPr>
        <w:t xml:space="preserve"/>
      </w:r>
    </w:p>
    <w:p>
      <w:pPr>
        <w:spacing w:after="160" w:before="0" w:line="320"/>
        <w:jc w:val="both"/>
      </w:pPr>
      <w:r>
        <w:rPr>
          <w:color w:val="1A1A1A"/>
          <w:sz w:val="22"/>
          <w:szCs w:val="22"/>
        </w:rPr>
        <w:t xml:space="preserve">Le cumul des revenus sur trois ans atteint 902 millions de FCFA, soit environ 1,38 million d'euros. Cette projection est volontairement prudente : elle suppose seulement deux contrats B2G obtenus sur les trois premiers exercices, alors que l'environnement institutionnel pourrait en permettre davantage.</w:t>
      </w:r>
    </w:p>
    <w:p>
      <w:pPr>
        <w:pStyle w:val="Heading1"/>
        <w:pBdr>
          <w:top w:val="single" w:color="B08B40" w:sz="8" w:space="12"/>
        </w:pBdr>
        <w:spacing w:after="80" w:before="520"/>
        <w:jc w:val="left"/>
      </w:pPr>
      <w:r>
        <w:rPr>
          <w:b/>
          <w:bCs/>
          <w:color w:val="B08B40"/>
          <w:sz w:val="30"/>
          <w:szCs w:val="30"/>
        </w:rPr>
        <w:t xml:space="preserve">1.4  </w:t>
      </w:r>
      <w:r>
        <w:rPr>
          <w:b/>
          <w:bCs/>
          <w:color w:val="1F3A5F"/>
          <w:sz w:val="30"/>
          <w:szCs w:val="30"/>
        </w:rPr>
        <w:t xml:space="preserve">Stratégie concurrentielle et différenciation</w:t>
      </w:r>
    </w:p>
    <w:p>
      <w:pPr>
        <w:spacing w:after="160" w:before="0" w:line="320"/>
        <w:jc w:val="both"/>
      </w:pPr>
      <w:r>
        <w:rPr>
          <w:color w:val="1A1A1A"/>
          <w:sz w:val="22"/>
          <w:szCs w:val="22"/>
        </w:rPr>
        <w:t xml:space="preserve">La stratégie concurrentielle de l'entreprise repose sur quatre principes qui se renforcent mutuellement, et qui constituent ensemble ce que la théorie de l'avantage concurrentiel appelle un fossé défensif multi-couches.</w:t>
      </w:r>
    </w:p>
    <w:p>
      <w:pPr>
        <w:pStyle w:val="Heading2"/>
        <w:spacing w:after="120" w:before="320"/>
      </w:pPr>
      <w:r>
        <w:rPr>
          <w:b/>
          <w:bCs/>
          <w:color w:val="1F3A5F"/>
          <w:sz w:val="24"/>
          <w:szCs w:val="24"/>
        </w:rPr>
        <w:t xml:space="preserve">Premier principe : la donnée propriétaire qui s'accumule</w:t>
      </w:r>
    </w:p>
    <w:p>
      <w:pPr>
        <w:spacing w:after="160" w:before="0" w:line="320"/>
        <w:jc w:val="both"/>
      </w:pPr>
      <w:r>
        <w:rPr>
          <w:color w:val="1A1A1A"/>
          <w:sz w:val="22"/>
          <w:szCs w:val="22"/>
        </w:rPr>
        <w:t xml:space="preserve">Chaque jour d'utilisation de la plateforme nous fait gagner un actif que personne d'autre ne possède. La carte enrichie, l'annuaire des lieux, le journal des intentions et les flux d'observation s'accumulent sous forme de jeux de données qui valent davantage à mesure qu'ils grossissent. Au bout de douze mois d'opération, nous disposons d'un patrimoine informationnel qu'un nouvel entrant devrait dépenser des centaines de millions de FCFA et plusieurs années à constituer. C'est l'effet de levier classique des plateformes de données, mais joué sur un marché où personne ne l'a encore enclenché.</w:t>
      </w:r>
    </w:p>
    <w:p>
      <w:pPr>
        <w:pStyle w:val="Heading2"/>
        <w:spacing w:after="120" w:before="320"/>
      </w:pPr>
      <w:r>
        <w:rPr>
          <w:b/>
          <w:bCs/>
          <w:color w:val="1F3A5F"/>
          <w:sz w:val="24"/>
          <w:szCs w:val="24"/>
        </w:rPr>
        <w:t xml:space="preserve">Deuxième principe : le matériel physique déjà déployé</w:t>
      </w:r>
    </w:p>
    <w:p>
      <w:pPr>
        <w:spacing w:after="160" w:before="0" w:line="320"/>
        <w:jc w:val="both"/>
      </w:pPr>
      <w:r>
        <w:rPr>
          <w:color w:val="1A1A1A"/>
          <w:sz w:val="22"/>
          <w:szCs w:val="22"/>
        </w:rPr>
        <w:t xml:space="preserve">Le réseau de caméras intelligentes installées aux dix points noirs identifiés (PK12, rond-point d'Awendjé, pont Nomba, carrefour d'Acaé, voie express, axe Lycée d'État vers Aéroport) constitue un capital fixe que les concurrents devraient répliquer pour rivaliser. La négociation des emplacements avec la Mairie, la SEEG, et les commerces privés prend de six à dix-huit mois, et la maintenance opérationnelle (anti-vandalisme, alimentation électrique, connectivité) nécessite une équipe terrain locale qu'aucun acteur étranger ne pourra constituer rapidement.</w:t>
      </w:r>
    </w:p>
    <w:p>
      <w:pPr>
        <w:pStyle w:val="Heading2"/>
        <w:spacing w:after="120" w:before="320"/>
      </w:pPr>
      <w:r>
        <w:rPr>
          <w:b/>
          <w:bCs/>
          <w:color w:val="1F3A5F"/>
          <w:sz w:val="24"/>
          <w:szCs w:val="24"/>
        </w:rPr>
        <w:t xml:space="preserve">Troisième principe : les contrats institutionnels structurants</w:t>
      </w:r>
    </w:p>
    <w:p>
      <w:pPr>
        <w:spacing w:after="160" w:before="0" w:line="320"/>
        <w:jc w:val="both"/>
      </w:pPr>
      <w:r>
        <w:rPr>
          <w:color w:val="1A1A1A"/>
          <w:sz w:val="22"/>
          <w:szCs w:val="22"/>
        </w:rPr>
        <w:t xml:space="preserve">Une fois que la Mairie de Libreville ou la Direction générale des Transports terrestres aura intégré notre tableau de bord dans son fonctionnement opérationnel, le coût de switching pour ces administrations devient politiquement et budgétairement prohibitif. Les contrats publics gabonais sont par nature longs (trois à cinq ans), récurrents, et difficiles à reverser. Toute la stratégie commerciale B2G consiste à atteindre ce verrou avant qu'un acteur étranger n'arrive sur le marché. Le précédent gabonais des partenariats publics digitaux, par exemple les chantiers du projet eGabon financés par la Banque mondiale à hauteur de 35 milliards de FCFA, montre que ces contrats existent et qu'ils se signent.</w:t>
      </w:r>
    </w:p>
    <w:p>
      <w:pPr>
        <w:pStyle w:val="Heading2"/>
        <w:spacing w:after="120" w:before="320"/>
      </w:pPr>
      <w:r>
        <w:rPr>
          <w:b/>
          <w:bCs/>
          <w:color w:val="1F3A5F"/>
          <w:sz w:val="24"/>
          <w:szCs w:val="24"/>
        </w:rPr>
        <w:t xml:space="preserve">Quatrième principe : l'ancrage culturel inimitable</w:t>
      </w:r>
    </w:p>
    <w:p>
      <w:pPr>
        <w:spacing w:after="160" w:before="0" w:line="320"/>
        <w:jc w:val="both"/>
      </w:pPr>
      <w:r>
        <w:rPr>
          <w:color w:val="1A1A1A"/>
          <w:sz w:val="22"/>
          <w:szCs w:val="22"/>
        </w:rPr>
        <w:t xml:space="preserve">Notre proposition repose sur une caractéristique culturelle propre à l'Afrique centrale francophone, à savoir l'habitude sociale d'annoncer ses déplacements à ses proches. Cette caractéristique est invisible aux acteurs occidentaux qui pensent la mobilité depuis des sociétés où l'individualisme protège la trajectoire individuelle. Pour Google Maps ou Waze, demander à l'utilisateur où il va demain est une intrusion. Pour le Librevillois, c'est une question ordinaire. Cette différence est notre vraie barrière à l'entrée, parce qu'elle est culturelle et qu'aucun acteur étranger ne peut la dupliquer sans avoir d'abord compris en profondeur le tissu relationnel gabonais.</w:t>
      </w:r>
    </w:p>
    <w:p>
      <w:pPr>
        <w:pStyle w:val="Heading2"/>
        <w:spacing w:after="120" w:before="320"/>
      </w:pPr>
      <w:r>
        <w:rPr>
          <w:b/>
          <w:bCs/>
          <w:color w:val="1F3A5F"/>
          <w:sz w:val="24"/>
          <w:szCs w:val="24"/>
        </w:rPr>
        <w:t xml:space="preserve">Facteurs clés de succès</w:t>
      </w:r>
    </w:p>
    <w:p>
      <w:pPr>
        <w:spacing w:after="160" w:before="0" w:line="320"/>
        <w:jc w:val="both"/>
      </w:pPr>
      <w:r>
        <w:rPr>
          <w:color w:val="1A1A1A"/>
          <w:sz w:val="22"/>
          <w:szCs w:val="22"/>
        </w:rPr>
        <w:t xml:space="preserve">Cinq facteurs détermineront le succès ou l'échec de l'entreprise sur les dix-huit premiers mois.</w:t>
      </w:r>
    </w:p>
    <w:p>
      <w:pPr>
        <w:spacing w:after="140" w:before="0" w:line="320"/>
        <w:ind w:left="200"/>
        <w:jc w:val="both"/>
      </w:pPr>
      <w:r>
        <w:rPr>
          <w:b/>
          <w:bCs/>
          <w:color w:val="B08B40"/>
          <w:sz w:val="22"/>
          <w:szCs w:val="22"/>
        </w:rPr>
        <w:t xml:space="preserve">Le franchissement du seuil critique des dix mille utilisateurs actifs en six mois, </w:t>
      </w:r>
      <w:r>
        <w:rPr>
          <w:color w:val="1A1A1A"/>
          <w:sz w:val="22"/>
          <w:szCs w:val="22"/>
        </w:rPr>
        <w:t xml:space="preserve">qui conditionne la pertinence des prédictions et le démarrage des effets de réseau.</w:t>
      </w:r>
    </w:p>
    <w:p>
      <w:pPr>
        <w:spacing w:after="140" w:before="0" w:line="320"/>
        <w:ind w:left="200"/>
        <w:jc w:val="both"/>
      </w:pPr>
      <w:r>
        <w:rPr>
          <w:b/>
          <w:bCs/>
          <w:color w:val="B08B40"/>
          <w:sz w:val="22"/>
          <w:szCs w:val="22"/>
        </w:rPr>
        <w:t xml:space="preserve">La signature d'au moins trois contrats B2B payants avant la fin du douzième mois, </w:t>
      </w:r>
      <w:r>
        <w:rPr>
          <w:color w:val="1A1A1A"/>
          <w:sz w:val="22"/>
          <w:szCs w:val="22"/>
        </w:rPr>
        <w:t xml:space="preserve">qui prouvent la valeur économique du produit et financent la trésorerie.</w:t>
      </w:r>
    </w:p>
    <w:p>
      <w:pPr>
        <w:spacing w:after="140" w:before="0" w:line="320"/>
        <w:ind w:left="200"/>
        <w:jc w:val="both"/>
      </w:pPr>
      <w:r>
        <w:rPr>
          <w:b/>
          <w:bCs/>
          <w:color w:val="B08B40"/>
          <w:sz w:val="22"/>
          <w:szCs w:val="22"/>
        </w:rPr>
        <w:t xml:space="preserve">L'ouverture du premier contrat B2G avant le dix-huitième mois, </w:t>
      </w:r>
      <w:r>
        <w:rPr>
          <w:color w:val="1A1A1A"/>
          <w:sz w:val="22"/>
          <w:szCs w:val="22"/>
        </w:rPr>
        <w:t xml:space="preserve">qui crédibilise la trajectoire institutionnelle et justifie la levée Series A.</w:t>
      </w:r>
    </w:p>
    <w:p>
      <w:pPr>
        <w:spacing w:after="140" w:before="0" w:line="320"/>
        <w:ind w:left="200"/>
        <w:jc w:val="both"/>
      </w:pPr>
      <w:r>
        <w:rPr>
          <w:b/>
          <w:bCs/>
          <w:color w:val="B08B40"/>
          <w:sz w:val="22"/>
          <w:szCs w:val="22"/>
        </w:rPr>
        <w:t xml:space="preserve">La constitution d'une équipe technique de haut niveau en moins de trois mois, </w:t>
      </w:r>
      <w:r>
        <w:rPr>
          <w:color w:val="1A1A1A"/>
          <w:sz w:val="22"/>
          <w:szCs w:val="22"/>
        </w:rPr>
        <w:t xml:space="preserve">car l'expérience gabonaise montre que les startups locales sont surtout limitées par la rareté du talent ingénieur senior.</w:t>
      </w:r>
    </w:p>
    <w:p>
      <w:pPr>
        <w:spacing w:after="140" w:before="0" w:line="320"/>
        <w:ind w:left="200"/>
        <w:jc w:val="both"/>
      </w:pPr>
      <w:r>
        <w:rPr>
          <w:b/>
          <w:bCs/>
          <w:color w:val="B08B40"/>
          <w:sz w:val="22"/>
          <w:szCs w:val="22"/>
        </w:rPr>
        <w:t xml:space="preserve">Le maintien d'une discipline absolue sur la confidentialité des données utilisateurs, </w:t>
      </w:r>
      <w:r>
        <w:rPr>
          <w:color w:val="1A1A1A"/>
          <w:sz w:val="22"/>
          <w:szCs w:val="22"/>
        </w:rPr>
        <w:t xml:space="preserve">car toute fuite ou tout soupçon de revente détruirait la confiance qui est notre actif le plus précieux.</w:t>
      </w:r>
    </w:p>
    <w:p>
      <w:pPr>
        <w:pStyle w:val="Heading1"/>
        <w:pBdr>
          <w:top w:val="single" w:color="B08B40" w:sz="8" w:space="12"/>
        </w:pBdr>
        <w:spacing w:after="80" w:before="520"/>
        <w:jc w:val="left"/>
      </w:pPr>
      <w:r>
        <w:rPr>
          <w:b/>
          <w:bCs/>
          <w:color w:val="B08B40"/>
          <w:sz w:val="30"/>
          <w:szCs w:val="30"/>
        </w:rPr>
        <w:t xml:space="preserve">1.5  </w:t>
      </w:r>
      <w:r>
        <w:rPr>
          <w:b/>
          <w:bCs/>
          <w:color w:val="1F3A5F"/>
          <w:sz w:val="30"/>
          <w:szCs w:val="30"/>
        </w:rPr>
        <w:t xml:space="preserve">Analyse SWOT</w:t>
      </w:r>
    </w:p>
    <w:p>
      <w:pPr>
        <w:spacing w:after="160" w:before="0" w:line="320"/>
        <w:jc w:val="both"/>
      </w:pPr>
      <w:r>
        <w:rPr>
          <w:color w:val="1A1A1A"/>
          <w:sz w:val="22"/>
          <w:szCs w:val="22"/>
        </w:rPr>
        <w:t xml:space="preserve">L'analyse des forces, faiblesses, opportunités et menaces du projet, conduite avec une honnêteté de diagnostic plutôt qu'une volonté de séduire, donne le tableau suivant.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Forces</w:t>
            </w:r>
          </w:p>
        </w:tc>
        <w:tc>
          <w:tcPr>
            <w:tcW w:type="dxa" w:w="4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Faiblesses</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19"/>
                <w:szCs w:val="19"/>
              </w:rPr>
              <w:t xml:space="preserve">Idée originale sans concurrence directe à Libreville. Combinaison unique d'observation et de déclaration. Ancrage culturel naturel dans le contexte gabonais. Précédent POZI prouvant la possibilité d'attirer du capital-risque international au Gabon.</w:t>
            </w:r>
          </w:p>
        </w:tc>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19"/>
                <w:szCs w:val="19"/>
              </w:rPr>
              <w:t xml:space="preserve">Équipe fondatrice à constituer presque entièrement. Aucune traction démontrable au lancement. Marché de masse critique fragile, dépendant d'un effort soutenu d'acquisition utilisateur. Coûts hardware significatifs pour le réseau de caméras.</w:t>
            </w:r>
          </w:p>
        </w:tc>
      </w:tr>
      <w:tr>
        <w:trPr>
          <w:tblHeader/>
        </w:trPr>
        <w:tc>
          <w:tcPr>
            <w:tcW w:type="dxa" w:w="4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Opportunités</w:t>
            </w:r>
          </w:p>
        </w:tc>
        <w:tc>
          <w:tcPr>
            <w:tcW w:type="dxa" w:w="4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Menaces</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19"/>
                <w:szCs w:val="19"/>
              </w:rPr>
              <w:t xml:space="preserve">Volonté politique affichée du régime Oligui Nguema pour la transformation digitale. Loi Start-up Act gabonaise en préparation. Budget 72,4 millions USD pour l'économie numérique au PNDT. Tramway de Libreville en gestation à 400 millions USD, naturellement client de notre plateforme à terme.</w:t>
            </w:r>
          </w:p>
        </w:tc>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19"/>
                <w:szCs w:val="19"/>
              </w:rPr>
              <w:t xml:space="preserve">Instabilité politique résiduelle pouvant ralentir les contrats B2G. Risque de l'entrée tardive d'un acteur global (Google, Yango pivotant) sur le segment data. Cycle de vente B2G long et imprévisible. Difficulté de recrutement de profils ML seniors en Afrique centrale.</w:t>
            </w:r>
          </w:p>
        </w:tc>
      </w:tr>
    </w:tbl>
    <w:p>
      <w:pPr>
        <w:spacing w:after="160" w:before="0" w:line="320"/>
        <w:jc w:val="both"/>
      </w:pPr>
      <w:r>
        <w:rPr>
          <w:color w:val="1A1A1A"/>
          <w:sz w:val="22"/>
          <w:szCs w:val="22"/>
        </w:rPr>
        <w:t xml:space="preserve"/>
      </w:r>
    </w:p>
    <w:p>
      <w:pPr>
        <w:spacing w:after="160" w:before="0" w:line="320"/>
        <w:jc w:val="both"/>
      </w:pPr>
      <w:r>
        <w:rPr>
          <w:color w:val="1A1A1A"/>
          <w:sz w:val="22"/>
          <w:szCs w:val="22"/>
        </w:rPr>
        <w:t xml:space="preserve">Le diagnostic global est celui d'un projet à fort potentiel asymétrique, c'est-à-dire dont les gains en cas de succès sont disproportionnellement supérieurs aux pertes en cas d'échec, à condition que la phase d'amorçage des dix-huit premiers mois soit financée et exécutée avec discipline.</w:t>
      </w:r>
    </w:p>
    <w:p>
      <w:r>
        <w:br w:type="page"/>
      </w:r>
    </w:p>
    <w:p>
      <w:pPr>
        <w:spacing w:after="2400" w:before="0"/>
      </w:pPr>
      <w:r>
        <w:t xml:space="preserve"/>
      </w:r>
    </w:p>
    <w:p>
      <w:pPr>
        <w:spacing w:after="80" w:before="0"/>
        <w:jc w:val="center"/>
      </w:pPr>
      <w:r>
        <w:rPr>
          <w:b/>
          <w:bCs/>
          <w:color w:val="B08B40"/>
          <w:spacing w:val="120"/>
          <w:sz w:val="28"/>
          <w:szCs w:val="28"/>
        </w:rPr>
        <w:t xml:space="preserve">PARTIE II</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Le marché</w:t>
      </w:r>
    </w:p>
    <w:p>
      <w:r>
        <w:br w:type="page"/>
      </w:r>
    </w:p>
    <w:p>
      <w:pPr>
        <w:pStyle w:val="Heading1"/>
        <w:pBdr>
          <w:top w:val="single" w:color="B08B40" w:sz="8" w:space="12"/>
        </w:pBdr>
        <w:spacing w:after="80" w:before="520"/>
        <w:jc w:val="left"/>
      </w:pPr>
      <w:r>
        <w:rPr>
          <w:b/>
          <w:bCs/>
          <w:color w:val="B08B40"/>
          <w:sz w:val="30"/>
          <w:szCs w:val="30"/>
        </w:rPr>
        <w:t xml:space="preserve">2.1  </w:t>
      </w:r>
      <w:r>
        <w:rPr>
          <w:b/>
          <w:bCs/>
          <w:color w:val="1F3A5F"/>
          <w:sz w:val="30"/>
          <w:szCs w:val="30"/>
        </w:rPr>
        <w:t xml:space="preserve">Définition et segmentation du marché</w:t>
      </w:r>
    </w:p>
    <w:p>
      <w:pPr>
        <w:spacing w:after="160" w:before="0" w:line="320"/>
        <w:jc w:val="both"/>
      </w:pPr>
      <w:r>
        <w:rPr>
          <w:color w:val="1A1A1A"/>
          <w:sz w:val="22"/>
          <w:szCs w:val="22"/>
        </w:rPr>
        <w:t xml:space="preserve">Le marché de l'entreprise se définit comme le marché de l'intelligence collective de la mobilité urbaine, c'est-à-dire l'ensemble des services informationnels qui permettent aux citoyens, aux entreprises et aux pouvoirs publics de mieux comprendre, anticiper et coordonner les déplacements quotidiens dans une ville. Ce marché n'existait pas comme tel à Libreville avant ce projet, mais ses composantes économiques étaient déjà payées indirectement sous d'autres formes, à savoir le temps perdu en bouchon, les coûts logistiques surévalués, les guichets surdimensionnés ou sous-dimensionnés, les implantations commerciales mal calibrées.</w:t>
      </w:r>
    </w:p>
    <w:p>
      <w:pPr>
        <w:pStyle w:val="Heading2"/>
        <w:spacing w:after="120" w:before="320"/>
      </w:pPr>
      <w:r>
        <w:rPr>
          <w:b/>
          <w:bCs/>
          <w:color w:val="1F3A5F"/>
          <w:sz w:val="24"/>
          <w:szCs w:val="24"/>
        </w:rPr>
        <w:t xml:space="preserve">Segmentation par type de client</w:t>
      </w:r>
    </w:p>
    <w:p>
      <w:pPr>
        <w:spacing w:after="160" w:before="0" w:line="320"/>
        <w:jc w:val="both"/>
      </w:pPr>
      <w:r>
        <w:rPr>
          <w:color w:val="1A1A1A"/>
          <w:sz w:val="22"/>
          <w:szCs w:val="22"/>
        </w:rPr>
        <w:t xml:space="preserve">Trois segments, déjà introduits dans la partie stratégie, structurent ce marché.</w:t>
      </w:r>
    </w:p>
    <w:p>
      <w:pPr>
        <w:spacing w:after="160" w:before="0" w:line="320"/>
        <w:jc w:val="both"/>
      </w:pPr>
      <w:r>
        <w:rPr>
          <w:color w:val="1A1A1A"/>
          <w:sz w:val="22"/>
          <w:szCs w:val="22"/>
        </w:rPr>
        <w:t xml:space="preserve">Le premier est le segment B2C des citoyens utilisateurs finaux. Ce segment se subdivise en utilisateurs gratuits, qui constituent la masse alimentant la donnée, et utilisateurs premium prêts à payer un abonnement mensuel pour des fonctionnalités avancées. Les utilisateurs gratuits ont une valeur stratégique par leur seule présence (chaque utilisateur actif émet en moyenne quinze à vingt traces géolocalisées par jour qui enrichissent la cartographie). Les utilisateurs premium représentent typiquement 3 à 7 % de la base, selon les benchmarks observés sur des plateformes africaines similaires.</w:t>
      </w:r>
    </w:p>
    <w:p>
      <w:pPr>
        <w:spacing w:after="160" w:before="0" w:line="320"/>
        <w:jc w:val="both"/>
      </w:pPr>
      <w:r>
        <w:rPr>
          <w:color w:val="1A1A1A"/>
          <w:sz w:val="22"/>
          <w:szCs w:val="22"/>
        </w:rPr>
        <w:t xml:space="preserve">Le deuxième est le segment B2B des entreprises et organisations recevant du public ou gérant des flottes. Il se subdivise lui-même en quatre sous-segments : la logistique et le transport, les destinations à fort passage (banques, retailers, administrations recevant du public), les services financiers (assurances, scoring de risque), et les acteurs immobiliers et marketing géolocalisé.</w:t>
      </w:r>
    </w:p>
    <w:p>
      <w:pPr>
        <w:spacing w:after="160" w:before="0" w:line="320"/>
        <w:jc w:val="both"/>
      </w:pPr>
      <w:r>
        <w:rPr>
          <w:color w:val="1A1A1A"/>
          <w:sz w:val="22"/>
          <w:szCs w:val="22"/>
        </w:rPr>
        <w:t xml:space="preserve">Le troisième est le segment B2G des pouvoirs publics, qui comprend les communes du Grand Libreville, les directions techniques nationales (DGT, Direction générale de l'urbanisme), les sociétés publiques de transport (Trans'Urb), et à terme l'opérateur du futur tramway de Libreville.</w:t>
      </w:r>
    </w:p>
    <w:p>
      <w:pPr>
        <w:pStyle w:val="Heading2"/>
        <w:spacing w:after="120" w:before="320"/>
      </w:pPr>
      <w:r>
        <w:rPr>
          <w:b/>
          <w:bCs/>
          <w:color w:val="1F3A5F"/>
          <w:sz w:val="24"/>
          <w:szCs w:val="24"/>
        </w:rPr>
        <w:t xml:space="preserve">Segmentation par zone géographique</w:t>
      </w:r>
    </w:p>
    <w:p>
      <w:pPr>
        <w:spacing w:after="160" w:before="0" w:line="320"/>
        <w:jc w:val="both"/>
      </w:pPr>
      <w:r>
        <w:rPr>
          <w:color w:val="1A1A1A"/>
          <w:sz w:val="22"/>
          <w:szCs w:val="22"/>
        </w:rPr>
        <w:t xml:space="preserve">Le marché initial se limite strictement au Grand Libreville, c'est-à-dire aux communes de Libreville, Akanda, Owendo et Ntoum. Cette zone concentre environ 1,08 million d'habitants, soit 53,6 % de la population du Gabon selon l'Enquête nationale sur l'emploi et le chômage publiée en avril 2026. Après dix-huit à vingt-quatre mois de validation, l'extension vise Port-Gentil (350 000 habitants environ), puis les capitales voisines d'Afrique centrale francophone.</w:t>
      </w:r>
    </w:p>
    <w:p>
      <w:pPr>
        <w:pStyle w:val="Heading1"/>
        <w:pBdr>
          <w:top w:val="single" w:color="B08B40" w:sz="8" w:space="12"/>
        </w:pBdr>
        <w:spacing w:after="80" w:before="520"/>
        <w:jc w:val="left"/>
      </w:pPr>
      <w:r>
        <w:rPr>
          <w:b/>
          <w:bCs/>
          <w:color w:val="B08B40"/>
          <w:sz w:val="30"/>
          <w:szCs w:val="30"/>
        </w:rPr>
        <w:t xml:space="preserve">2.2  </w:t>
      </w:r>
      <w:r>
        <w:rPr>
          <w:b/>
          <w:bCs/>
          <w:color w:val="1F3A5F"/>
          <w:sz w:val="30"/>
          <w:szCs w:val="30"/>
        </w:rPr>
        <w:t xml:space="preserve">Taille du marché et potentiel</w:t>
      </w:r>
    </w:p>
    <w:p>
      <w:pPr>
        <w:spacing w:after="160" w:before="0" w:line="320"/>
        <w:jc w:val="both"/>
      </w:pPr>
      <w:r>
        <w:rPr>
          <w:color w:val="1A1A1A"/>
          <w:sz w:val="22"/>
          <w:szCs w:val="22"/>
        </w:rPr>
        <w:t xml:space="preserve">La taille du marché s'évalue selon la méthode classique des trois cercles concentriques, à savoir le marché total adressable (TAM), le marché que l'entreprise peut servir techniquement (SAM), et la part du marché qu'elle peut réellement capter à horizon trois ans (SOM).</w:t>
      </w:r>
    </w:p>
    <w:p>
      <w:pPr>
        <w:pStyle w:val="Heading2"/>
        <w:spacing w:after="120" w:before="320"/>
      </w:pPr>
      <w:r>
        <w:rPr>
          <w:b/>
          <w:bCs/>
          <w:color w:val="1F3A5F"/>
          <w:sz w:val="24"/>
          <w:szCs w:val="24"/>
        </w:rPr>
        <w:t xml:space="preserve">Marché total adressable (TAM)</w:t>
      </w:r>
    </w:p>
    <w:p>
      <w:pPr>
        <w:spacing w:after="160" w:before="0" w:line="320"/>
        <w:jc w:val="both"/>
      </w:pPr>
      <w:r>
        <w:rPr>
          <w:color w:val="1A1A1A"/>
          <w:sz w:val="22"/>
          <w:szCs w:val="22"/>
        </w:rPr>
        <w:t xml:space="preserve">Le TAM est la somme des dépenses potentielles que l'ensemble des acteurs du Grand Libreville pourrait consacrer à une intelligence de la mobilité s'ils en avaient l'option. Trois composantes.</w:t>
      </w:r>
    </w:p>
    <w:p>
      <w:pPr>
        <w:spacing w:after="160" w:before="0" w:line="320"/>
        <w:jc w:val="both"/>
      </w:pPr>
      <w:r>
        <w:rPr>
          <w:color w:val="1A1A1A"/>
          <w:sz w:val="22"/>
          <w:szCs w:val="22"/>
        </w:rPr>
        <w:t xml:space="preserve">Sur le B2C, on dénombre environ 600 000 utilisateurs urbains adultes équipés d'un smartphone, sachant que le taux de pénétration des smartphones au Gabon est de 95 % selon les données ARCEP. À 2 500 FCFA mensuels pour la formule premium, le TAM B2C théorique atteint 18 milliards de FCFA annuels.</w:t>
      </w:r>
    </w:p>
    <w:p>
      <w:pPr>
        <w:spacing w:after="160" w:before="0" w:line="320"/>
        <w:jc w:val="both"/>
      </w:pPr>
      <w:r>
        <w:rPr>
          <w:color w:val="1A1A1A"/>
          <w:sz w:val="22"/>
          <w:szCs w:val="22"/>
        </w:rPr>
        <w:t xml:space="preserve">Sur le B2B, le rapport SING 2025 identifie 121 acteurs majeurs de l'économie numérique gabonaise, mais le marché réel des entreprises solvables qui pourraient consommer de la donnée mobilité s'étend bien au-delà. On dénombre une dizaine de banques, environ vingt-cinq enseignes de retail majeur, cinq grandes compagnies d'assurance, une cinquantaine de logisticiens et transporteurs structurés, et plusieurs centaines de PME qui pourraient à terme s'équiper. Le TAM B2B est estimé à 2,5 milliards de FCFA annuels.</w:t>
      </w:r>
    </w:p>
    <w:p>
      <w:pPr>
        <w:spacing w:after="160" w:before="0" w:line="320"/>
        <w:jc w:val="both"/>
      </w:pPr>
      <w:r>
        <w:rPr>
          <w:color w:val="1A1A1A"/>
          <w:sz w:val="22"/>
          <w:szCs w:val="22"/>
        </w:rPr>
        <w:t xml:space="preserve">Sur le B2G, en tenant compte des cinq communes du Grand Libreville, des trois directions techniques principales, et des deux sociétés publiques de transport, le TAM B2G atteint 1,2 milliard de FCFA annuels.</w:t>
      </w:r>
    </w:p>
    <w:p>
      <w:pPr>
        <w:spacing w:after="160" w:before="0" w:line="320"/>
        <w:jc w:val="both"/>
      </w:pPr>
      <w:r>
        <w:rPr>
          <w:color w:val="1A1A1A"/>
          <w:sz w:val="22"/>
          <w:szCs w:val="22"/>
        </w:rPr>
        <w:t xml:space="preserve">Le TAM total est donc d'environ 21,7 milliards de FCFA annuels pour le seul Grand Libreville. Cette estimation est volontairement large car elle suppose que tous les acteurs identifiés deviennent clients, ce qui ne se produit jamais en pratique. Elle a vocation à dimensionner l'enveloppe maximale du marché.</w:t>
      </w:r>
    </w:p>
    <w:p>
      <w:pPr>
        <w:pStyle w:val="Heading2"/>
        <w:spacing w:after="120" w:before="320"/>
      </w:pPr>
      <w:r>
        <w:rPr>
          <w:b/>
          <w:bCs/>
          <w:color w:val="1F3A5F"/>
          <w:sz w:val="24"/>
          <w:szCs w:val="24"/>
        </w:rPr>
        <w:t xml:space="preserve">Marché adressable servi (SAM)</w:t>
      </w:r>
    </w:p>
    <w:p>
      <w:pPr>
        <w:spacing w:after="160" w:before="0" w:line="320"/>
        <w:jc w:val="both"/>
      </w:pPr>
      <w:r>
        <w:rPr>
          <w:color w:val="1A1A1A"/>
          <w:sz w:val="22"/>
          <w:szCs w:val="22"/>
        </w:rPr>
        <w:t xml:space="preserve">Le SAM est la part du TAM que l'entreprise peut effectivement servir compte tenu de son périmètre fonctionnel et de sa stratégie commerciale. En appliquant des taux de pénétration réalistes (30 % des utilisateurs urbains effectivement touchés, 40 % des entreprises identifiées effectivement adressables, 60 % des cibles B2G effectivement accessibles dans un cycle de trois ans), le SAM se chiffre à environ 7,1 milliards de FCFA annuels.</w:t>
      </w:r>
    </w:p>
    <w:p>
      <w:pPr>
        <w:pStyle w:val="Heading2"/>
        <w:spacing w:after="120" w:before="320"/>
      </w:pPr>
      <w:r>
        <w:rPr>
          <w:b/>
          <w:bCs/>
          <w:color w:val="1F3A5F"/>
          <w:sz w:val="24"/>
          <w:szCs w:val="24"/>
        </w:rPr>
        <w:t xml:space="preserve">Part de marché réellement captée (SOM)</w:t>
      </w:r>
    </w:p>
    <w:p>
      <w:pPr>
        <w:spacing w:after="160" w:before="0" w:line="320"/>
        <w:jc w:val="both"/>
      </w:pPr>
      <w:r>
        <w:rPr>
          <w:color w:val="1A1A1A"/>
          <w:sz w:val="22"/>
          <w:szCs w:val="22"/>
        </w:rPr>
        <w:t xml:space="preserve">Le SOM est la part du SAM que l'entreprise prévoit raisonnablement de capter à horizon trente-six mois. En tenant compte d'une montée en charge progressive, des concurrents adjacents, et de la maturité limitée du marché de la donnée au Gabon, le SOM cible est de 9 % du SAM, soit environ 656 millions de FCFA de chiffre d'affaires annuel à fin de l'année trois. Cette cible correspond aux projections financières détaillées en partie 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A5F" w:val="clear"/>
            <w:tcMar>
              <w:top w:type="dxa" w:w="100"/>
              <w:left w:type="dxa" w:w="140"/>
              <w:bottom w:type="dxa" w:w="100"/>
              <w:right w:type="dxa" w:w="140"/>
            </w:tcMar>
          </w:tcPr>
          <w:p>
            <w:pPr>
              <w:spacing w:after="0" w:before="0" w:line="280"/>
              <w:jc w:val="left"/>
            </w:pPr>
            <w:r>
              <w:rPr>
                <w:b/>
                <w:bCs/>
                <w:color w:val="FFFFFF"/>
                <w:sz w:val="20"/>
                <w:szCs w:val="20"/>
              </w:rPr>
              <w:t xml:space="preserve">Indicateur</w:t>
            </w:r>
          </w:p>
        </w:tc>
        <w:tc>
          <w:tcPr>
            <w:tcW w:type="dxa" w:w="30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Montant (FCFA)</w:t>
            </w:r>
          </w:p>
        </w:tc>
        <w:tc>
          <w:tcPr>
            <w:tcW w:type="dxa" w:w="30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Équivalent (EUR)</w:t>
            </w:r>
          </w:p>
        </w:tc>
      </w:tr>
      <w:tr>
        <w:tc>
          <w:tcPr>
            <w:tcW w:type="dxa" w:w="3000"/>
            <w:tcMar>
              <w:top w:type="dxa" w:w="100"/>
              <w:left w:type="dxa" w:w="140"/>
              <w:bottom w:type="dxa" w:w="100"/>
              <w:right w:type="dxa" w:w="140"/>
            </w:tcMar>
          </w:tcPr>
          <w:p>
            <w:pPr>
              <w:spacing w:after="0" w:before="0" w:line="280"/>
              <w:jc w:val="left"/>
            </w:pPr>
            <w:r>
              <w:rPr>
                <w:b w:val="false"/>
                <w:bCs w:val="false"/>
                <w:color w:val="1A1A1A"/>
                <w:sz w:val="20"/>
                <w:szCs w:val="20"/>
              </w:rPr>
              <w:t xml:space="preserve">TAM (marché total adressable)</w:t>
            </w:r>
          </w:p>
        </w:tc>
        <w:tc>
          <w:tcPr>
            <w:tcW w:type="dxa" w:w="3000"/>
            <w:tcMar>
              <w:top w:type="dxa" w:w="100"/>
              <w:left w:type="dxa" w:w="140"/>
              <w:bottom w:type="dxa" w:w="100"/>
              <w:right w:type="dxa" w:w="140"/>
            </w:tcMar>
          </w:tcPr>
          <w:p>
            <w:pPr>
              <w:spacing w:after="0" w:before="0" w:line="280"/>
              <w:jc w:val="right"/>
            </w:pPr>
            <w:r>
              <w:rPr>
                <w:b w:val="false"/>
                <w:bCs w:val="false"/>
                <w:color w:val="1A1A1A"/>
                <w:sz w:val="20"/>
                <w:szCs w:val="20"/>
              </w:rPr>
              <w:t xml:space="preserve">21,7 milliards</w:t>
            </w:r>
          </w:p>
        </w:tc>
        <w:tc>
          <w:tcPr>
            <w:tcW w:type="dxa" w:w="3000"/>
            <w:tcMar>
              <w:top w:type="dxa" w:w="100"/>
              <w:left w:type="dxa" w:w="140"/>
              <w:bottom w:type="dxa" w:w="100"/>
              <w:right w:type="dxa" w:w="140"/>
            </w:tcMar>
          </w:tcPr>
          <w:p>
            <w:pPr>
              <w:spacing w:after="0" w:before="0" w:line="280"/>
              <w:jc w:val="right"/>
            </w:pPr>
            <w:r>
              <w:rPr>
                <w:b w:val="false"/>
                <w:bCs w:val="false"/>
                <w:color w:val="1A1A1A"/>
                <w:sz w:val="20"/>
                <w:szCs w:val="20"/>
              </w:rPr>
              <w:t xml:space="preserve">33 millions</w:t>
            </w:r>
          </w:p>
        </w:tc>
      </w:tr>
      <w:tr>
        <w:tc>
          <w:tcPr>
            <w:tcW w:type="dxa" w:w="30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SAM (marché servi)</w:t>
            </w:r>
          </w:p>
        </w:tc>
        <w:tc>
          <w:tcPr>
            <w:tcW w:type="dxa" w:w="3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7,1 milliards</w:t>
            </w:r>
          </w:p>
        </w:tc>
        <w:tc>
          <w:tcPr>
            <w:tcW w:type="dxa" w:w="3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10,8 millions</w:t>
            </w:r>
          </w:p>
        </w:tc>
      </w:tr>
      <w:tr>
        <w:tc>
          <w:tcPr>
            <w:tcW w:type="dxa" w:w="3000"/>
            <w:shd w:fill="1F3A5F" w:val="clear"/>
            <w:tcMar>
              <w:top w:type="dxa" w:w="100"/>
              <w:left w:type="dxa" w:w="140"/>
              <w:bottom w:type="dxa" w:w="100"/>
              <w:right w:type="dxa" w:w="140"/>
            </w:tcMar>
          </w:tcPr>
          <w:p>
            <w:pPr>
              <w:spacing w:after="0" w:before="0" w:line="280"/>
              <w:jc w:val="left"/>
            </w:pPr>
            <w:r>
              <w:rPr>
                <w:b/>
                <w:bCs/>
                <w:color w:val="FFFFFF"/>
                <w:sz w:val="20"/>
                <w:szCs w:val="20"/>
              </w:rPr>
              <w:t xml:space="preserve">SOM (cible an 3)</w:t>
            </w:r>
          </w:p>
        </w:tc>
        <w:tc>
          <w:tcPr>
            <w:tcW w:type="dxa" w:w="30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656 millions</w:t>
            </w:r>
          </w:p>
        </w:tc>
        <w:tc>
          <w:tcPr>
            <w:tcW w:type="dxa" w:w="30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1,0 million</w:t>
            </w:r>
          </w:p>
        </w:tc>
      </w:tr>
    </w:tbl>
    <w:p>
      <w:pPr>
        <w:spacing w:after="160" w:before="0" w:line="320"/>
        <w:jc w:val="both"/>
      </w:pPr>
      <w:r>
        <w:rPr>
          <w:color w:val="1A1A1A"/>
          <w:sz w:val="22"/>
          <w:szCs w:val="22"/>
        </w:rPr>
        <w:t xml:space="preserve"/>
      </w:r>
    </w:p>
    <w:p>
      <w:pPr>
        <w:pStyle w:val="Heading1"/>
        <w:pBdr>
          <w:top w:val="single" w:color="B08B40" w:sz="8" w:space="12"/>
        </w:pBdr>
        <w:spacing w:after="80" w:before="520"/>
        <w:jc w:val="left"/>
      </w:pPr>
      <w:r>
        <w:rPr>
          <w:b/>
          <w:bCs/>
          <w:color w:val="B08B40"/>
          <w:sz w:val="30"/>
          <w:szCs w:val="30"/>
        </w:rPr>
        <w:t xml:space="preserve">2.3  </w:t>
      </w:r>
      <w:r>
        <w:rPr>
          <w:b/>
          <w:bCs/>
          <w:color w:val="1F3A5F"/>
          <w:sz w:val="30"/>
          <w:szCs w:val="30"/>
        </w:rPr>
        <w:t xml:space="preserve">Dynamique et tendances</w:t>
      </w:r>
    </w:p>
    <w:p>
      <w:pPr>
        <w:spacing w:after="160" w:before="0" w:line="320"/>
        <w:jc w:val="both"/>
      </w:pPr>
      <w:r>
        <w:rPr>
          <w:color w:val="1A1A1A"/>
          <w:sz w:val="22"/>
          <w:szCs w:val="22"/>
        </w:rPr>
        <w:t xml:space="preserve">Quatre dynamiques convergent à Libreville en 2026 pour rendre le moment particulièrement opportun.</w:t>
      </w:r>
    </w:p>
    <w:p>
      <w:pPr>
        <w:pStyle w:val="Heading2"/>
        <w:spacing w:after="120" w:before="320"/>
      </w:pPr>
      <w:r>
        <w:rPr>
          <w:b/>
          <w:bCs/>
          <w:color w:val="1F3A5F"/>
          <w:sz w:val="24"/>
          <w:szCs w:val="24"/>
        </w:rPr>
        <w:t xml:space="preserve">Première dynamique : la maturité numérique de la population</w:t>
      </w:r>
    </w:p>
    <w:p>
      <w:pPr>
        <w:spacing w:after="160" w:before="0" w:line="320"/>
        <w:jc w:val="both"/>
      </w:pPr>
      <w:r>
        <w:rPr>
          <w:color w:val="1A1A1A"/>
          <w:sz w:val="22"/>
          <w:szCs w:val="22"/>
        </w:rPr>
        <w:t xml:space="preserve">Les données de l'ARCEP confirmées en novembre 2025 montrent un taux de pénétration internet de 127,8 % au Gabon, avec plus de 2,3 millions d'abonnements actifs pour une population de 2 millions d'habitants. La pénétration mobile dépasse 129 %. Le mobile money est utilisé par 85 % de la population adulte, et les transactions ont atteint 4 087 milliards de FCFA en 2024 selon les opérateurs Airtel et Moov. Cette maturité numérique signifie que l'infrastructure de distribution (smartphones, internet mobile, paiement mobile) existe déjà, et qu'aucun investissement initial ne sera nécessaire de notre part pour amener les utilisateurs au numérique.</w:t>
      </w:r>
    </w:p>
    <w:p>
      <w:pPr>
        <w:pStyle w:val="Heading2"/>
        <w:spacing w:after="120" w:before="320"/>
      </w:pPr>
      <w:r>
        <w:rPr>
          <w:b/>
          <w:bCs/>
          <w:color w:val="1F3A5F"/>
          <w:sz w:val="24"/>
          <w:szCs w:val="24"/>
        </w:rPr>
        <w:t xml:space="preserve">Deuxième dynamique : la priorité politique donnée au numérique</w:t>
      </w:r>
    </w:p>
    <w:p>
      <w:pPr>
        <w:spacing w:after="160" w:before="0" w:line="320"/>
        <w:jc w:val="both"/>
      </w:pPr>
      <w:r>
        <w:rPr>
          <w:color w:val="1A1A1A"/>
          <w:sz w:val="22"/>
          <w:szCs w:val="22"/>
        </w:rPr>
        <w:t xml:space="preserve">Le Ministère de l'Économie numérique, dirigé par Mark Alexandre Doumba, a engagé en 2025 trois chantiers structurants. D'abord, la préparation d'une Start-up Act gabonaise qui doit doter le pays d'un cadre juridique propre à l'entrepreneuriat technologique. Ensuite, un Pacte Numérique Gabonais en discussion avec l'association sectorielle TECH 241, qui a soumis dix propositions au gouvernement en octobre 2025. Enfin, l'inscription de 72,4 millions de dollars au Plan national de développement pour la transition pour le développement de l'économie numérique. Ces signaux institutionnels concordants ouvrent une fenêtre temporelle favorable de douze à vingt-quatre mois pour les jeunes entreprises tech bien positionnées.</w:t>
      </w:r>
    </w:p>
    <w:p>
      <w:pPr>
        <w:pStyle w:val="Heading2"/>
        <w:spacing w:after="120" w:before="320"/>
      </w:pPr>
      <w:r>
        <w:rPr>
          <w:b/>
          <w:bCs/>
          <w:color w:val="1F3A5F"/>
          <w:sz w:val="24"/>
          <w:szCs w:val="24"/>
        </w:rPr>
        <w:t xml:space="preserve">Troisième dynamique : le précédent POZI</w:t>
      </w:r>
    </w:p>
    <w:p>
      <w:pPr>
        <w:spacing w:after="160" w:before="0" w:line="320"/>
        <w:jc w:val="both"/>
      </w:pPr>
      <w:r>
        <w:rPr>
          <w:color w:val="1A1A1A"/>
          <w:sz w:val="22"/>
          <w:szCs w:val="22"/>
        </w:rPr>
        <w:t xml:space="preserve">La levée de 426,3 millions de FCFA (650 000 euros) par POZI auprès de Saviu Ventures en octobre 2025, première opération de capital-risque international jamais réalisée sur une startup gabonaise selon GabonReview, change la donne. Elle prouve trois choses utiles à notre projet. Premièrement, qu'un fonds international peut être attiré sur le Gabon malgré l'éloignement géographique. Deuxièmement, que la thématique mobilité et données véhicules est attractive (POZI fait de la télématique B2B). Troisièmement, que l'écosystème local peut désormais référencer un précédent réussi pour rassurer les futurs investisseurs. Notre projet bénéficie directement de cette ouverture, sans pour autant adresser le même marché que POZI.</w:t>
      </w:r>
    </w:p>
    <w:p>
      <w:pPr>
        <w:pStyle w:val="Heading2"/>
        <w:spacing w:after="120" w:before="320"/>
      </w:pPr>
      <w:r>
        <w:rPr>
          <w:b/>
          <w:bCs/>
          <w:color w:val="1F3A5F"/>
          <w:sz w:val="24"/>
          <w:szCs w:val="24"/>
        </w:rPr>
        <w:t xml:space="preserve">Quatrième dynamique : les grands chantiers d'infrastructure</w:t>
      </w:r>
    </w:p>
    <w:p>
      <w:pPr>
        <w:spacing w:after="160" w:before="0" w:line="320"/>
        <w:jc w:val="both"/>
      </w:pPr>
      <w:r>
        <w:rPr>
          <w:color w:val="1A1A1A"/>
          <w:sz w:val="22"/>
          <w:szCs w:val="22"/>
        </w:rPr>
        <w:t xml:space="preserve">Le gouvernement a engagé en 2025 et 2026 plusieurs chantiers structurants qui appelleront tous, à terme, une couche logicielle de pilotage que notre plateforme est conçue pour fournir. Le tramway de Libreville, budgété à environ 400 millions de dollars selon le Portail de l'Intelligence Économique, en est le plus emblématique. L'axe Alembé-Lopé-Mikouyi en cours de bitumage par Porteo BTP, financé à hauteur de 140 milliards de FCFA par BGFIBank, en est un autre. Les bretelles routières inaugurées en mai 2026 au carrefour Camp de Gaulle s'inscrivent dans la même dynamique. Ces infrastructures, livrées sans système d'intelligence du trafic, créent une demande latente que nous serons en position de satisfaire dès leur entrée en service.</w:t>
      </w:r>
    </w:p>
    <w:p>
      <w:pPr>
        <w:pStyle w:val="Heading1"/>
        <w:pBdr>
          <w:top w:val="single" w:color="B08B40" w:sz="8" w:space="12"/>
        </w:pBdr>
        <w:spacing w:after="80" w:before="520"/>
        <w:jc w:val="left"/>
      </w:pPr>
      <w:r>
        <w:rPr>
          <w:b/>
          <w:bCs/>
          <w:color w:val="B08B40"/>
          <w:sz w:val="30"/>
          <w:szCs w:val="30"/>
        </w:rPr>
        <w:t xml:space="preserve">2.4  </w:t>
      </w:r>
      <w:r>
        <w:rPr>
          <w:b/>
          <w:bCs/>
          <w:color w:val="1F3A5F"/>
          <w:sz w:val="30"/>
          <w:szCs w:val="30"/>
        </w:rPr>
        <w:t xml:space="preserve">Analyse concurrentielle détaillée</w:t>
      </w:r>
    </w:p>
    <w:p>
      <w:pPr>
        <w:spacing w:after="160" w:before="0" w:line="320"/>
        <w:jc w:val="both"/>
      </w:pPr>
      <w:r>
        <w:rPr>
          <w:color w:val="1A1A1A"/>
          <w:sz w:val="22"/>
          <w:szCs w:val="22"/>
        </w:rPr>
        <w:t xml:space="preserve">Le paysage concurrentiel se découpe en quatre cercles, du plus direct au plus indirect.</w:t>
      </w:r>
    </w:p>
    <w:p>
      <w:pPr>
        <w:pStyle w:val="Heading2"/>
        <w:spacing w:after="120" w:before="320"/>
      </w:pPr>
      <w:r>
        <w:rPr>
          <w:b/>
          <w:bCs/>
          <w:color w:val="1F3A5F"/>
          <w:sz w:val="24"/>
          <w:szCs w:val="24"/>
        </w:rPr>
        <w:t xml:space="preserve">Cercle 1 : aucun concurrent direct identifié</w:t>
      </w:r>
    </w:p>
    <w:p>
      <w:pPr>
        <w:spacing w:after="160" w:before="0" w:line="320"/>
        <w:jc w:val="both"/>
      </w:pPr>
      <w:r>
        <w:rPr>
          <w:color w:val="1A1A1A"/>
          <w:sz w:val="22"/>
          <w:szCs w:val="22"/>
        </w:rPr>
        <w:t xml:space="preserve">Sur le périmètre exact de l'intelligence collective de la mobilité urbaine combinant observation et déclaration, aucun acteur n'opère aujourd'hui au Gabon ni en Afrique centrale francophone. Cette absence n'est pas accidentelle : elle résulte du fait que ce périmètre n'avait jamais été pensé comme un marché à part entière, et qu'il combine des compétences (intelligence artificielle, vision par ordinateur, B2G institutionnel, design grand public) que peu d'acteurs locaux maîtrisent simultanément.</w:t>
      </w:r>
    </w:p>
    <w:p>
      <w:pPr>
        <w:pStyle w:val="Heading2"/>
        <w:spacing w:after="120" w:before="320"/>
      </w:pPr>
      <w:r>
        <w:rPr>
          <w:b/>
          <w:bCs/>
          <w:color w:val="1F3A5F"/>
          <w:sz w:val="24"/>
          <w:szCs w:val="24"/>
        </w:rPr>
        <w:t xml:space="preserve">Cercle 2 : POZI, concurrent adjacent et potentiel partenaire</w:t>
      </w:r>
    </w:p>
    <w:p>
      <w:pPr>
        <w:spacing w:after="160" w:before="0" w:line="320"/>
        <w:jc w:val="both"/>
      </w:pPr>
      <w:r>
        <w:rPr>
          <w:color w:val="1A1A1A"/>
          <w:sz w:val="22"/>
          <w:szCs w:val="22"/>
        </w:rPr>
        <w:t xml:space="preserve">POZI, fondée en 2020 par Loïc Kapitho et Thomas Leluc, est la startup gabonaise la plus proche de notre périmètre. Selon les communications publiques de l'entreprise, elle a connecté plus de 2 500 véhicules au troisième trimestre 2025 et a noué des partenariats commerciaux avec NSIA Assurances, Finatra, Alios Finance Gabon et GIMAC. Sa proposition est cependant clairement différente de la nôtre : POZI fait de la télématique B2B pour gestionnaires de flotte privée, c'est-à-dire qu'elle équipe des véhicules individuels d'un boîtier physique propriétaire et vend l'analyse de ces véhicules à leur propriétaire. POZI ne fait ni intelligence collective publique, ni grand public, ni infrastructure de mesure des flux urbains. Le risque concurrentiel direct est donc faible. Le potentiel de partenariat à moyen terme est en revanche significatif : POZI pourrait devenir une source de données pour notre plateforme, et nos infrastructures pourraient enrichir leur produit.</w:t>
      </w:r>
    </w:p>
    <w:p>
      <w:pPr>
        <w:pStyle w:val="Heading2"/>
        <w:spacing w:after="120" w:before="320"/>
      </w:pPr>
      <w:r>
        <w:rPr>
          <w:b/>
          <w:bCs/>
          <w:color w:val="1F3A5F"/>
          <w:sz w:val="24"/>
          <w:szCs w:val="24"/>
        </w:rPr>
        <w:t xml:space="preserve">Cercle 3 : les VTC et la mobilité-service</w:t>
      </w:r>
    </w:p>
    <w:p>
      <w:pPr>
        <w:spacing w:after="160" w:before="0" w:line="320"/>
        <w:jc w:val="both"/>
      </w:pPr>
      <w:r>
        <w:rPr>
          <w:color w:val="1A1A1A"/>
          <w:sz w:val="22"/>
          <w:szCs w:val="22"/>
        </w:rPr>
        <w:t xml:space="preserve">Yango et Gozem opèrent à Libreville depuis 2021 environ. Yango se concentre sur la commande de courses en taxi avec plusieurs gammes (Éco, Confort, Confort+). Gozem propose des taxis classiques, taxis-motos et taxis-tricycles, ainsi que des livraisons de repas. Ces acteurs partagent des données de trajet potentiellement utiles à notre plateforme, mais ne publient ni n'agrègent leurs données. Le risque est qu'un de ces acteurs (probablement Yango, plus gros et mieux financé) décide à un horizon de deux à cinq ans de pivoter vers l'intelligence du trafic urbain agrégée. Notre stratégie de mitigation consiste à atteindre une masse critique d'utilisateurs et à signer les premiers contrats B2G avant qu'un tel pivot ne soit envisagé. Localement, Habana et WebCars (Sociétés gabonaises citées dans les annuaires sectoriels) opèrent sur le même créneau VTC mais à plus petite échelle.</w:t>
      </w:r>
    </w:p>
    <w:p>
      <w:pPr>
        <w:pStyle w:val="Heading2"/>
        <w:spacing w:after="120" w:before="320"/>
      </w:pPr>
      <w:r>
        <w:rPr>
          <w:b/>
          <w:bCs/>
          <w:color w:val="1F3A5F"/>
          <w:sz w:val="24"/>
          <w:szCs w:val="24"/>
        </w:rPr>
        <w:t xml:space="preserve">Cercle 4 : Google Maps et les acteurs globaux</w:t>
      </w:r>
    </w:p>
    <w:p>
      <w:pPr>
        <w:spacing w:after="160" w:before="0" w:line="320"/>
        <w:jc w:val="both"/>
      </w:pPr>
      <w:r>
        <w:rPr>
          <w:color w:val="1A1A1A"/>
          <w:sz w:val="22"/>
          <w:szCs w:val="22"/>
        </w:rPr>
        <w:t xml:space="preserve">Google Maps est techniquement présent à Libreville mais son couverture y est très incomplète. Selon les retours utilisateurs observables, l'application connaît les grands axes (boulevard Triomphal, voie express, route de l'aéroport) mais ignore la voirie secondaire, les pistes des quartiers populaires et la totalité des raccourcis informels. Ses estimations de trafic temps réel sont qualifiées d'approximatives par les usagers, parce que personne, au Gabon, n'alimente massivement ses serveurs. Le risque d'un investissement de Google sur la cartographie complète de Libreville est faible, le Gabon n'étant pas une priorité commerciale pour la firme. C'est précisément cette absence d'intérêt qui constitue notre fenêtre stratégique.</w:t>
      </w:r>
    </w:p>
    <w:p>
      <w:pPr>
        <w:pStyle w:val="Heading2"/>
        <w:spacing w:after="120" w:before="320"/>
      </w:pPr>
      <w:r>
        <w:rPr>
          <w:b/>
          <w:bCs/>
          <w:color w:val="1F3A5F"/>
          <w:sz w:val="24"/>
          <w:szCs w:val="24"/>
        </w:rPr>
        <w:t xml:space="preserve">Matrice de positionnement concurrentiel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shd w:fill="1F3A5F" w:val="clear"/>
            <w:tcMar>
              <w:top w:type="dxa" w:w="100"/>
              <w:left w:type="dxa" w:w="140"/>
              <w:bottom w:type="dxa" w:w="100"/>
              <w:right w:type="dxa" w:w="140"/>
            </w:tcMar>
          </w:tcPr>
          <w:p>
            <w:pPr>
              <w:spacing w:after="0" w:before="0" w:line="280"/>
              <w:jc w:val="left"/>
            </w:pPr>
            <w:r>
              <w:rPr>
                <w:b/>
                <w:bCs/>
                <w:color w:val="FFFFFF"/>
                <w:sz w:val="20"/>
                <w:szCs w:val="20"/>
              </w:rPr>
              <w:t xml:space="preserve">Critère</w:t>
            </w:r>
          </w:p>
        </w:tc>
        <w:tc>
          <w:tcPr>
            <w:tcW w:type="dxa" w:w="16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Notre projet</w:t>
            </w:r>
          </w:p>
        </w:tc>
        <w:tc>
          <w:tcPr>
            <w:tcW w:type="dxa" w:w="16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POZI</w:t>
            </w:r>
          </w:p>
        </w:tc>
        <w:tc>
          <w:tcPr>
            <w:tcW w:type="dxa" w:w="16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Yango</w:t>
            </w:r>
          </w:p>
        </w:tc>
        <w:tc>
          <w:tcPr>
            <w:tcW w:type="dxa" w:w="16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Google Maps</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Données trafic public temps réel</w:t>
            </w:r>
          </w:p>
        </w:tc>
        <w:tc>
          <w:tcPr>
            <w:tcW w:type="dxa" w:w="1650"/>
            <w:tcMar>
              <w:top w:type="dxa" w:w="100"/>
              <w:left w:type="dxa" w:w="140"/>
              <w:bottom w:type="dxa" w:w="100"/>
              <w:right w:type="dxa" w:w="140"/>
            </w:tcMar>
          </w:tcPr>
          <w:p>
            <w:pPr>
              <w:spacing w:after="0" w:before="0" w:line="280"/>
              <w:jc w:val="center"/>
            </w:pPr>
            <w:r>
              <w:rPr>
                <w:b/>
                <w:bCs/>
                <w:color w:val="0F6E56"/>
                <w:sz w:val="20"/>
                <w:szCs w:val="20"/>
              </w:rPr>
              <w:t xml:space="preserve">Oui</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Partiel privé</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Très partiel</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Carte complète avec raccourcis</w:t>
            </w:r>
          </w:p>
        </w:tc>
        <w:tc>
          <w:tcPr>
            <w:tcW w:type="dxa" w:w="1650"/>
            <w:shd w:fill="F8F5EE" w:val="clear"/>
            <w:tcMar>
              <w:top w:type="dxa" w:w="100"/>
              <w:left w:type="dxa" w:w="140"/>
              <w:bottom w:type="dxa" w:w="100"/>
              <w:right w:type="dxa" w:w="140"/>
            </w:tcMar>
          </w:tcPr>
          <w:p>
            <w:pPr>
              <w:spacing w:after="0" w:before="0" w:line="280"/>
              <w:jc w:val="center"/>
            </w:pPr>
            <w:r>
              <w:rPr>
                <w:b/>
                <w:bCs/>
                <w:color w:val="0F6E56"/>
                <w:sz w:val="20"/>
                <w:szCs w:val="20"/>
              </w:rPr>
              <w:t xml:space="preserve">Oui</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Journal d'intentions</w:t>
            </w:r>
          </w:p>
        </w:tc>
        <w:tc>
          <w:tcPr>
            <w:tcW w:type="dxa" w:w="1650"/>
            <w:tcMar>
              <w:top w:type="dxa" w:w="100"/>
              <w:left w:type="dxa" w:w="140"/>
              <w:bottom w:type="dxa" w:w="100"/>
              <w:right w:type="dxa" w:w="140"/>
            </w:tcMar>
          </w:tcPr>
          <w:p>
            <w:pPr>
              <w:spacing w:after="0" w:before="0" w:line="280"/>
              <w:jc w:val="center"/>
            </w:pPr>
            <w:r>
              <w:rPr>
                <w:b/>
                <w:bCs/>
                <w:color w:val="0F6E56"/>
                <w:sz w:val="20"/>
                <w:szCs w:val="20"/>
              </w:rPr>
              <w:t xml:space="preserve">Oui</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Caméras edge propriétaires</w:t>
            </w:r>
          </w:p>
        </w:tc>
        <w:tc>
          <w:tcPr>
            <w:tcW w:type="dxa" w:w="1650"/>
            <w:shd w:fill="F8F5EE" w:val="clear"/>
            <w:tcMar>
              <w:top w:type="dxa" w:w="100"/>
              <w:left w:type="dxa" w:w="140"/>
              <w:bottom w:type="dxa" w:w="100"/>
              <w:right w:type="dxa" w:w="140"/>
            </w:tcMar>
          </w:tcPr>
          <w:p>
            <w:pPr>
              <w:spacing w:after="0" w:before="0" w:line="280"/>
              <w:jc w:val="center"/>
            </w:pPr>
            <w:r>
              <w:rPr>
                <w:b/>
                <w:bCs/>
                <w:color w:val="0F6E56"/>
                <w:sz w:val="20"/>
                <w:szCs w:val="20"/>
              </w:rPr>
              <w:t xml:space="preserve">Oui</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Annuaire géolocalisé des lieux</w:t>
            </w:r>
          </w:p>
        </w:tc>
        <w:tc>
          <w:tcPr>
            <w:tcW w:type="dxa" w:w="1650"/>
            <w:tcMar>
              <w:top w:type="dxa" w:w="100"/>
              <w:left w:type="dxa" w:w="140"/>
              <w:bottom w:type="dxa" w:w="100"/>
              <w:right w:type="dxa" w:w="140"/>
            </w:tcMar>
          </w:tcPr>
          <w:p>
            <w:pPr>
              <w:spacing w:after="0" w:before="0" w:line="280"/>
              <w:jc w:val="center"/>
            </w:pPr>
            <w:r>
              <w:rPr>
                <w:b/>
                <w:bCs/>
                <w:color w:val="0F6E56"/>
                <w:sz w:val="20"/>
                <w:szCs w:val="20"/>
              </w:rPr>
              <w:t xml:space="preserve">Oui</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Partiel</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Contrats B2G</w:t>
            </w:r>
          </w:p>
        </w:tc>
        <w:tc>
          <w:tcPr>
            <w:tcW w:type="dxa" w:w="1650"/>
            <w:shd w:fill="F8F5EE" w:val="clear"/>
            <w:tcMar>
              <w:top w:type="dxa" w:w="100"/>
              <w:left w:type="dxa" w:w="140"/>
              <w:bottom w:type="dxa" w:w="100"/>
              <w:right w:type="dxa" w:w="140"/>
            </w:tcMar>
          </w:tcPr>
          <w:p>
            <w:pPr>
              <w:spacing w:after="0" w:before="0" w:line="280"/>
              <w:jc w:val="center"/>
            </w:pPr>
            <w:r>
              <w:rPr>
                <w:b/>
                <w:bCs/>
                <w:color w:val="0F6E56"/>
                <w:sz w:val="20"/>
                <w:szCs w:val="20"/>
              </w:rPr>
              <w:t xml:space="preserve">Cible majeure</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c>
          <w:tcPr>
            <w:tcW w:type="dxa" w:w="16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Non</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Ancrage local Gabon</w:t>
            </w:r>
          </w:p>
        </w:tc>
        <w:tc>
          <w:tcPr>
            <w:tcW w:type="dxa" w:w="1650"/>
            <w:tcMar>
              <w:top w:type="dxa" w:w="100"/>
              <w:left w:type="dxa" w:w="140"/>
              <w:bottom w:type="dxa" w:w="100"/>
              <w:right w:type="dxa" w:w="140"/>
            </w:tcMar>
          </w:tcPr>
          <w:p>
            <w:pPr>
              <w:spacing w:after="0" w:before="0" w:line="280"/>
              <w:jc w:val="center"/>
            </w:pPr>
            <w:r>
              <w:rPr>
                <w:b/>
                <w:bCs/>
                <w:color w:val="0F6E56"/>
                <w:sz w:val="20"/>
                <w:szCs w:val="20"/>
              </w:rPr>
              <w:t xml:space="preserve">Fort</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Fort</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Moyen</w:t>
            </w:r>
          </w:p>
        </w:tc>
        <w:tc>
          <w:tcPr>
            <w:tcW w:type="dxa" w:w="1650"/>
            <w:tcMar>
              <w:top w:type="dxa" w:w="100"/>
              <w:left w:type="dxa" w:w="140"/>
              <w:bottom w:type="dxa" w:w="100"/>
              <w:right w:type="dxa" w:w="140"/>
            </w:tcMar>
          </w:tcPr>
          <w:p>
            <w:pPr>
              <w:spacing w:after="0" w:before="0" w:line="280"/>
              <w:jc w:val="center"/>
            </w:pPr>
            <w:r>
              <w:rPr>
                <w:b w:val="false"/>
                <w:bCs w:val="false"/>
                <w:color w:val="1A1A1A"/>
                <w:sz w:val="20"/>
                <w:szCs w:val="20"/>
              </w:rPr>
              <w:t xml:space="preserve">Faible</w:t>
            </w:r>
          </w:p>
        </w:tc>
      </w:tr>
    </w:tbl>
    <w:p>
      <w:r>
        <w:br w:type="page"/>
      </w:r>
    </w:p>
    <w:p>
      <w:pPr>
        <w:spacing w:after="2400" w:before="0"/>
      </w:pPr>
      <w:r>
        <w:t xml:space="preserve"/>
      </w:r>
    </w:p>
    <w:p>
      <w:pPr>
        <w:spacing w:after="80" w:before="0"/>
        <w:jc w:val="center"/>
      </w:pPr>
      <w:r>
        <w:rPr>
          <w:b/>
          <w:bCs/>
          <w:color w:val="B08B40"/>
          <w:spacing w:val="120"/>
          <w:sz w:val="28"/>
          <w:szCs w:val="28"/>
        </w:rPr>
        <w:t xml:space="preserve">PARTIE III</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Le produit</w:t>
      </w:r>
    </w:p>
    <w:p>
      <w:r>
        <w:br w:type="page"/>
      </w:r>
    </w:p>
    <w:p>
      <w:pPr>
        <w:pStyle w:val="Heading1"/>
        <w:pBdr>
          <w:top w:val="single" w:color="B08B40" w:sz="8" w:space="12"/>
        </w:pBdr>
        <w:spacing w:after="80" w:before="520"/>
        <w:jc w:val="left"/>
      </w:pPr>
      <w:r>
        <w:rPr>
          <w:b/>
          <w:bCs/>
          <w:color w:val="B08B40"/>
          <w:sz w:val="30"/>
          <w:szCs w:val="30"/>
        </w:rPr>
        <w:t xml:space="preserve">3.1  </w:t>
      </w:r>
      <w:r>
        <w:rPr>
          <w:b/>
          <w:bCs/>
          <w:color w:val="1F3A5F"/>
          <w:sz w:val="30"/>
          <w:szCs w:val="30"/>
        </w:rPr>
        <w:t xml:space="preserve">Périmètre fonctionnel et MVP</w:t>
      </w:r>
    </w:p>
    <w:p>
      <w:pPr>
        <w:spacing w:after="160" w:before="0" w:line="320"/>
        <w:jc w:val="both"/>
      </w:pPr>
      <w:r>
        <w:rPr>
          <w:color w:val="1A1A1A"/>
          <w:sz w:val="22"/>
          <w:szCs w:val="22"/>
        </w:rPr>
        <w:t xml:space="preserve">Le produit se décline en trois interfaces utilisateur (citoyenne, professionnelle, institutionnelle) reposant toutes sur une même infrastructure d'intelligence. Cette partie en décrit le périmètre fonctionnel, sans entrer dans les détails techniques qui feront l'objet d'un volet ultérieur du business plan.</w:t>
      </w:r>
    </w:p>
    <w:p>
      <w:pPr>
        <w:pStyle w:val="Heading2"/>
        <w:spacing w:after="120" w:before="320"/>
      </w:pPr>
      <w:r>
        <w:rPr>
          <w:b/>
          <w:bCs/>
          <w:color w:val="1F3A5F"/>
          <w:sz w:val="24"/>
          <w:szCs w:val="24"/>
        </w:rPr>
        <w:t xml:space="preserve">Application citoyenne (interface B2C)</w:t>
      </w:r>
    </w:p>
    <w:p>
      <w:pPr>
        <w:spacing w:after="160" w:before="0" w:line="320"/>
        <w:jc w:val="both"/>
      </w:pPr>
      <w:r>
        <w:rPr>
          <w:color w:val="1A1A1A"/>
          <w:sz w:val="22"/>
          <w:szCs w:val="22"/>
        </w:rPr>
        <w:t xml:space="preserve">L'application citoyenne est disponible sur Android et iOS, avec une version web légère pour les utilisateurs disposant d'un téléphone d'entrée de gamme. Elle propose quatre fonctions principales.</w:t>
      </w:r>
    </w:p>
    <w:p>
      <w:pPr>
        <w:spacing w:after="140" w:before="0" w:line="320"/>
        <w:ind w:left="200"/>
        <w:jc w:val="both"/>
      </w:pPr>
      <w:r>
        <w:rPr>
          <w:b/>
          <w:bCs/>
          <w:color w:val="B08B40"/>
          <w:sz w:val="22"/>
          <w:szCs w:val="22"/>
        </w:rPr>
        <w:t xml:space="preserve">La consultation du trafic temps réel, </w:t>
      </w:r>
      <w:r>
        <w:rPr>
          <w:color w:val="1A1A1A"/>
          <w:sz w:val="22"/>
          <w:szCs w:val="22"/>
        </w:rPr>
        <w:t xml:space="preserve">qui affiche sur une carte interactive l'état de circulation des principaux axes du Grand Libreville, mis à jour toutes les soixante secondes par le réseau de caméras et la collecte passive.</w:t>
      </w:r>
    </w:p>
    <w:p>
      <w:pPr>
        <w:spacing w:after="140" w:before="0" w:line="320"/>
        <w:ind w:left="200"/>
        <w:jc w:val="both"/>
      </w:pPr>
      <w:r>
        <w:rPr>
          <w:b/>
          <w:bCs/>
          <w:color w:val="B08B40"/>
          <w:sz w:val="22"/>
          <w:szCs w:val="22"/>
        </w:rPr>
        <w:t xml:space="preserve">La déclaration d'intentions, </w:t>
      </w:r>
      <w:r>
        <w:rPr>
          <w:color w:val="1A1A1A"/>
          <w:sz w:val="22"/>
          <w:szCs w:val="22"/>
        </w:rPr>
        <w:t xml:space="preserve">qui permet à l'utilisateur d'enregistrer en moins de vingt secondes un déplacement à venir (origine, destination, heure, moyen).</w:t>
      </w:r>
    </w:p>
    <w:p>
      <w:pPr>
        <w:spacing w:after="140" w:before="0" w:line="320"/>
        <w:ind w:left="200"/>
        <w:jc w:val="both"/>
      </w:pPr>
      <w:r>
        <w:rPr>
          <w:b/>
          <w:bCs/>
          <w:color w:val="B08B40"/>
          <w:sz w:val="22"/>
          <w:szCs w:val="22"/>
        </w:rPr>
        <w:t xml:space="preserve">Le routing multimodal, </w:t>
      </w:r>
      <w:r>
        <w:rPr>
          <w:color w:val="1A1A1A"/>
          <w:sz w:val="22"/>
          <w:szCs w:val="22"/>
        </w:rPr>
        <w:t xml:space="preserve">qui calcule l'itinéraire optimal pour une destination donnée en combinant marche, taxi, clando, bus Trans'Urb et véhicule personnel.</w:t>
      </w:r>
    </w:p>
    <w:p>
      <w:pPr>
        <w:spacing w:after="140" w:before="0" w:line="320"/>
        <w:ind w:left="200"/>
        <w:jc w:val="both"/>
      </w:pPr>
      <w:r>
        <w:rPr>
          <w:b/>
          <w:bCs/>
          <w:color w:val="B08B40"/>
          <w:sz w:val="22"/>
          <w:szCs w:val="22"/>
        </w:rPr>
        <w:t xml:space="preserve">Les recommandations contextuelles, </w:t>
      </w:r>
      <w:r>
        <w:rPr>
          <w:color w:val="1A1A1A"/>
          <w:sz w:val="22"/>
          <w:szCs w:val="22"/>
        </w:rPr>
        <w:t xml:space="preserve">qui suggèrent à l'utilisateur le meilleur horaire de départ, des partenaires de covoiturage de son quartier, et les fenêtres d'affluence faible aux destinations qu'il déclare.</w:t>
      </w:r>
    </w:p>
    <w:p>
      <w:pPr>
        <w:pStyle w:val="Heading2"/>
        <w:spacing w:after="120" w:before="320"/>
      </w:pPr>
      <w:r>
        <w:rPr>
          <w:b/>
          <w:bCs/>
          <w:color w:val="1F3A5F"/>
          <w:sz w:val="24"/>
          <w:szCs w:val="24"/>
        </w:rPr>
        <w:t xml:space="preserve">API et tableau de bord professionnel (interface B2B)</w:t>
      </w:r>
    </w:p>
    <w:p>
      <w:pPr>
        <w:spacing w:after="160" w:before="0" w:line="320"/>
        <w:jc w:val="both"/>
      </w:pPr>
      <w:r>
        <w:rPr>
          <w:color w:val="1A1A1A"/>
          <w:sz w:val="22"/>
          <w:szCs w:val="22"/>
        </w:rPr>
        <w:t xml:space="preserve">L'offre B2B comprend trois niveaux d'accès. Le niveau de base, accessible par API, fournit des appels temps réel sur la circulation, les temps de trajet et la prédiction de fréquentation. Le niveau intermédiaire ajoute un tableau de bord visuel et la possibilité de définir des alertes personnalisées. Le niveau premium permet l'analyse historique, l'export de données, et la simulation de scénarios.</w:t>
      </w:r>
    </w:p>
    <w:p>
      <w:pPr>
        <w:pStyle w:val="Heading2"/>
        <w:spacing w:after="120" w:before="320"/>
      </w:pPr>
      <w:r>
        <w:rPr>
          <w:b/>
          <w:bCs/>
          <w:color w:val="1F3A5F"/>
          <w:sz w:val="24"/>
          <w:szCs w:val="24"/>
        </w:rPr>
        <w:t xml:space="preserve">Cockpit institutionnel (interface B2G)</w:t>
      </w:r>
    </w:p>
    <w:p>
      <w:pPr>
        <w:spacing w:after="160" w:before="0" w:line="320"/>
        <w:jc w:val="both"/>
      </w:pPr>
      <w:r>
        <w:rPr>
          <w:color w:val="1A1A1A"/>
          <w:sz w:val="22"/>
          <w:szCs w:val="22"/>
        </w:rPr>
        <w:t xml:space="preserve">Le cockpit institutionnel est une application web sécurisée à laquelle accèdent uniquement les fonctionnaires autorisés des administrations clientes. Il comprend une carte temps réel de l'ensemble du trafic du Grand Libreville, des outils de simulation pour évaluer l'effet d'une fermeture de voirie ou d'un nouveau plan de circulation, des rapports mensuels téléchargeables sur l'évolution des flux, et un module d'alerte automatique en cas d'incident détecté par les caméras.</w:t>
      </w:r>
    </w:p>
    <w:p>
      <w:pPr>
        <w:pStyle w:val="Heading2"/>
        <w:spacing w:after="120" w:before="320"/>
      </w:pPr>
      <w:r>
        <w:rPr>
          <w:b/>
          <w:bCs/>
          <w:color w:val="1F3A5F"/>
          <w:sz w:val="24"/>
          <w:szCs w:val="24"/>
        </w:rPr>
        <w:t xml:space="preserve">Définition du MVP livrable à six mois</w:t>
      </w:r>
    </w:p>
    <w:p>
      <w:pPr>
        <w:spacing w:after="160" w:before="0" w:line="320"/>
        <w:jc w:val="both"/>
      </w:pPr>
      <w:r>
        <w:rPr>
          <w:color w:val="1A1A1A"/>
          <w:sz w:val="22"/>
          <w:szCs w:val="22"/>
        </w:rPr>
        <w:t xml:space="preserve">Le produit minimum viable livrable au sixième mois comprend la version Android de l'application citoyenne avec les quatre fonctions de base, dix caméras déployées sur les points noirs identifiés, l'API B2B niveau intermédiaire, et une première carte enrichie couvrant les axes principaux et les raccourcis prioritaires. Ce MVP est suffisant pour démarrer la commercialisation B2B et pour franchir les premiers seuils utilisateurs.</w:t>
      </w:r>
    </w:p>
    <w:p>
      <w:pPr>
        <w:pStyle w:val="Heading1"/>
        <w:pBdr>
          <w:top w:val="single" w:color="B08B40" w:sz="8" w:space="12"/>
        </w:pBdr>
        <w:spacing w:after="80" w:before="520"/>
        <w:jc w:val="left"/>
      </w:pPr>
      <w:r>
        <w:rPr>
          <w:b/>
          <w:bCs/>
          <w:color w:val="B08B40"/>
          <w:sz w:val="30"/>
          <w:szCs w:val="30"/>
        </w:rPr>
        <w:t xml:space="preserve">3.2  </w:t>
      </w:r>
      <w:r>
        <w:rPr>
          <w:b/>
          <w:bCs/>
          <w:color w:val="1F3A5F"/>
          <w:sz w:val="30"/>
          <w:szCs w:val="30"/>
        </w:rPr>
        <w:t xml:space="preserve">Feuille de route produit</w:t>
      </w:r>
    </w:p>
    <w:p>
      <w:pPr>
        <w:spacing w:after="160" w:before="0" w:line="320"/>
        <w:jc w:val="both"/>
      </w:pPr>
      <w:r>
        <w:rPr>
          <w:color w:val="1A1A1A"/>
          <w:sz w:val="22"/>
          <w:szCs w:val="22"/>
        </w:rPr>
        <w:t xml:space="preserve">La feuille de route produit s'organise en cinq jalons sur dix-huit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3A5F" w:val="clear"/>
            <w:tcMar>
              <w:top w:type="dxa" w:w="100"/>
              <w:left w:type="dxa" w:w="140"/>
              <w:bottom w:type="dxa" w:w="100"/>
              <w:right w:type="dxa" w:w="140"/>
            </w:tcMar>
          </w:tcPr>
          <w:p>
            <w:pPr>
              <w:spacing w:after="0" w:before="0" w:line="280"/>
              <w:jc w:val="left"/>
            </w:pPr>
            <w:r>
              <w:rPr>
                <w:b/>
                <w:bCs/>
                <w:color w:val="FFFFFF"/>
                <w:sz w:val="20"/>
                <w:szCs w:val="20"/>
              </w:rPr>
              <w:t xml:space="preserve">Jalon</w:t>
            </w:r>
          </w:p>
        </w:tc>
        <w:tc>
          <w:tcPr>
            <w:tcW w:type="dxa" w:w="3600"/>
            <w:shd w:fill="1F3A5F" w:val="clear"/>
            <w:tcMar>
              <w:top w:type="dxa" w:w="100"/>
              <w:left w:type="dxa" w:w="140"/>
              <w:bottom w:type="dxa" w:w="100"/>
              <w:right w:type="dxa" w:w="140"/>
            </w:tcMar>
          </w:tcPr>
          <w:p>
            <w:pPr>
              <w:spacing w:after="0" w:before="0" w:line="280"/>
              <w:jc w:val="left"/>
            </w:pPr>
            <w:r>
              <w:rPr>
                <w:b/>
                <w:bCs/>
                <w:color w:val="FFFFFF"/>
                <w:sz w:val="20"/>
                <w:szCs w:val="20"/>
              </w:rPr>
              <w:t xml:space="preserve">Périmètre livré</w:t>
            </w:r>
          </w:p>
        </w:tc>
        <w:tc>
          <w:tcPr>
            <w:tcW w:type="dxa" w:w="3600"/>
            <w:shd w:fill="1F3A5F" w:val="clear"/>
            <w:tcMar>
              <w:top w:type="dxa" w:w="100"/>
              <w:left w:type="dxa" w:w="140"/>
              <w:bottom w:type="dxa" w:w="100"/>
              <w:right w:type="dxa" w:w="140"/>
            </w:tcMar>
          </w:tcPr>
          <w:p>
            <w:pPr>
              <w:spacing w:after="0" w:before="0" w:line="280"/>
              <w:jc w:val="left"/>
            </w:pPr>
            <w:r>
              <w:rPr>
                <w:b/>
                <w:bCs/>
                <w:color w:val="FFFFFF"/>
                <w:sz w:val="20"/>
                <w:szCs w:val="20"/>
              </w:rPr>
              <w:t xml:space="preserve">Objectifs de traction</w:t>
            </w:r>
          </w:p>
        </w:tc>
      </w:tr>
      <w:tr>
        <w:tc>
          <w:tcPr>
            <w:tcW w:type="dxa" w:w="1800"/>
            <w:tcMar>
              <w:top w:type="dxa" w:w="100"/>
              <w:left w:type="dxa" w:w="140"/>
              <w:bottom w:type="dxa" w:w="100"/>
              <w:right w:type="dxa" w:w="140"/>
            </w:tcMar>
          </w:tcPr>
          <w:p>
            <w:pPr>
              <w:spacing w:after="0" w:before="0" w:line="280"/>
              <w:jc w:val="left"/>
            </w:pPr>
            <w:r>
              <w:rPr>
                <w:b/>
                <w:bCs/>
                <w:color w:val="1A1A1A"/>
                <w:sz w:val="20"/>
                <w:szCs w:val="20"/>
              </w:rPr>
              <w:t xml:space="preserve">Mois 3</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Application Android beta fermée. 3 caméras pilotes. Carte initiale et annuaire couvrant le centre-ville.</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500 utilisateurs invités. Premiers tests de déclarations. Premier POC API.</w:t>
            </w:r>
          </w:p>
        </w:tc>
      </w:tr>
      <w:tr>
        <w:tc>
          <w:tcPr>
            <w:tcW w:type="dxa" w:w="1800"/>
            <w:shd w:fill="F8F5EE" w:val="clear"/>
            <w:tcMar>
              <w:top w:type="dxa" w:w="100"/>
              <w:left w:type="dxa" w:w="140"/>
              <w:bottom w:type="dxa" w:w="100"/>
              <w:right w:type="dxa" w:w="140"/>
            </w:tcMar>
          </w:tcPr>
          <w:p>
            <w:pPr>
              <w:spacing w:after="0" w:before="0" w:line="280"/>
              <w:jc w:val="left"/>
            </w:pPr>
            <w:r>
              <w:rPr>
                <w:b/>
                <w:bCs/>
                <w:color w:val="1A1A1A"/>
                <w:sz w:val="20"/>
                <w:szCs w:val="20"/>
              </w:rPr>
              <w:t xml:space="preserve">Mois 6</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MVP complet. 10 caméras opérationnelles. API B2B publique. Couverture Libreville.</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10 000 utilisateurs actifs. 3 clients B2B payants. Premier rendez-vous DGT.</w:t>
            </w:r>
          </w:p>
        </w:tc>
      </w:tr>
      <w:tr>
        <w:tc>
          <w:tcPr>
            <w:tcW w:type="dxa" w:w="1800"/>
            <w:tcMar>
              <w:top w:type="dxa" w:w="100"/>
              <w:left w:type="dxa" w:w="140"/>
              <w:bottom w:type="dxa" w:w="100"/>
              <w:right w:type="dxa" w:w="140"/>
            </w:tcMar>
          </w:tcPr>
          <w:p>
            <w:pPr>
              <w:spacing w:after="0" w:before="0" w:line="280"/>
              <w:jc w:val="left"/>
            </w:pPr>
            <w:r>
              <w:rPr>
                <w:b/>
                <w:bCs/>
                <w:color w:val="1A1A1A"/>
                <w:sz w:val="20"/>
                <w:szCs w:val="20"/>
              </w:rPr>
              <w:t xml:space="preserve">Mois 9</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Version iOS. Routing multimodal. Premium B2C lancé. Premier dashboard B2G prototype.</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25 000 utilisateurs. 8 clients B2B. Pilote B2G avec la Mairie de Libreville.</w:t>
            </w:r>
          </w:p>
        </w:tc>
      </w:tr>
      <w:tr>
        <w:tc>
          <w:tcPr>
            <w:tcW w:type="dxa" w:w="1800"/>
            <w:shd w:fill="F8F5EE" w:val="clear"/>
            <w:tcMar>
              <w:top w:type="dxa" w:w="100"/>
              <w:left w:type="dxa" w:w="140"/>
              <w:bottom w:type="dxa" w:w="100"/>
              <w:right w:type="dxa" w:w="140"/>
            </w:tcMar>
          </w:tcPr>
          <w:p>
            <w:pPr>
              <w:spacing w:after="0" w:before="0" w:line="280"/>
              <w:jc w:val="left"/>
            </w:pPr>
            <w:r>
              <w:rPr>
                <w:b/>
                <w:bCs/>
                <w:color w:val="1A1A1A"/>
                <w:sz w:val="20"/>
                <w:szCs w:val="20"/>
              </w:rPr>
              <w:t xml:space="preserve">Mois 12</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Couverture Akanda et Owendo. 20 caméras. Simulation B2G. Module assurance.</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50 000 utilisateurs. 15 clients B2B. Premier contrat B2G signé.</w:t>
            </w:r>
          </w:p>
        </w:tc>
      </w:tr>
      <w:tr>
        <w:tc>
          <w:tcPr>
            <w:tcW w:type="dxa" w:w="1800"/>
            <w:tcMar>
              <w:top w:type="dxa" w:w="100"/>
              <w:left w:type="dxa" w:w="140"/>
              <w:bottom w:type="dxa" w:w="100"/>
              <w:right w:type="dxa" w:w="140"/>
            </w:tcMar>
          </w:tcPr>
          <w:p>
            <w:pPr>
              <w:spacing w:after="0" w:before="0" w:line="280"/>
              <w:jc w:val="left"/>
            </w:pPr>
            <w:r>
              <w:rPr>
                <w:b/>
                <w:bCs/>
                <w:color w:val="1A1A1A"/>
                <w:sz w:val="20"/>
                <w:szCs w:val="20"/>
              </w:rPr>
              <w:t xml:space="preserve">Mois 18</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30 caméras. Couverture Grand Libreville complète. PNDT et tramway intégrés.</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100 000 utilisateurs. 30 clients B2B. 2 contrats B2G. Préparation Series A.</w:t>
            </w:r>
          </w:p>
        </w:tc>
      </w:tr>
    </w:tbl>
    <w:p>
      <w:pPr>
        <w:pStyle w:val="Heading1"/>
        <w:pBdr>
          <w:top w:val="single" w:color="B08B40" w:sz="8" w:space="12"/>
        </w:pBdr>
        <w:spacing w:after="80" w:before="520"/>
        <w:jc w:val="left"/>
      </w:pPr>
      <w:r>
        <w:rPr>
          <w:b/>
          <w:bCs/>
          <w:color w:val="B08B40"/>
          <w:sz w:val="30"/>
          <w:szCs w:val="30"/>
        </w:rPr>
        <w:t xml:space="preserve">3.3  </w:t>
      </w:r>
      <w:r>
        <w:rPr>
          <w:b/>
          <w:bCs/>
          <w:color w:val="1F3A5F"/>
          <w:sz w:val="30"/>
          <w:szCs w:val="30"/>
        </w:rPr>
        <w:t xml:space="preserve">Indicateurs clés de performance</w:t>
      </w:r>
    </w:p>
    <w:p>
      <w:pPr>
        <w:spacing w:after="160" w:before="0" w:line="320"/>
        <w:jc w:val="both"/>
      </w:pPr>
      <w:r>
        <w:rPr>
          <w:color w:val="1A1A1A"/>
          <w:sz w:val="22"/>
          <w:szCs w:val="22"/>
        </w:rPr>
        <w:t xml:space="preserve">Six indicateurs sont suivis mensuellement par la direction et trimestriellement par les investisseurs.</w:t>
      </w:r>
    </w:p>
    <w:p>
      <w:pPr>
        <w:spacing w:after="140" w:before="0" w:line="320"/>
        <w:ind w:left="200"/>
        <w:jc w:val="both"/>
      </w:pPr>
      <w:r>
        <w:rPr>
          <w:b/>
          <w:bCs/>
          <w:color w:val="B08B40"/>
          <w:sz w:val="22"/>
          <w:szCs w:val="22"/>
        </w:rPr>
        <w:t xml:space="preserve">Utilisateurs actifs mensuels (MAU) </w:t>
      </w:r>
      <w:r>
        <w:rPr>
          <w:color w:val="1A1A1A"/>
          <w:sz w:val="22"/>
          <w:szCs w:val="22"/>
        </w:rPr>
        <w:t xml:space="preserve">qui mesure la masse critique. Cible 50 000 au mois 12, 100 000 au mois 18.</w:t>
      </w:r>
    </w:p>
    <w:p>
      <w:pPr>
        <w:spacing w:after="140" w:before="0" w:line="320"/>
        <w:ind w:left="200"/>
        <w:jc w:val="both"/>
      </w:pPr>
      <w:r>
        <w:rPr>
          <w:b/>
          <w:bCs/>
          <w:color w:val="B08B40"/>
          <w:sz w:val="22"/>
          <w:szCs w:val="22"/>
        </w:rPr>
        <w:t xml:space="preserve">Déclarations émises par utilisateur actif </w:t>
      </w:r>
      <w:r>
        <w:rPr>
          <w:color w:val="1A1A1A"/>
          <w:sz w:val="22"/>
          <w:szCs w:val="22"/>
        </w:rPr>
        <w:t xml:space="preserve">qui mesure l'engagement réel. Cible 4 déclarations par MAU par semaine au mois 12.</w:t>
      </w:r>
    </w:p>
    <w:p>
      <w:pPr>
        <w:spacing w:after="140" w:before="0" w:line="320"/>
        <w:ind w:left="200"/>
        <w:jc w:val="both"/>
      </w:pPr>
      <w:r>
        <w:rPr>
          <w:b/>
          <w:bCs/>
          <w:color w:val="B08B40"/>
          <w:sz w:val="22"/>
          <w:szCs w:val="22"/>
        </w:rPr>
        <w:t xml:space="preserve">Revenu mensuel récurrent B2B (MRR) </w:t>
      </w:r>
      <w:r>
        <w:rPr>
          <w:color w:val="1A1A1A"/>
          <w:sz w:val="22"/>
          <w:szCs w:val="22"/>
        </w:rPr>
        <w:t xml:space="preserve">qui mesure la traction commerciale. Cible 5 millions FCFA au mois 12, 12 millions au mois 18.</w:t>
      </w:r>
    </w:p>
    <w:p>
      <w:pPr>
        <w:spacing w:after="140" w:before="0" w:line="320"/>
        <w:ind w:left="200"/>
        <w:jc w:val="both"/>
      </w:pPr>
      <w:r>
        <w:rPr>
          <w:b/>
          <w:bCs/>
          <w:color w:val="B08B40"/>
          <w:sz w:val="22"/>
          <w:szCs w:val="22"/>
        </w:rPr>
        <w:t xml:space="preserve">Coût d'acquisition utilisateur (CAC) </w:t>
      </w:r>
      <w:r>
        <w:rPr>
          <w:color w:val="1A1A1A"/>
          <w:sz w:val="22"/>
          <w:szCs w:val="22"/>
        </w:rPr>
        <w:t xml:space="preserve">qui mesure l'efficacité marketing. Cible inférieur à 800 FCFA par utilisateur acquis.</w:t>
      </w:r>
    </w:p>
    <w:p>
      <w:pPr>
        <w:spacing w:after="140" w:before="0" w:line="320"/>
        <w:ind w:left="200"/>
        <w:jc w:val="both"/>
      </w:pPr>
      <w:r>
        <w:rPr>
          <w:b/>
          <w:bCs/>
          <w:color w:val="B08B40"/>
          <w:sz w:val="22"/>
          <w:szCs w:val="22"/>
        </w:rPr>
        <w:t xml:space="preserve">Précision des prédictions de trafic (MAPE) </w:t>
      </w:r>
      <w:r>
        <w:rPr>
          <w:color w:val="1A1A1A"/>
          <w:sz w:val="22"/>
          <w:szCs w:val="22"/>
        </w:rPr>
        <w:t xml:space="preserve">qui mesure la qualité technique. Cible inférieur à 18 % d'erreur moyenne au mois 12.</w:t>
      </w:r>
    </w:p>
    <w:p>
      <w:pPr>
        <w:spacing w:after="140" w:before="0" w:line="320"/>
        <w:ind w:left="200"/>
        <w:jc w:val="both"/>
      </w:pPr>
      <w:r>
        <w:rPr>
          <w:b/>
          <w:bCs/>
          <w:color w:val="B08B40"/>
          <w:sz w:val="22"/>
          <w:szCs w:val="22"/>
        </w:rPr>
        <w:t xml:space="preserve">Net Promoter Score (NPS) </w:t>
      </w:r>
      <w:r>
        <w:rPr>
          <w:color w:val="1A1A1A"/>
          <w:sz w:val="22"/>
          <w:szCs w:val="22"/>
        </w:rPr>
        <w:t xml:space="preserve">qui mesure la satisfaction. Cible supérieur à 40 sur les utilisateurs actifs.</w:t>
      </w:r>
    </w:p>
    <w:p>
      <w:r>
        <w:br w:type="page"/>
      </w:r>
    </w:p>
    <w:p>
      <w:pPr>
        <w:spacing w:after="2400" w:before="0"/>
      </w:pPr>
      <w:r>
        <w:t xml:space="preserve"/>
      </w:r>
    </w:p>
    <w:p>
      <w:pPr>
        <w:spacing w:after="80" w:before="0"/>
        <w:jc w:val="center"/>
      </w:pPr>
      <w:r>
        <w:rPr>
          <w:b/>
          <w:bCs/>
          <w:color w:val="B08B40"/>
          <w:spacing w:val="120"/>
          <w:sz w:val="28"/>
          <w:szCs w:val="28"/>
        </w:rPr>
        <w:t xml:space="preserve">PARTIE IV</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L'opérationnel</w:t>
      </w:r>
    </w:p>
    <w:p>
      <w:r>
        <w:br w:type="page"/>
      </w:r>
    </w:p>
    <w:p>
      <w:pPr>
        <w:pStyle w:val="Heading1"/>
        <w:pBdr>
          <w:top w:val="single" w:color="B08B40" w:sz="8" w:space="12"/>
        </w:pBdr>
        <w:spacing w:after="80" w:before="520"/>
        <w:jc w:val="left"/>
      </w:pPr>
      <w:r>
        <w:rPr>
          <w:b/>
          <w:bCs/>
          <w:color w:val="B08B40"/>
          <w:sz w:val="30"/>
          <w:szCs w:val="30"/>
        </w:rPr>
        <w:t xml:space="preserve">4.1  </w:t>
      </w:r>
      <w:r>
        <w:rPr>
          <w:b/>
          <w:bCs/>
          <w:color w:val="1F3A5F"/>
          <w:sz w:val="30"/>
          <w:szCs w:val="30"/>
        </w:rPr>
        <w:t xml:space="preserve">Chaîne de valeur et processus critiques</w:t>
      </w:r>
    </w:p>
    <w:p>
      <w:pPr>
        <w:spacing w:after="160" w:before="0" w:line="320"/>
        <w:jc w:val="both"/>
      </w:pPr>
      <w:r>
        <w:rPr>
          <w:color w:val="1A1A1A"/>
          <w:sz w:val="22"/>
          <w:szCs w:val="22"/>
        </w:rPr>
        <w:t xml:space="preserve">La chaîne de valeur de l'entreprise s'articule en cinq maillons qui transforment la donnée brute en service vendu.</w:t>
      </w:r>
    </w:p>
    <w:p>
      <w:pPr>
        <w:pStyle w:val="Heading2"/>
        <w:spacing w:after="120" w:before="320"/>
      </w:pPr>
      <w:r>
        <w:rPr>
          <w:b/>
          <w:bCs/>
          <w:color w:val="1F3A5F"/>
          <w:sz w:val="24"/>
          <w:szCs w:val="24"/>
        </w:rPr>
        <w:t xml:space="preserve">Maillon 1 : la collecte de données</w:t>
      </w:r>
    </w:p>
    <w:p>
      <w:pPr>
        <w:spacing w:after="160" w:before="0" w:line="320"/>
        <w:jc w:val="both"/>
      </w:pPr>
      <w:r>
        <w:rPr>
          <w:color w:val="1A1A1A"/>
          <w:sz w:val="22"/>
          <w:szCs w:val="22"/>
        </w:rPr>
        <w:t xml:space="preserve">Trois sources de données alimentent la plateforme. La première est le réseau de caméras edge déployées physiquement aux points noirs identifiés du Grand Libreville. La deuxième est l'application mobile qui collecte passivement et avec consentement les traces GPS de ses utilisateurs lorsqu'ils se déplacent avec elle ouverte. La troisième est l'ensemble des partenariats négociés avec des opérateurs de flotte (Trans'Urb pour les bus publics, taxis formels avec compteur, sociétés de livraison). Le processus critique de ce maillon est la maintenance opérationnelle des caméras, qui suppose une équipe terrain capable d'intervenir physiquement dans un délai de 48 heures sur n'importe quel point de la ville.</w:t>
      </w:r>
    </w:p>
    <w:p>
      <w:pPr>
        <w:pStyle w:val="Heading2"/>
        <w:spacing w:after="120" w:before="320"/>
      </w:pPr>
      <w:r>
        <w:rPr>
          <w:b/>
          <w:bCs/>
          <w:color w:val="1F3A5F"/>
          <w:sz w:val="24"/>
          <w:szCs w:val="24"/>
        </w:rPr>
        <w:t xml:space="preserve">Maillon 2 : l'ingestion et le stockage</w:t>
      </w:r>
    </w:p>
    <w:p>
      <w:pPr>
        <w:spacing w:after="160" w:before="0" w:line="320"/>
        <w:jc w:val="both"/>
      </w:pPr>
      <w:r>
        <w:rPr>
          <w:color w:val="1A1A1A"/>
          <w:sz w:val="22"/>
          <w:szCs w:val="22"/>
        </w:rPr>
        <w:t xml:space="preserve">Les données entrantes sont ingérées par un pipeline temps réel, normalisées (parce que les sources produisent des formats hétérogènes) et stockées dans deux types d'entrepôts. Un stockage chaud pour les requêtes opérationnelles instantanées, et un data lake pour l'entraînement des modèles et l'analyse historique. Le processus critique est la fiabilité du pipeline : toute interruption supérieure à dix minutes dégrade la qualité du service rendu aux utilisateurs.</w:t>
      </w:r>
    </w:p>
    <w:p>
      <w:pPr>
        <w:pStyle w:val="Heading2"/>
        <w:spacing w:after="120" w:before="320"/>
      </w:pPr>
      <w:r>
        <w:rPr>
          <w:b/>
          <w:bCs/>
          <w:color w:val="1F3A5F"/>
          <w:sz w:val="24"/>
          <w:szCs w:val="24"/>
        </w:rPr>
        <w:t xml:space="preserve">Maillon 3 : l'intelligence</w:t>
      </w:r>
    </w:p>
    <w:p>
      <w:pPr>
        <w:spacing w:after="160" w:before="0" w:line="320"/>
        <w:jc w:val="both"/>
      </w:pPr>
      <w:r>
        <w:rPr>
          <w:color w:val="1A1A1A"/>
          <w:sz w:val="22"/>
          <w:szCs w:val="22"/>
        </w:rPr>
        <w:t xml:space="preserve">Quatre modules d'intelligence transforment les données en information actionnable. La vision par ordinateur analyse les flux des caméras pour compter les véhicules et détecter les incidents. La prédiction temporelle anticipe l'évolution du trafic. Le routing multimodal calcule les itinéraires optimaux. La simulation permet d'évaluer des scénarios. Le processus critique est l'entraînement et le maintien à jour des modèles, qui doit être hebdomadaire pour conserver une qualité acceptable face à la dérive naturelle des comportements.</w:t>
      </w:r>
    </w:p>
    <w:p>
      <w:pPr>
        <w:pStyle w:val="Heading2"/>
        <w:spacing w:after="120" w:before="320"/>
      </w:pPr>
      <w:r>
        <w:rPr>
          <w:b/>
          <w:bCs/>
          <w:color w:val="1F3A5F"/>
          <w:sz w:val="24"/>
          <w:szCs w:val="24"/>
        </w:rPr>
        <w:t xml:space="preserve">Maillon 4 : la distribution</w:t>
      </w:r>
    </w:p>
    <w:p>
      <w:pPr>
        <w:spacing w:after="160" w:before="0" w:line="320"/>
        <w:jc w:val="both"/>
      </w:pPr>
      <w:r>
        <w:rPr>
          <w:color w:val="1A1A1A"/>
          <w:sz w:val="22"/>
          <w:szCs w:val="22"/>
        </w:rPr>
        <w:t xml:space="preserve">Trois canaux de distribution servent les trois segments. L'application mobile distribue le service au grand public via les magasins d'applications. L'API distribue le service aux entreprises via un portail développeur et des contrats commerciaux. Le cockpit institutionnel distribue le service aux administrations via une installation supervisée et un contrat de service-niveau. Le processus critique est la disponibilité de service, mesurée par un taux de disponibilité contractuel de 99,5 % minimum sur le B2B et le B2G.</w:t>
      </w:r>
    </w:p>
    <w:p>
      <w:pPr>
        <w:pStyle w:val="Heading2"/>
        <w:spacing w:after="120" w:before="320"/>
      </w:pPr>
      <w:r>
        <w:rPr>
          <w:b/>
          <w:bCs/>
          <w:color w:val="1F3A5F"/>
          <w:sz w:val="24"/>
          <w:szCs w:val="24"/>
        </w:rPr>
        <w:t xml:space="preserve">Maillon 5 : la facturation et la relation client</w:t>
      </w:r>
    </w:p>
    <w:p>
      <w:pPr>
        <w:spacing w:after="160" w:before="0" w:line="320"/>
        <w:jc w:val="both"/>
      </w:pPr>
      <w:r>
        <w:rPr>
          <w:color w:val="1A1A1A"/>
          <w:sz w:val="22"/>
          <w:szCs w:val="22"/>
        </w:rPr>
        <w:t xml:space="preserve">La facturation B2C utilise les rails de paiement existants au Gabon, à savoir Airtel Money, Moov Money et le paiement par carte bancaire pour les utilisateurs équipés. La facturation B2B utilise le virement bancaire avec contrats trimestriels ou annuels. La facturation B2G utilise les processus administratifs gabonais avec leurs délais propres. Le processus critique est le pilotage de la trésorerie B2G, dont les délais de paiement peuvent atteindre six à douze mois et constituent le principal risque opérationnel de l'entreprise.</w:t>
      </w:r>
    </w:p>
    <w:p>
      <w:pPr>
        <w:pStyle w:val="Heading1"/>
        <w:pBdr>
          <w:top w:val="single" w:color="B08B40" w:sz="8" w:space="12"/>
        </w:pBdr>
        <w:spacing w:after="80" w:before="520"/>
        <w:jc w:val="left"/>
      </w:pPr>
      <w:r>
        <w:rPr>
          <w:b/>
          <w:bCs/>
          <w:color w:val="B08B40"/>
          <w:sz w:val="30"/>
          <w:szCs w:val="30"/>
        </w:rPr>
        <w:t xml:space="preserve">4.2  </w:t>
      </w:r>
      <w:r>
        <w:rPr>
          <w:b/>
          <w:bCs/>
          <w:color w:val="1F3A5F"/>
          <w:sz w:val="30"/>
          <w:szCs w:val="30"/>
        </w:rPr>
        <w:t xml:space="preserve">Partenaires stratégiques et fournisseurs</w:t>
      </w:r>
    </w:p>
    <w:p>
      <w:pPr>
        <w:spacing w:after="160" w:before="0" w:line="320"/>
        <w:jc w:val="both"/>
      </w:pPr>
      <w:r>
        <w:rPr>
          <w:color w:val="1A1A1A"/>
          <w:sz w:val="22"/>
          <w:szCs w:val="22"/>
        </w:rPr>
        <w:t xml:space="preserve">Plusieurs catégories de partenaires sont nécessaires au déploiement et au fonctionnement de la plateforme.</w:t>
      </w:r>
    </w:p>
    <w:p>
      <w:pPr>
        <w:pStyle w:val="Heading2"/>
        <w:spacing w:after="120" w:before="320"/>
      </w:pPr>
      <w:r>
        <w:rPr>
          <w:b/>
          <w:bCs/>
          <w:color w:val="1F3A5F"/>
          <w:sz w:val="24"/>
          <w:szCs w:val="24"/>
        </w:rPr>
        <w:t xml:space="preserve">Partenaires institutionnels</w:t>
      </w:r>
    </w:p>
    <w:p>
      <w:pPr>
        <w:spacing w:after="160" w:before="0" w:line="320"/>
        <w:jc w:val="both"/>
      </w:pPr>
      <w:r>
        <w:rPr>
          <w:color w:val="1A1A1A"/>
          <w:sz w:val="22"/>
          <w:szCs w:val="22"/>
        </w:rPr>
        <w:t xml:space="preserve">Trois partenaires institutionnels sont indispensables. La Mairie de Libreville pour les autorisations d'installation des caméras sur le domaine public et pour le futur contrat B2G. La Direction générale des Transports terrestres pour l'agrément en tant qu'opérateur de données de mobilité. La Société d'incubation numérique du Gabon (SING), principal incubateur du pays selon son rapport 2025 ayant accompagné 75 % des 56 startups marquantes des dix dernières années, comme passage obligé pour l'intégration à l'écosystème national.</w:t>
      </w:r>
    </w:p>
    <w:p>
      <w:pPr>
        <w:pStyle w:val="Heading2"/>
        <w:spacing w:after="120" w:before="320"/>
      </w:pPr>
      <w:r>
        <w:rPr>
          <w:b/>
          <w:bCs/>
          <w:color w:val="1F3A5F"/>
          <w:sz w:val="24"/>
          <w:szCs w:val="24"/>
        </w:rPr>
        <w:t xml:space="preserve">Partenaires opérationnels</w:t>
      </w:r>
    </w:p>
    <w:p>
      <w:pPr>
        <w:spacing w:after="160" w:before="0" w:line="320"/>
        <w:jc w:val="both"/>
      </w:pPr>
      <w:r>
        <w:rPr>
          <w:color w:val="1A1A1A"/>
          <w:sz w:val="22"/>
          <w:szCs w:val="22"/>
        </w:rPr>
        <w:t xml:space="preserve">Quatre partenaires opérationnels structurent la chaîne. Trans'Urb pour la mise à disposition de données GPS de la flotte de bus publics, en échange de l'intégration de la plateforme à leur outil de pilotage. La SEEG pour l'alimentation électrique des caméras déployées sur le domaine public. Airtel Gabon et Moov Africa pour les forfaits data de connexion des caméras et pour les rails de paiement mobile money. Au moins une grande entreprise privée (BGFI Holding, Olam Gabon, TotalEnergies Marketing Gabon) comme partenaire pilote pour le déploiement initial auprès de ses employés.</w:t>
      </w:r>
    </w:p>
    <w:p>
      <w:pPr>
        <w:pStyle w:val="Heading2"/>
        <w:spacing w:after="120" w:before="320"/>
      </w:pPr>
      <w:r>
        <w:rPr>
          <w:b/>
          <w:bCs/>
          <w:color w:val="1F3A5F"/>
          <w:sz w:val="24"/>
          <w:szCs w:val="24"/>
        </w:rPr>
        <w:t xml:space="preserve">Partenaires financiers</w:t>
      </w:r>
    </w:p>
    <w:p>
      <w:pPr>
        <w:spacing w:after="160" w:before="0" w:line="320"/>
        <w:jc w:val="both"/>
      </w:pPr>
      <w:r>
        <w:rPr>
          <w:color w:val="1A1A1A"/>
          <w:sz w:val="22"/>
          <w:szCs w:val="22"/>
        </w:rPr>
        <w:t xml:space="preserve">Deux familles de partenaires financiers sont à mobiliser. Les fonds d'investissement, avec en priorité Saviu Ventures dont les tickets (500 000 à 3 millions d'euros) correspondent à notre besoin, suivi par Partech Africa, TLcom Capital, Janngo Capital, Norrsken22 et Proparco. Les business angels locaux, parmi lesquels la diaspora gabonaise du numérique et un ou deux opérateurs économiques majeurs de Libreville susceptibles d'apporter à la fois du capital et de l'introduction institutionnelle.</w:t>
      </w:r>
    </w:p>
    <w:p>
      <w:pPr>
        <w:pStyle w:val="Heading2"/>
        <w:spacing w:after="120" w:before="320"/>
      </w:pPr>
      <w:r>
        <w:rPr>
          <w:b/>
          <w:bCs/>
          <w:color w:val="1F3A5F"/>
          <w:sz w:val="24"/>
          <w:szCs w:val="24"/>
        </w:rPr>
        <w:t xml:space="preserve">Fournisseurs techniques critiques</w:t>
      </w:r>
    </w:p>
    <w:p>
      <w:pPr>
        <w:spacing w:after="160" w:before="0" w:line="320"/>
        <w:jc w:val="both"/>
      </w:pPr>
      <w:r>
        <w:rPr>
          <w:color w:val="1A1A1A"/>
          <w:sz w:val="22"/>
          <w:szCs w:val="22"/>
        </w:rPr>
        <w:t xml:space="preserve">Trois familles de fournisseurs. Le matériel caméras, idéalement sourcé chez un fabricant chinois spécialisé dans l'edge AI pour conserver un coût unitaire compatible avec notre modèle économique. Les services cloud (stockage, calcul, hébergement) avec une préférence pour des solutions disposant d'une présence en Afrique pour la latence et la conformité aux exigences de localisation des données qui pourraient émerger. Les outils logiciels (gestion de projet, communication, comptabilité) standard du marché.</w:t>
      </w:r>
    </w:p>
    <w:p>
      <w:pPr>
        <w:pStyle w:val="Heading1"/>
        <w:pBdr>
          <w:top w:val="single" w:color="B08B40" w:sz="8" w:space="12"/>
        </w:pBdr>
        <w:spacing w:after="80" w:before="520"/>
        <w:jc w:val="left"/>
      </w:pPr>
      <w:r>
        <w:rPr>
          <w:b/>
          <w:bCs/>
          <w:color w:val="B08B40"/>
          <w:sz w:val="30"/>
          <w:szCs w:val="30"/>
        </w:rPr>
        <w:t xml:space="preserve">4.3  </w:t>
      </w:r>
      <w:r>
        <w:rPr>
          <w:b/>
          <w:bCs/>
          <w:color w:val="1F3A5F"/>
          <w:sz w:val="30"/>
          <w:szCs w:val="30"/>
        </w:rPr>
        <w:t xml:space="preserve">Risques opérationnels et mitigations</w:t>
      </w:r>
    </w:p>
    <w:p>
      <w:pPr>
        <w:spacing w:after="160" w:before="0" w:line="320"/>
        <w:jc w:val="both"/>
      </w:pPr>
      <w:r>
        <w:rPr>
          <w:color w:val="1A1A1A"/>
          <w:sz w:val="22"/>
          <w:szCs w:val="22"/>
        </w:rPr>
        <w:t xml:space="preserve">Six risques opérationnels majeurs sont identifiés et associés à des stratégies de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600"/>
      </w:tblGrid>
      <w:tr>
        <w:trPr>
          <w:tblHeader/>
        </w:trPr>
        <w:tc>
          <w:tcPr>
            <w:tcW w:type="dxa" w:w="2400"/>
            <w:shd w:fill="1F3A5F" w:val="clear"/>
            <w:tcMar>
              <w:top w:type="dxa" w:w="100"/>
              <w:left w:type="dxa" w:w="140"/>
              <w:bottom w:type="dxa" w:w="100"/>
              <w:right w:type="dxa" w:w="140"/>
            </w:tcMar>
          </w:tcPr>
          <w:p>
            <w:pPr>
              <w:spacing w:after="0" w:before="0" w:line="280"/>
              <w:jc w:val="left"/>
            </w:pPr>
            <w:r>
              <w:rPr>
                <w:b/>
                <w:bCs/>
                <w:color w:val="FFFFFF"/>
                <w:sz w:val="20"/>
                <w:szCs w:val="20"/>
              </w:rPr>
              <w:t xml:space="preserve">Risque</w:t>
            </w:r>
          </w:p>
        </w:tc>
        <w:tc>
          <w:tcPr>
            <w:tcW w:type="dxa" w:w="1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Probabilité</w:t>
            </w:r>
          </w:p>
        </w:tc>
        <w:tc>
          <w:tcPr>
            <w:tcW w:type="dxa" w:w="15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Impact</w:t>
            </w:r>
          </w:p>
        </w:tc>
        <w:tc>
          <w:tcPr>
            <w:tcW w:type="dxa" w:w="3600"/>
            <w:shd w:fill="1F3A5F" w:val="clear"/>
            <w:tcMar>
              <w:top w:type="dxa" w:w="100"/>
              <w:left w:type="dxa" w:w="140"/>
              <w:bottom w:type="dxa" w:w="100"/>
              <w:right w:type="dxa" w:w="140"/>
            </w:tcMar>
          </w:tcPr>
          <w:p>
            <w:pPr>
              <w:spacing w:after="0" w:before="0" w:line="280"/>
              <w:jc w:val="left"/>
            </w:pPr>
            <w:r>
              <w:rPr>
                <w:b/>
                <w:bCs/>
                <w:color w:val="FFFFFF"/>
                <w:sz w:val="20"/>
                <w:szCs w:val="20"/>
              </w:rPr>
              <w:t xml:space="preserve">Mitigation</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Vandalisme ou vol des caméras</w:t>
            </w:r>
          </w:p>
        </w:tc>
        <w:tc>
          <w:tcPr>
            <w:tcW w:type="dxa" w:w="1500"/>
            <w:tcMar>
              <w:top w:type="dxa" w:w="100"/>
              <w:left w:type="dxa" w:w="140"/>
              <w:bottom w:type="dxa" w:w="100"/>
              <w:right w:type="dxa" w:w="140"/>
            </w:tcMar>
          </w:tcPr>
          <w:p>
            <w:pPr>
              <w:spacing w:after="0" w:before="0" w:line="280"/>
              <w:jc w:val="center"/>
            </w:pPr>
            <w:r>
              <w:rPr>
                <w:b/>
                <w:bCs/>
                <w:color w:val="A32D2D"/>
                <w:sz w:val="20"/>
                <w:szCs w:val="20"/>
              </w:rPr>
              <w:t xml:space="preserve">Élevée</w:t>
            </w:r>
          </w:p>
        </w:tc>
        <w:tc>
          <w:tcPr>
            <w:tcW w:type="dxa" w:w="1500"/>
            <w:tcMar>
              <w:top w:type="dxa" w:w="100"/>
              <w:left w:type="dxa" w:w="140"/>
              <w:bottom w:type="dxa" w:w="100"/>
              <w:right w:type="dxa" w:w="140"/>
            </w:tcMar>
          </w:tcPr>
          <w:p>
            <w:pPr>
              <w:spacing w:after="0" w:before="0" w:line="280"/>
              <w:jc w:val="center"/>
            </w:pPr>
            <w:r>
              <w:rPr>
                <w:b w:val="false"/>
                <w:bCs w:val="false"/>
                <w:color w:val="1A1A1A"/>
                <w:sz w:val="20"/>
                <w:szCs w:val="20"/>
              </w:rPr>
              <w:t xml:space="preserve">Moyen</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Démarrage sur emplacements privés (stations-service, centres commerciaux), puis domaine public sécurisé. Caméras renforcées. Stock de remplacement permanent.</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Retards de paiement B2G</w:t>
            </w:r>
          </w:p>
        </w:tc>
        <w:tc>
          <w:tcPr>
            <w:tcW w:type="dxa" w:w="1500"/>
            <w:shd w:fill="F8F5EE" w:val="clear"/>
            <w:tcMar>
              <w:top w:type="dxa" w:w="100"/>
              <w:left w:type="dxa" w:w="140"/>
              <w:bottom w:type="dxa" w:w="100"/>
              <w:right w:type="dxa" w:w="140"/>
            </w:tcMar>
          </w:tcPr>
          <w:p>
            <w:pPr>
              <w:spacing w:after="0" w:before="0" w:line="280"/>
              <w:jc w:val="center"/>
            </w:pPr>
            <w:r>
              <w:rPr>
                <w:b/>
                <w:bCs/>
                <w:color w:val="A32D2D"/>
                <w:sz w:val="20"/>
                <w:szCs w:val="20"/>
              </w:rPr>
              <w:t xml:space="preserve">Élevée</w:t>
            </w:r>
          </w:p>
        </w:tc>
        <w:tc>
          <w:tcPr>
            <w:tcW w:type="dxa" w:w="1500"/>
            <w:shd w:fill="F8F5EE" w:val="clear"/>
            <w:tcMar>
              <w:top w:type="dxa" w:w="100"/>
              <w:left w:type="dxa" w:w="140"/>
              <w:bottom w:type="dxa" w:w="100"/>
              <w:right w:type="dxa" w:w="140"/>
            </w:tcMar>
          </w:tcPr>
          <w:p>
            <w:pPr>
              <w:spacing w:after="0" w:before="0" w:line="280"/>
              <w:jc w:val="center"/>
            </w:pPr>
            <w:r>
              <w:rPr>
                <w:b/>
                <w:bCs/>
                <w:color w:val="A32D2D"/>
                <w:sz w:val="20"/>
                <w:szCs w:val="20"/>
              </w:rPr>
              <w:t xml:space="preserve">Élevé</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Trésorerie B2B comme socle. Acomptes contractuels exigés. Affacturage pour créances publiques.</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Difficulté de recrutement ML senior</w:t>
            </w:r>
          </w:p>
        </w:tc>
        <w:tc>
          <w:tcPr>
            <w:tcW w:type="dxa" w:w="1500"/>
            <w:tcMar>
              <w:top w:type="dxa" w:w="100"/>
              <w:left w:type="dxa" w:w="140"/>
              <w:bottom w:type="dxa" w:w="100"/>
              <w:right w:type="dxa" w:w="140"/>
            </w:tcMar>
          </w:tcPr>
          <w:p>
            <w:pPr>
              <w:spacing w:after="0" w:before="0" w:line="280"/>
              <w:jc w:val="center"/>
            </w:pPr>
            <w:r>
              <w:rPr>
                <w:b/>
                <w:bCs/>
                <w:color w:val="BA7517"/>
                <w:sz w:val="20"/>
                <w:szCs w:val="20"/>
              </w:rPr>
              <w:t xml:space="preserve">Moyenne</w:t>
            </w:r>
          </w:p>
        </w:tc>
        <w:tc>
          <w:tcPr>
            <w:tcW w:type="dxa" w:w="1500"/>
            <w:tcMar>
              <w:top w:type="dxa" w:w="100"/>
              <w:left w:type="dxa" w:w="140"/>
              <w:bottom w:type="dxa" w:w="100"/>
              <w:right w:type="dxa" w:w="140"/>
            </w:tcMar>
          </w:tcPr>
          <w:p>
            <w:pPr>
              <w:spacing w:after="0" w:before="0" w:line="280"/>
              <w:jc w:val="center"/>
            </w:pPr>
            <w:r>
              <w:rPr>
                <w:b/>
                <w:bCs/>
                <w:color w:val="A32D2D"/>
                <w:sz w:val="20"/>
                <w:szCs w:val="20"/>
              </w:rPr>
              <w:t xml:space="preserve">Élevé</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Recrutement en remote sur diaspora et Afrique du Nord. Stock options attractives. Partenariat université Omar Bongo.</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Instabilité politique</w:t>
            </w:r>
          </w:p>
        </w:tc>
        <w:tc>
          <w:tcPr>
            <w:tcW w:type="dxa" w:w="1500"/>
            <w:shd w:fill="F8F5EE" w:val="clear"/>
            <w:tcMar>
              <w:top w:type="dxa" w:w="100"/>
              <w:left w:type="dxa" w:w="140"/>
              <w:bottom w:type="dxa" w:w="100"/>
              <w:right w:type="dxa" w:w="140"/>
            </w:tcMar>
          </w:tcPr>
          <w:p>
            <w:pPr>
              <w:spacing w:after="0" w:before="0" w:line="280"/>
              <w:jc w:val="center"/>
            </w:pPr>
            <w:r>
              <w:rPr>
                <w:b/>
                <w:bCs/>
                <w:color w:val="0F6E56"/>
                <w:sz w:val="20"/>
                <w:szCs w:val="20"/>
              </w:rPr>
              <w:t xml:space="preserve">Faible</w:t>
            </w:r>
          </w:p>
        </w:tc>
        <w:tc>
          <w:tcPr>
            <w:tcW w:type="dxa" w:w="1500"/>
            <w:shd w:fill="F8F5EE" w:val="clear"/>
            <w:tcMar>
              <w:top w:type="dxa" w:w="100"/>
              <w:left w:type="dxa" w:w="140"/>
              <w:bottom w:type="dxa" w:w="100"/>
              <w:right w:type="dxa" w:w="140"/>
            </w:tcMar>
          </w:tcPr>
          <w:p>
            <w:pPr>
              <w:spacing w:after="0" w:before="0" w:line="280"/>
              <w:jc w:val="center"/>
            </w:pPr>
            <w:r>
              <w:rPr>
                <w:b/>
                <w:bCs/>
                <w:color w:val="A32D2D"/>
                <w:sz w:val="20"/>
                <w:szCs w:val="20"/>
              </w:rPr>
              <w:t xml:space="preserve">Élevé</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Structure juridique offshore. Diversification précoce vers Cameroun et Congo. Liens institutionnels multiples.</w:t>
            </w:r>
          </w:p>
        </w:tc>
      </w:tr>
      <w:tr>
        <w:tc>
          <w:tcPr>
            <w:tcW w:type="dxa" w:w="2400"/>
            <w:tcMar>
              <w:top w:type="dxa" w:w="100"/>
              <w:left w:type="dxa" w:w="140"/>
              <w:bottom w:type="dxa" w:w="100"/>
              <w:right w:type="dxa" w:w="140"/>
            </w:tcMar>
          </w:tcPr>
          <w:p>
            <w:pPr>
              <w:spacing w:after="0" w:before="0" w:line="280"/>
              <w:jc w:val="left"/>
            </w:pPr>
            <w:r>
              <w:rPr>
                <w:b/>
                <w:bCs/>
                <w:color w:val="1A1A1A"/>
                <w:sz w:val="20"/>
                <w:szCs w:val="20"/>
              </w:rPr>
              <w:t xml:space="preserve">Coupures électriques et connectivité</w:t>
            </w:r>
          </w:p>
        </w:tc>
        <w:tc>
          <w:tcPr>
            <w:tcW w:type="dxa" w:w="1500"/>
            <w:tcMar>
              <w:top w:type="dxa" w:w="100"/>
              <w:left w:type="dxa" w:w="140"/>
              <w:bottom w:type="dxa" w:w="100"/>
              <w:right w:type="dxa" w:w="140"/>
            </w:tcMar>
          </w:tcPr>
          <w:p>
            <w:pPr>
              <w:spacing w:after="0" w:before="0" w:line="280"/>
              <w:jc w:val="center"/>
            </w:pPr>
            <w:r>
              <w:rPr>
                <w:b/>
                <w:bCs/>
                <w:color w:val="A32D2D"/>
                <w:sz w:val="20"/>
                <w:szCs w:val="20"/>
              </w:rPr>
              <w:t xml:space="preserve">Élevée</w:t>
            </w:r>
          </w:p>
        </w:tc>
        <w:tc>
          <w:tcPr>
            <w:tcW w:type="dxa" w:w="1500"/>
            <w:tcMar>
              <w:top w:type="dxa" w:w="100"/>
              <w:left w:type="dxa" w:w="140"/>
              <w:bottom w:type="dxa" w:w="100"/>
              <w:right w:type="dxa" w:w="140"/>
            </w:tcMar>
          </w:tcPr>
          <w:p>
            <w:pPr>
              <w:spacing w:after="0" w:before="0" w:line="280"/>
              <w:jc w:val="center"/>
            </w:pPr>
            <w:r>
              <w:rPr>
                <w:b w:val="false"/>
                <w:bCs w:val="false"/>
                <w:color w:val="1A1A1A"/>
                <w:sz w:val="20"/>
                <w:szCs w:val="20"/>
              </w:rPr>
              <w:t xml:space="preserve">Moyen</w:t>
            </w:r>
          </w:p>
        </w:tc>
        <w:tc>
          <w:tcPr>
            <w:tcW w:type="dxa" w:w="3600"/>
            <w:tcMar>
              <w:top w:type="dxa" w:w="100"/>
              <w:left w:type="dxa" w:w="140"/>
              <w:bottom w:type="dxa" w:w="100"/>
              <w:right w:type="dxa" w:w="140"/>
            </w:tcMar>
          </w:tcPr>
          <w:p>
            <w:pPr>
              <w:spacing w:after="0" w:before="0" w:line="280"/>
              <w:jc w:val="left"/>
            </w:pPr>
            <w:r>
              <w:rPr>
                <w:b w:val="false"/>
                <w:bCs w:val="false"/>
                <w:color w:val="1A1A1A"/>
                <w:sz w:val="20"/>
                <w:szCs w:val="20"/>
              </w:rPr>
              <w:t xml:space="preserve">Caméras avec batterie de secours 12h. SIM 4G dédiée. Architecture résiliente avec stockage tampon local.</w:t>
            </w:r>
          </w:p>
        </w:tc>
      </w:tr>
      <w:tr>
        <w:tc>
          <w:tcPr>
            <w:tcW w:type="dxa" w:w="2400"/>
            <w:shd w:fill="F8F5EE" w:val="clear"/>
            <w:tcMar>
              <w:top w:type="dxa" w:w="100"/>
              <w:left w:type="dxa" w:w="140"/>
              <w:bottom w:type="dxa" w:w="100"/>
              <w:right w:type="dxa" w:w="140"/>
            </w:tcMar>
          </w:tcPr>
          <w:p>
            <w:pPr>
              <w:spacing w:after="0" w:before="0" w:line="280"/>
              <w:jc w:val="left"/>
            </w:pPr>
            <w:r>
              <w:rPr>
                <w:b/>
                <w:bCs/>
                <w:color w:val="1A1A1A"/>
                <w:sz w:val="20"/>
                <w:szCs w:val="20"/>
              </w:rPr>
              <w:t xml:space="preserve">Adoption B2C trop lente</w:t>
            </w:r>
          </w:p>
        </w:tc>
        <w:tc>
          <w:tcPr>
            <w:tcW w:type="dxa" w:w="1500"/>
            <w:shd w:fill="F8F5EE" w:val="clear"/>
            <w:tcMar>
              <w:top w:type="dxa" w:w="100"/>
              <w:left w:type="dxa" w:w="140"/>
              <w:bottom w:type="dxa" w:w="100"/>
              <w:right w:type="dxa" w:w="140"/>
            </w:tcMar>
          </w:tcPr>
          <w:p>
            <w:pPr>
              <w:spacing w:after="0" w:before="0" w:line="280"/>
              <w:jc w:val="center"/>
            </w:pPr>
            <w:r>
              <w:rPr>
                <w:b/>
                <w:bCs/>
                <w:color w:val="BA7517"/>
                <w:sz w:val="20"/>
                <w:szCs w:val="20"/>
              </w:rPr>
              <w:t xml:space="preserve">Moyenne</w:t>
            </w:r>
          </w:p>
        </w:tc>
        <w:tc>
          <w:tcPr>
            <w:tcW w:type="dxa" w:w="1500"/>
            <w:shd w:fill="F8F5EE" w:val="clear"/>
            <w:tcMar>
              <w:top w:type="dxa" w:w="100"/>
              <w:left w:type="dxa" w:w="140"/>
              <w:bottom w:type="dxa" w:w="100"/>
              <w:right w:type="dxa" w:w="140"/>
            </w:tcMar>
          </w:tcPr>
          <w:p>
            <w:pPr>
              <w:spacing w:after="0" w:before="0" w:line="280"/>
              <w:jc w:val="center"/>
            </w:pPr>
            <w:r>
              <w:rPr>
                <w:b/>
                <w:bCs/>
                <w:color w:val="A32D2D"/>
                <w:sz w:val="20"/>
                <w:szCs w:val="20"/>
              </w:rPr>
              <w:t xml:space="preserve">Élevé</w:t>
            </w:r>
          </w:p>
        </w:tc>
        <w:tc>
          <w:tcPr>
            <w:tcW w:type="dxa" w:w="36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Démarrage par communautés captives (employeurs, écoles). Plan de marketing local. Partenariats opérateurs télécoms.</w:t>
            </w:r>
          </w:p>
        </w:tc>
      </w:tr>
    </w:tbl>
    <w:p>
      <w:r>
        <w:br w:type="page"/>
      </w:r>
    </w:p>
    <w:p>
      <w:pPr>
        <w:spacing w:after="2400" w:before="0"/>
      </w:pPr>
      <w:r>
        <w:t xml:space="preserve"/>
      </w:r>
    </w:p>
    <w:p>
      <w:pPr>
        <w:spacing w:after="80" w:before="0"/>
        <w:jc w:val="center"/>
      </w:pPr>
      <w:r>
        <w:rPr>
          <w:b/>
          <w:bCs/>
          <w:color w:val="B08B40"/>
          <w:spacing w:val="120"/>
          <w:sz w:val="28"/>
          <w:szCs w:val="28"/>
        </w:rPr>
        <w:t xml:space="preserve">PARTIE V</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Équipe et organisation</w:t>
      </w:r>
    </w:p>
    <w:p>
      <w:r>
        <w:br w:type="page"/>
      </w:r>
    </w:p>
    <w:p>
      <w:pPr>
        <w:pStyle w:val="Heading1"/>
        <w:pBdr>
          <w:top w:val="single" w:color="B08B40" w:sz="8" w:space="12"/>
        </w:pBdr>
        <w:spacing w:after="80" w:before="520"/>
        <w:jc w:val="left"/>
      </w:pPr>
      <w:r>
        <w:rPr>
          <w:b/>
          <w:bCs/>
          <w:color w:val="B08B40"/>
          <w:sz w:val="30"/>
          <w:szCs w:val="30"/>
        </w:rPr>
        <w:t xml:space="preserve">5.1  </w:t>
      </w:r>
      <w:r>
        <w:rPr>
          <w:b/>
          <w:bCs/>
          <w:color w:val="1F3A5F"/>
          <w:sz w:val="30"/>
          <w:szCs w:val="30"/>
        </w:rPr>
        <w:t xml:space="preserve">Organigramme cible et profils</w:t>
      </w:r>
    </w:p>
    <w:p>
      <w:pPr>
        <w:spacing w:after="160" w:before="0" w:line="320"/>
        <w:jc w:val="both"/>
      </w:pPr>
      <w:r>
        <w:rPr>
          <w:color w:val="1A1A1A"/>
          <w:sz w:val="22"/>
          <w:szCs w:val="22"/>
        </w:rPr>
        <w:t xml:space="preserve">L'organigramme cible à dix-huit mois comprend neuf personnes, recrutées en deux vagues calées sur les deux tranches de financement.</w:t>
      </w:r>
    </w:p>
    <w:p>
      <w:pPr>
        <w:pStyle w:val="Heading2"/>
        <w:spacing w:after="120" w:before="320"/>
      </w:pPr>
      <w:r>
        <w:rPr>
          <w:b/>
          <w:bCs/>
          <w:color w:val="1F3A5F"/>
          <w:sz w:val="24"/>
          <w:szCs w:val="24"/>
        </w:rPr>
        <w:t xml:space="preserve">Première vague (mois 0 à 6, financée par le pre-seed)</w:t>
      </w:r>
    </w:p>
    <w:p>
      <w:pPr>
        <w:spacing w:after="160" w:before="0" w:line="320"/>
        <w:jc w:val="both"/>
      </w:pPr>
      <w:r>
        <w:rPr>
          <w:color w:val="1A1A1A"/>
          <w:sz w:val="22"/>
          <w:szCs w:val="22"/>
        </w:rPr>
        <w:t xml:space="preserve">Cette première vague constitue le noyau dur de l'entreprise et doit livrer le MVP.</w:t>
      </w:r>
    </w:p>
    <w:p>
      <w:pPr>
        <w:spacing w:after="140" w:before="0" w:line="320"/>
        <w:ind w:left="200"/>
        <w:jc w:val="both"/>
      </w:pPr>
      <w:r>
        <w:rPr>
          <w:b/>
          <w:bCs/>
          <w:color w:val="B08B40"/>
          <w:sz w:val="22"/>
          <w:szCs w:val="22"/>
        </w:rPr>
        <w:t xml:space="preserve">Fondateur et CEO / CTO (Olsen KAMPALA) </w:t>
      </w:r>
      <w:r>
        <w:rPr>
          <w:color w:val="1A1A1A"/>
          <w:sz w:val="22"/>
          <w:szCs w:val="22"/>
        </w:rPr>
        <w:t xml:space="preserve">responsable de la stratégie globale, de l'architecture technique, et des relations investisseurs. Apport principal en nature (temps, expertise technique, réseau).</w:t>
      </w:r>
    </w:p>
    <w:p>
      <w:pPr>
        <w:spacing w:after="140" w:before="0" w:line="320"/>
        <w:ind w:left="200"/>
        <w:jc w:val="both"/>
      </w:pPr>
      <w:r>
        <w:rPr>
          <w:b/>
          <w:bCs/>
          <w:color w:val="B08B40"/>
          <w:sz w:val="22"/>
          <w:szCs w:val="22"/>
        </w:rPr>
        <w:t xml:space="preserve">Co-fondateur Lead Business et Partenariats </w:t>
      </w:r>
      <w:r>
        <w:rPr>
          <w:color w:val="1A1A1A"/>
          <w:sz w:val="22"/>
          <w:szCs w:val="22"/>
        </w:rPr>
        <w:t xml:space="preserve">responsable de la signature des premiers contrats B2B, des relations institutionnelles avec la Mairie, la DGT et Trans'Urb, et du marketing initial. Profil à identifier, possiblement issu du conseil ou des télécoms gabonais. Rémunération à négocier avec part au capital.</w:t>
      </w:r>
    </w:p>
    <w:p>
      <w:pPr>
        <w:spacing w:after="140" w:before="0" w:line="320"/>
        <w:ind w:left="200"/>
        <w:jc w:val="both"/>
      </w:pPr>
      <w:r>
        <w:rPr>
          <w:b/>
          <w:bCs/>
          <w:color w:val="B08B40"/>
          <w:sz w:val="22"/>
          <w:szCs w:val="22"/>
        </w:rPr>
        <w:t xml:space="preserve">Backend et Data Engineer senior </w:t>
      </w:r>
      <w:r>
        <w:rPr>
          <w:color w:val="1A1A1A"/>
          <w:sz w:val="22"/>
          <w:szCs w:val="22"/>
        </w:rPr>
        <w:t xml:space="preserve">responsable de l'architecture du pipeline d'ingestion, du stockage et de l'API. Profil avec 5 à 8 ans d'expérience, recrutable en remote depuis la diaspora ou l'Afrique du Nord. Rémunération mensuelle indicative : 2,5 millions de FCFA.</w:t>
      </w:r>
    </w:p>
    <w:p>
      <w:pPr>
        <w:spacing w:after="140" w:before="0" w:line="320"/>
        <w:ind w:left="200"/>
        <w:jc w:val="both"/>
      </w:pPr>
      <w:r>
        <w:rPr>
          <w:b/>
          <w:bCs/>
          <w:color w:val="B08B40"/>
          <w:sz w:val="22"/>
          <w:szCs w:val="22"/>
        </w:rPr>
        <w:t xml:space="preserve">Mobile Developer </w:t>
      </w:r>
      <w:r>
        <w:rPr>
          <w:color w:val="1A1A1A"/>
          <w:sz w:val="22"/>
          <w:szCs w:val="22"/>
        </w:rPr>
        <w:t xml:space="preserve">responsable de l'application Android puis iOS, en React Native ou Flutter. Profil avec 3 à 5 ans d'expérience. Rémunération mensuelle indicative : 1,8 million de FCFA.</w:t>
      </w:r>
    </w:p>
    <w:p>
      <w:pPr>
        <w:pStyle w:val="Heading2"/>
        <w:spacing w:after="120" w:before="320"/>
      </w:pPr>
      <w:r>
        <w:rPr>
          <w:b/>
          <w:bCs/>
          <w:color w:val="1F3A5F"/>
          <w:sz w:val="24"/>
          <w:szCs w:val="24"/>
        </w:rPr>
        <w:t xml:space="preserve">Seconde vague (mois 6 à 18, financée par le seed)</w:t>
      </w:r>
    </w:p>
    <w:p>
      <w:pPr>
        <w:spacing w:after="160" w:before="0" w:line="320"/>
        <w:jc w:val="both"/>
      </w:pPr>
      <w:r>
        <w:rPr>
          <w:color w:val="1A1A1A"/>
          <w:sz w:val="22"/>
          <w:szCs w:val="22"/>
        </w:rPr>
        <w:t xml:space="preserve">Cette seconde vague étend les capacités techniques et commerciales.</w:t>
      </w:r>
    </w:p>
    <w:p>
      <w:pPr>
        <w:spacing w:after="140" w:before="0" w:line="320"/>
        <w:ind w:left="200"/>
        <w:jc w:val="both"/>
      </w:pPr>
      <w:r>
        <w:rPr>
          <w:b/>
          <w:bCs/>
          <w:color w:val="B08B40"/>
          <w:sz w:val="22"/>
          <w:szCs w:val="22"/>
        </w:rPr>
        <w:t xml:space="preserve">Computer Vision Engineer </w:t>
      </w:r>
      <w:r>
        <w:rPr>
          <w:color w:val="1A1A1A"/>
          <w:sz w:val="22"/>
          <w:szCs w:val="22"/>
        </w:rPr>
        <w:t xml:space="preserve">responsable du pipeline caméras et de la détection d'incidents. Profil rare et stratégique. Rémunération mensuelle indicative : 2,8 millions de FCFA.</w:t>
      </w:r>
    </w:p>
    <w:p>
      <w:pPr>
        <w:spacing w:after="140" w:before="0" w:line="320"/>
        <w:ind w:left="200"/>
        <w:jc w:val="both"/>
      </w:pPr>
      <w:r>
        <w:rPr>
          <w:b/>
          <w:bCs/>
          <w:color w:val="B08B40"/>
          <w:sz w:val="22"/>
          <w:szCs w:val="22"/>
        </w:rPr>
        <w:t xml:space="preserve">Machine Learning Engineer </w:t>
      </w:r>
      <w:r>
        <w:rPr>
          <w:color w:val="1A1A1A"/>
          <w:sz w:val="22"/>
          <w:szCs w:val="22"/>
        </w:rPr>
        <w:t xml:space="preserve">responsable des modèles de prédiction et du routing. Rémunération mensuelle indicative : 2,8 millions de FCFA.</w:t>
      </w:r>
    </w:p>
    <w:p>
      <w:pPr>
        <w:spacing w:after="140" w:before="0" w:line="320"/>
        <w:ind w:left="200"/>
        <w:jc w:val="both"/>
      </w:pPr>
      <w:r>
        <w:rPr>
          <w:b/>
          <w:bCs/>
          <w:color w:val="B08B40"/>
          <w:sz w:val="22"/>
          <w:szCs w:val="22"/>
        </w:rPr>
        <w:t xml:space="preserve">Field and Hardware Engineer </w:t>
      </w:r>
      <w:r>
        <w:rPr>
          <w:color w:val="1A1A1A"/>
          <w:sz w:val="22"/>
          <w:szCs w:val="22"/>
        </w:rPr>
        <w:t xml:space="preserve">responsable du déploiement physique des caméras, de leur maintenance et des relations terrain. Rémunération mensuelle indicative : 1,5 million de FCFA.</w:t>
      </w:r>
    </w:p>
    <w:p>
      <w:pPr>
        <w:spacing w:after="140" w:before="0" w:line="320"/>
        <w:ind w:left="200"/>
        <w:jc w:val="both"/>
      </w:pPr>
      <w:r>
        <w:rPr>
          <w:b/>
          <w:bCs/>
          <w:color w:val="B08B40"/>
          <w:sz w:val="22"/>
          <w:szCs w:val="22"/>
        </w:rPr>
        <w:t xml:space="preserve">Account Executive B2B </w:t>
      </w:r>
      <w:r>
        <w:rPr>
          <w:color w:val="1A1A1A"/>
          <w:sz w:val="22"/>
          <w:szCs w:val="22"/>
        </w:rPr>
        <w:t xml:space="preserve">responsable du pipeline commercial entreprises et de la gestion de comptes. Rémunération mensuelle indicative : 1,8 million de FCFA avec variable sur objectifs.</w:t>
      </w:r>
    </w:p>
    <w:p>
      <w:pPr>
        <w:spacing w:after="140" w:before="0" w:line="320"/>
        <w:ind w:left="200"/>
        <w:jc w:val="both"/>
      </w:pPr>
      <w:r>
        <w:rPr>
          <w:b/>
          <w:bCs/>
          <w:color w:val="B08B40"/>
          <w:sz w:val="22"/>
          <w:szCs w:val="22"/>
        </w:rPr>
        <w:t xml:space="preserve">Office Manager et Administratif </w:t>
      </w:r>
      <w:r>
        <w:rPr>
          <w:color w:val="1A1A1A"/>
          <w:sz w:val="22"/>
          <w:szCs w:val="22"/>
        </w:rPr>
        <w:t xml:space="preserve">responsable de la gestion quotidienne, des paies, des relations fournisseurs et de la coordination administrative. Rémunération mensuelle indicative : 900 000 FCFA.</w:t>
      </w:r>
    </w:p>
    <w:p>
      <w:pPr>
        <w:pStyle w:val="Heading2"/>
        <w:spacing w:after="120" w:before="320"/>
      </w:pPr>
      <w:r>
        <w:rPr>
          <w:b/>
          <w:bCs/>
          <w:color w:val="1F3A5F"/>
          <w:sz w:val="24"/>
          <w:szCs w:val="24"/>
        </w:rPr>
        <w:t xml:space="preserve">Renforts ponctuels</w:t>
      </w:r>
    </w:p>
    <w:p>
      <w:pPr>
        <w:spacing w:after="160" w:before="0" w:line="320"/>
        <w:jc w:val="both"/>
      </w:pPr>
      <w:r>
        <w:rPr>
          <w:color w:val="1A1A1A"/>
          <w:sz w:val="22"/>
          <w:szCs w:val="22"/>
        </w:rPr>
        <w:t xml:space="preserve">Trois rôles seront couverts en sous-traitance plutôt qu'en interne pour limiter les coûts fixes : la comptabilité auprès d'un cabinet local agréé, le conseil juridique auprès d'un cabinet d'affaires gabonais (Chazai Wamba, qui a accompagné POZI, est un candidat naturel), et l'audit qualité périodique du code et des modèles auprès d'un expert externe.</w:t>
      </w:r>
    </w:p>
    <w:p>
      <w:pPr>
        <w:pStyle w:val="Heading1"/>
        <w:pBdr>
          <w:top w:val="single" w:color="B08B40" w:sz="8" w:space="12"/>
        </w:pBdr>
        <w:spacing w:after="80" w:before="520"/>
        <w:jc w:val="left"/>
      </w:pPr>
      <w:r>
        <w:rPr>
          <w:b/>
          <w:bCs/>
          <w:color w:val="B08B40"/>
          <w:sz w:val="30"/>
          <w:szCs w:val="30"/>
        </w:rPr>
        <w:t xml:space="preserve">5.2  </w:t>
      </w:r>
      <w:r>
        <w:rPr>
          <w:b/>
          <w:bCs/>
          <w:color w:val="1F3A5F"/>
          <w:sz w:val="30"/>
          <w:szCs w:val="30"/>
        </w:rPr>
        <w:t xml:space="preserve">Rémunération, capital et culture</w:t>
      </w:r>
    </w:p>
    <w:p>
      <w:pPr>
        <w:pStyle w:val="Heading2"/>
        <w:spacing w:after="120" w:before="320"/>
      </w:pPr>
      <w:r>
        <w:rPr>
          <w:b/>
          <w:bCs/>
          <w:color w:val="1F3A5F"/>
          <w:sz w:val="24"/>
          <w:szCs w:val="24"/>
        </w:rPr>
        <w:t xml:space="preserve">Structure de rémunération</w:t>
      </w:r>
    </w:p>
    <w:p>
      <w:pPr>
        <w:spacing w:after="160" w:before="0" w:line="320"/>
        <w:jc w:val="both"/>
      </w:pPr>
      <w:r>
        <w:rPr>
          <w:color w:val="1A1A1A"/>
          <w:sz w:val="22"/>
          <w:szCs w:val="22"/>
        </w:rPr>
        <w:t xml:space="preserve">La structure de rémunération combine trois composantes pour aligner les intérêts et attirer les talents malgré un marché du travail tendu sur les profils techniques. Le salaire fixe est positionné à 80 % du marché local pour les profils seniors, et à 100 % pour les profils juniors. Le variable est de 15 à 25 % du fixe pour les profils commerciaux. La participation au capital, via un plan de stock-options dimensionné entre 10 et 15 % du capital social total, est offerte à tous les employés des deux premières années, avec une période d'acquisition de quatre ans et une falaise d'un an.</w:t>
      </w:r>
    </w:p>
    <w:p>
      <w:pPr>
        <w:pStyle w:val="Heading2"/>
        <w:spacing w:after="120" w:before="320"/>
      </w:pPr>
      <w:r>
        <w:rPr>
          <w:b/>
          <w:bCs/>
          <w:color w:val="1F3A5F"/>
          <w:sz w:val="24"/>
          <w:szCs w:val="24"/>
        </w:rPr>
        <w:t xml:space="preserve">Structure du capital initial</w:t>
      </w:r>
    </w:p>
    <w:p>
      <w:pPr>
        <w:spacing w:after="160" w:before="0" w:line="320"/>
        <w:jc w:val="both"/>
      </w:pPr>
      <w:r>
        <w:rPr>
          <w:color w:val="1A1A1A"/>
          <w:sz w:val="22"/>
          <w:szCs w:val="22"/>
        </w:rPr>
        <w:t xml:space="preserve">La structure du capital après la première levée pre-seed se présente comme suit. Le fondateur unique conserve une part majoritaire pour maintenir la capacité de décision. Le co-fondateur opérationnel obtient une part significative pour reconnaître son apport non capitalistique. Le plan de stock-options est réservé pour les recrutements à venir. L'investisseur pre-seed entre au capital à hauteur de la dilution négociée.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Détenteur</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Pourcentage</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Période</w:t>
            </w:r>
          </w:p>
        </w:tc>
      </w:tr>
      <w:tr>
        <w:tc>
          <w:tcPr>
            <w:tcW w:type="dxa" w:w="4500"/>
            <w:tcMar>
              <w:top w:type="dxa" w:w="100"/>
              <w:left w:type="dxa" w:w="140"/>
              <w:bottom w:type="dxa" w:w="100"/>
              <w:right w:type="dxa" w:w="140"/>
            </w:tcMar>
          </w:tcPr>
          <w:p>
            <w:pPr>
              <w:spacing w:after="0" w:before="0" w:line="280"/>
              <w:jc w:val="left"/>
            </w:pPr>
            <w:r>
              <w:rPr>
                <w:b/>
                <w:bCs/>
                <w:color w:val="1A1A1A"/>
                <w:sz w:val="20"/>
                <w:szCs w:val="20"/>
              </w:rPr>
              <w:t xml:space="preserve">Olsen KAMPALA (Fondateur, CEO)</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60 %</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Vesting 4 ans</w:t>
            </w:r>
          </w:p>
        </w:tc>
      </w:tr>
      <w:tr>
        <w:tc>
          <w:tcPr>
            <w:tcW w:type="dxa" w:w="4500"/>
            <w:shd w:fill="F8F5EE" w:val="clear"/>
            <w:tcMar>
              <w:top w:type="dxa" w:w="100"/>
              <w:left w:type="dxa" w:w="140"/>
              <w:bottom w:type="dxa" w:w="100"/>
              <w:right w:type="dxa" w:w="140"/>
            </w:tcMar>
          </w:tcPr>
          <w:p>
            <w:pPr>
              <w:spacing w:after="0" w:before="0" w:line="280"/>
              <w:jc w:val="left"/>
            </w:pPr>
            <w:r>
              <w:rPr>
                <w:b/>
                <w:bCs/>
                <w:color w:val="1A1A1A"/>
                <w:sz w:val="20"/>
                <w:szCs w:val="20"/>
              </w:rPr>
              <w:t xml:space="preserve">Co-fondateur opérationnel</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15 %</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Vesting 4 ans</w:t>
            </w:r>
          </w:p>
        </w:tc>
      </w:tr>
      <w:tr>
        <w:tc>
          <w:tcPr>
            <w:tcW w:type="dxa" w:w="4500"/>
            <w:tcMar>
              <w:top w:type="dxa" w:w="100"/>
              <w:left w:type="dxa" w:w="140"/>
              <w:bottom w:type="dxa" w:w="100"/>
              <w:right w:type="dxa" w:w="140"/>
            </w:tcMar>
          </w:tcPr>
          <w:p>
            <w:pPr>
              <w:spacing w:after="0" w:before="0" w:line="280"/>
              <w:jc w:val="left"/>
            </w:pPr>
            <w:r>
              <w:rPr>
                <w:b/>
                <w:bCs/>
                <w:color w:val="1A1A1A"/>
                <w:sz w:val="20"/>
                <w:szCs w:val="20"/>
              </w:rPr>
              <w:t xml:space="preserve">Plan de stock-options (ESOP)</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10 %</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Réservé</w:t>
            </w:r>
          </w:p>
        </w:tc>
      </w:tr>
      <w:tr>
        <w:tc>
          <w:tcPr>
            <w:tcW w:type="dxa" w:w="4500"/>
            <w:shd w:fill="F8F5EE" w:val="clear"/>
            <w:tcMar>
              <w:top w:type="dxa" w:w="100"/>
              <w:left w:type="dxa" w:w="140"/>
              <w:bottom w:type="dxa" w:w="100"/>
              <w:right w:type="dxa" w:w="140"/>
            </w:tcMar>
          </w:tcPr>
          <w:p>
            <w:pPr>
              <w:spacing w:after="0" w:before="0" w:line="280"/>
              <w:jc w:val="left"/>
            </w:pPr>
            <w:r>
              <w:rPr>
                <w:b/>
                <w:bCs/>
                <w:color w:val="1A1A1A"/>
                <w:sz w:val="20"/>
                <w:szCs w:val="20"/>
              </w:rPr>
              <w:t xml:space="preserve">Investisseurs pre-seed</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15 %</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Tour pre-seed</w:t>
            </w:r>
          </w:p>
        </w:tc>
      </w:tr>
      <w:t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Total</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100 %</w:t>
            </w:r>
          </w:p>
        </w:tc>
        <w:tc>
          <w:tcPr>
            <w:tcW w:type="dxa" w:w="2250"/>
            <w:shd w:fill="1F3A5F" w:val="clear"/>
            <w:tcMar>
              <w:top w:type="dxa" w:w="100"/>
              <w:left w:type="dxa" w:w="140"/>
              <w:bottom w:type="dxa" w:w="100"/>
              <w:right w:type="dxa" w:w="140"/>
            </w:tcMar>
          </w:tcPr>
          <w:p>
            <w:pPr>
              <w:spacing w:after="0" w:before="0" w:line="280"/>
              <w:jc w:val="center"/>
            </w:pPr>
            <w:r>
              <w:rPr>
                <w:b w:val="false"/>
                <w:bCs w:val="false"/>
                <w:color w:val="FFFFFF"/>
                <w:sz w:val="20"/>
                <w:szCs w:val="20"/>
              </w:rPr>
              <w:t xml:space="preserve"/>
            </w:r>
          </w:p>
        </w:tc>
      </w:tr>
    </w:tbl>
    <w:p>
      <w:pPr>
        <w:spacing w:after="160" w:before="0" w:line="320"/>
        <w:jc w:val="both"/>
      </w:pPr>
      <w:r>
        <w:rPr>
          <w:color w:val="1A1A1A"/>
          <w:sz w:val="22"/>
          <w:szCs w:val="22"/>
        </w:rPr>
        <w:t xml:space="preserve"/>
      </w:r>
    </w:p>
    <w:p>
      <w:pPr>
        <w:spacing w:after="160" w:before="0" w:line="320"/>
        <w:jc w:val="both"/>
      </w:pPr>
      <w:r>
        <w:rPr>
          <w:color w:val="1A1A1A"/>
          <w:sz w:val="22"/>
          <w:szCs w:val="22"/>
        </w:rPr>
        <w:t xml:space="preserve">Après la levée seed de mois 9, la dilution combinée des fondateurs descend à environ 60 % et la part des investisseurs (pre-seed plus seed) atteint environ 30 %. Cette répartition reste compatible avec une Series A à horizon 24 à 30 mois.</w:t>
      </w:r>
    </w:p>
    <w:p>
      <w:pPr>
        <w:pStyle w:val="Heading2"/>
        <w:spacing w:after="120" w:before="320"/>
      </w:pPr>
      <w:r>
        <w:rPr>
          <w:b/>
          <w:bCs/>
          <w:color w:val="1F3A5F"/>
          <w:sz w:val="24"/>
          <w:szCs w:val="24"/>
        </w:rPr>
        <w:t xml:space="preserve">Culture d'entreprise</w:t>
      </w:r>
    </w:p>
    <w:p>
      <w:pPr>
        <w:spacing w:after="160" w:before="0" w:line="320"/>
        <w:jc w:val="both"/>
      </w:pPr>
      <w:r>
        <w:rPr>
          <w:color w:val="1A1A1A"/>
          <w:sz w:val="22"/>
          <w:szCs w:val="22"/>
        </w:rPr>
        <w:t xml:space="preserve">La culture d'entreprise sera bâtie autour de quatre principes opérationnels.</w:t>
      </w:r>
    </w:p>
    <w:p>
      <w:pPr>
        <w:spacing w:after="140" w:before="0" w:line="320"/>
        <w:ind w:left="200"/>
        <w:jc w:val="both"/>
      </w:pPr>
      <w:r>
        <w:rPr>
          <w:b/>
          <w:bCs/>
          <w:color w:val="B08B40"/>
          <w:sz w:val="22"/>
          <w:szCs w:val="22"/>
        </w:rPr>
        <w:t xml:space="preserve">La proximité du terrain. </w:t>
      </w:r>
      <w:r>
        <w:rPr>
          <w:color w:val="1A1A1A"/>
          <w:sz w:val="22"/>
          <w:szCs w:val="22"/>
        </w:rPr>
        <w:t xml:space="preserve">Chaque membre de l'équipe, quel que soit son rôle, passe au moins une journée par trimestre sur le terrain (en voiture avec un chauffeur de clando, à l'arrêt de bus, dans une agence bancaire à l'heure de pointe). Cette discipline garantit que les décisions produit ne se détachent jamais de la réalité vécue par les utilisateurs.</w:t>
      </w:r>
    </w:p>
    <w:p>
      <w:pPr>
        <w:spacing w:after="140" w:before="0" w:line="320"/>
        <w:ind w:left="200"/>
        <w:jc w:val="both"/>
      </w:pPr>
      <w:r>
        <w:rPr>
          <w:b/>
          <w:bCs/>
          <w:color w:val="B08B40"/>
          <w:sz w:val="22"/>
          <w:szCs w:val="22"/>
        </w:rPr>
        <w:t xml:space="preserve">La transparence interne. </w:t>
      </w:r>
      <w:r>
        <w:rPr>
          <w:color w:val="1A1A1A"/>
          <w:sz w:val="22"/>
          <w:szCs w:val="22"/>
        </w:rPr>
        <w:t xml:space="preserve">Les indicateurs financiers, les jalons commerciaux et les retards sont partagés mensuellement avec toute l'équipe. Cette transparence est inhabituelle dans le contexte gabonais mais elle est constitutive de la confiance interne.</w:t>
      </w:r>
    </w:p>
    <w:p>
      <w:pPr>
        <w:spacing w:after="140" w:before="0" w:line="320"/>
        <w:ind w:left="200"/>
        <w:jc w:val="both"/>
      </w:pPr>
      <w:r>
        <w:rPr>
          <w:b/>
          <w:bCs/>
          <w:color w:val="B08B40"/>
          <w:sz w:val="22"/>
          <w:szCs w:val="22"/>
        </w:rPr>
        <w:t xml:space="preserve">L'apprentissage continu. </w:t>
      </w:r>
      <w:r>
        <w:rPr>
          <w:color w:val="1A1A1A"/>
          <w:sz w:val="22"/>
          <w:szCs w:val="22"/>
        </w:rPr>
        <w:t xml:space="preserve">Chaque membre dispose d'un budget formation annuel de 500 000 FCFA et de cinq jours ouvrés dédiés. L'écosystème gabonais étant pauvre en formations techniques avancées, ces budgets seront principalement consacrés à des certifications en ligne et à des conférences africaines (GITEX Africa, Africa Tech Festival).</w:t>
      </w:r>
    </w:p>
    <w:p>
      <w:pPr>
        <w:spacing w:after="140" w:before="0" w:line="320"/>
        <w:ind w:left="200"/>
        <w:jc w:val="both"/>
      </w:pPr>
      <w:r>
        <w:rPr>
          <w:b/>
          <w:bCs/>
          <w:color w:val="B08B40"/>
          <w:sz w:val="22"/>
          <w:szCs w:val="22"/>
        </w:rPr>
        <w:t xml:space="preserve">L'ancrage et l'ambition. </w:t>
      </w:r>
      <w:r>
        <w:rPr>
          <w:color w:val="1A1A1A"/>
          <w:sz w:val="22"/>
          <w:szCs w:val="22"/>
        </w:rPr>
        <w:t xml:space="preserve">Nous travaillons depuis Libreville, nous embauchons en priorité des Gabonais et des Africains, mais nous nous fixons des standards d'exécution comparables à ceux des meilleures startups continentales. Le local n'est pas un alibi pour la médiocrité.</w:t>
      </w:r>
    </w:p>
    <w:p>
      <w:r>
        <w:br w:type="page"/>
      </w:r>
    </w:p>
    <w:p>
      <w:pPr>
        <w:spacing w:after="2400" w:before="0"/>
      </w:pPr>
      <w:r>
        <w:t xml:space="preserve"/>
      </w:r>
    </w:p>
    <w:p>
      <w:pPr>
        <w:spacing w:after="80" w:before="0"/>
        <w:jc w:val="center"/>
      </w:pPr>
      <w:r>
        <w:rPr>
          <w:b/>
          <w:bCs/>
          <w:color w:val="B08B40"/>
          <w:spacing w:val="120"/>
          <w:sz w:val="28"/>
          <w:szCs w:val="28"/>
        </w:rPr>
        <w:t xml:space="preserve">PARTIE VI</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Le financier</w:t>
      </w:r>
    </w:p>
    <w:p>
      <w:r>
        <w:br w:type="page"/>
      </w:r>
    </w:p>
    <w:p>
      <w:pPr>
        <w:pStyle w:val="Heading1"/>
        <w:pBdr>
          <w:top w:val="single" w:color="B08B40" w:sz="8" w:space="12"/>
        </w:pBdr>
        <w:spacing w:after="80" w:before="520"/>
        <w:jc w:val="left"/>
      </w:pPr>
      <w:r>
        <w:rPr>
          <w:b/>
          <w:bCs/>
          <w:color w:val="B08B40"/>
          <w:sz w:val="30"/>
          <w:szCs w:val="30"/>
        </w:rPr>
        <w:t xml:space="preserve">6.1  </w:t>
      </w:r>
      <w:r>
        <w:rPr>
          <w:b/>
          <w:bCs/>
          <w:color w:val="1F3A5F"/>
          <w:sz w:val="30"/>
          <w:szCs w:val="30"/>
        </w:rPr>
        <w:t xml:space="preserve">Besoins de financement par phase</w:t>
      </w:r>
    </w:p>
    <w:p>
      <w:pPr>
        <w:spacing w:after="160" w:before="0" w:line="320"/>
        <w:jc w:val="both"/>
      </w:pPr>
      <w:r>
        <w:rPr>
          <w:color w:val="1A1A1A"/>
          <w:sz w:val="22"/>
          <w:szCs w:val="22"/>
        </w:rPr>
        <w:t xml:space="preserve">Le besoin total de financement sur dix-huit mois s'élève à 320 millions de FCFA, soit environ 488 000 euros, organisé en deux tranches successives.</w:t>
      </w:r>
    </w:p>
    <w:p>
      <w:pPr>
        <w:pStyle w:val="Heading2"/>
        <w:spacing w:after="120" w:before="320"/>
      </w:pPr>
      <w:r>
        <w:rPr>
          <w:b/>
          <w:bCs/>
          <w:color w:val="1F3A5F"/>
          <w:sz w:val="24"/>
          <w:szCs w:val="24"/>
        </w:rPr>
        <w:t xml:space="preserve">Tranche 1 : pre-seed (mois 0 à 6), 120 millions de FCFA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Poste</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Montant (FCFA)</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Part</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Salaires et charges (4 personnes, 6 mois)</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48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40 %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Hardware (10 caméras et déploiement)</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18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15 %</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Cloud, infrastructure et outils</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9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8 %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Frais juridiques et structuration</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12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10 %</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Marketing et acquisition initiale</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6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5 %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Bureau et frais de structure</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15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13 %</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Réserve de sécurité</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12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10 %</w:t>
            </w:r>
          </w:p>
        </w:tc>
      </w:tr>
      <w:t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Total tranche pre-seed</w:t>
            </w:r>
          </w:p>
        </w:tc>
        <w:tc>
          <w:tcPr>
            <w:tcW w:type="dxa" w:w="225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120 millions</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100 %</w:t>
            </w:r>
          </w:p>
        </w:tc>
      </w:tr>
    </w:tbl>
    <w:p>
      <w:pPr>
        <w:spacing w:after="160" w:before="0" w:line="320"/>
        <w:jc w:val="both"/>
      </w:pPr>
      <w:r>
        <w:rPr>
          <w:color w:val="1A1A1A"/>
          <w:sz w:val="22"/>
          <w:szCs w:val="22"/>
        </w:rPr>
        <w:t xml:space="preserve"/>
      </w:r>
    </w:p>
    <w:p>
      <w:pPr>
        <w:pStyle w:val="Heading2"/>
        <w:spacing w:after="120" w:before="320"/>
      </w:pPr>
      <w:r>
        <w:rPr>
          <w:b/>
          <w:bCs/>
          <w:color w:val="1F3A5F"/>
          <w:sz w:val="24"/>
          <w:szCs w:val="24"/>
        </w:rPr>
        <w:t xml:space="preserve">Tranche 2 : seed (mois 9 à 18), 200 millions de FCFA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Poste</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Montant (FCFA)</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Part</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Salaires et charges (8 personnes, 9 mois)</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120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60 %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Hardware (20 caméras supplémentaires)</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30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15 %</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Cloud et infrastructure étendue</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18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9 %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Marketing et croissance B2C</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16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8 %</w:t>
            </w:r>
          </w:p>
        </w:tc>
      </w:tr>
      <w:tr>
        <w:tc>
          <w:tcPr>
            <w:tcW w:type="dxa" w:w="4500"/>
            <w:tcMar>
              <w:top w:type="dxa" w:w="100"/>
              <w:left w:type="dxa" w:w="140"/>
              <w:bottom w:type="dxa" w:w="100"/>
              <w:right w:type="dxa" w:w="140"/>
            </w:tcMar>
          </w:tcPr>
          <w:p>
            <w:pPr>
              <w:spacing w:after="0" w:before="0" w:line="280"/>
              <w:jc w:val="left"/>
            </w:pPr>
            <w:r>
              <w:rPr>
                <w:b w:val="false"/>
                <w:bCs w:val="false"/>
                <w:color w:val="1A1A1A"/>
                <w:sz w:val="20"/>
                <w:szCs w:val="20"/>
              </w:rPr>
              <w:t xml:space="preserve">Frais commerciaux B2G</w:t>
            </w:r>
          </w:p>
        </w:tc>
        <w:tc>
          <w:tcPr>
            <w:tcW w:type="dxa" w:w="2250"/>
            <w:tcMar>
              <w:top w:type="dxa" w:w="100"/>
              <w:left w:type="dxa" w:w="140"/>
              <w:bottom w:type="dxa" w:w="100"/>
              <w:right w:type="dxa" w:w="140"/>
            </w:tcMar>
          </w:tcPr>
          <w:p>
            <w:pPr>
              <w:spacing w:after="0" w:before="0" w:line="280"/>
              <w:jc w:val="right"/>
            </w:pPr>
            <w:r>
              <w:rPr>
                <w:b w:val="false"/>
                <w:bCs w:val="false"/>
                <w:color w:val="1A1A1A"/>
                <w:sz w:val="20"/>
                <w:szCs w:val="20"/>
              </w:rPr>
              <w:t xml:space="preserve">8 millions</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4 %</w:t>
            </w:r>
          </w:p>
        </w:tc>
      </w:tr>
      <w:tr>
        <w:tc>
          <w:tcPr>
            <w:tcW w:type="dxa" w:w="45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Réserve de sécurité</w:t>
            </w:r>
          </w:p>
        </w:tc>
        <w:tc>
          <w:tcPr>
            <w:tcW w:type="dxa" w:w="225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8 millions</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4 %</w:t>
            </w:r>
          </w:p>
        </w:tc>
      </w:tr>
      <w:tr>
        <w:tc>
          <w:tcPr>
            <w:tcW w:type="dxa" w:w="4500"/>
            <w:shd w:fill="1F3A5F" w:val="clear"/>
            <w:tcMar>
              <w:top w:type="dxa" w:w="100"/>
              <w:left w:type="dxa" w:w="140"/>
              <w:bottom w:type="dxa" w:w="100"/>
              <w:right w:type="dxa" w:w="140"/>
            </w:tcMar>
          </w:tcPr>
          <w:p>
            <w:pPr>
              <w:spacing w:after="0" w:before="0" w:line="280"/>
              <w:jc w:val="left"/>
            </w:pPr>
            <w:r>
              <w:rPr>
                <w:b/>
                <w:bCs/>
                <w:color w:val="FFFFFF"/>
                <w:sz w:val="20"/>
                <w:szCs w:val="20"/>
              </w:rPr>
              <w:t xml:space="preserve">Total tranche seed</w:t>
            </w:r>
          </w:p>
        </w:tc>
        <w:tc>
          <w:tcPr>
            <w:tcW w:type="dxa" w:w="2250"/>
            <w:shd w:fill="1F3A5F" w:val="clear"/>
            <w:tcMar>
              <w:top w:type="dxa" w:w="100"/>
              <w:left w:type="dxa" w:w="140"/>
              <w:bottom w:type="dxa" w:w="100"/>
              <w:right w:type="dxa" w:w="140"/>
            </w:tcMar>
          </w:tcPr>
          <w:p>
            <w:pPr>
              <w:spacing w:after="0" w:before="0" w:line="280"/>
              <w:jc w:val="right"/>
            </w:pPr>
            <w:r>
              <w:rPr>
                <w:b/>
                <w:bCs/>
                <w:color w:val="FFFFFF"/>
                <w:sz w:val="20"/>
                <w:szCs w:val="20"/>
              </w:rPr>
              <w:t xml:space="preserve">200 millions</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100 %</w:t>
            </w:r>
          </w:p>
        </w:tc>
      </w:tr>
    </w:tbl>
    <w:p>
      <w:pPr>
        <w:pStyle w:val="Heading1"/>
        <w:pBdr>
          <w:top w:val="single" w:color="B08B40" w:sz="8" w:space="12"/>
        </w:pBdr>
        <w:spacing w:after="80" w:before="520"/>
        <w:jc w:val="left"/>
      </w:pPr>
      <w:r>
        <w:rPr>
          <w:b/>
          <w:bCs/>
          <w:color w:val="B08B40"/>
          <w:sz w:val="30"/>
          <w:szCs w:val="30"/>
        </w:rPr>
        <w:t xml:space="preserve">6.2  </w:t>
      </w:r>
      <w:r>
        <w:rPr>
          <w:b/>
          <w:bCs/>
          <w:color w:val="1F3A5F"/>
          <w:sz w:val="30"/>
          <w:szCs w:val="30"/>
        </w:rPr>
        <w:t xml:space="preserve">Compte de résultat prévisionnel</w:t>
      </w:r>
    </w:p>
    <w:p>
      <w:pPr>
        <w:spacing w:after="160" w:before="0" w:line="320"/>
        <w:jc w:val="both"/>
      </w:pPr>
      <w:r>
        <w:rPr>
          <w:color w:val="1A1A1A"/>
          <w:sz w:val="22"/>
          <w:szCs w:val="22"/>
        </w:rPr>
        <w:t xml:space="preserve">Le compte de résultat prévisionnel sur trois ans est construit sur des hypothèses prudentes. Les revenus suivent la projection détaillée en partie 1.3 (modèle économique). Les charges suivent la montée en effectif et l'extension des opérations.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F3A5F" w:val="clear"/>
            <w:tcMar>
              <w:top w:type="dxa" w:w="100"/>
              <w:left w:type="dxa" w:w="140"/>
              <w:bottom w:type="dxa" w:w="100"/>
              <w:right w:type="dxa" w:w="140"/>
            </w:tcMar>
          </w:tcPr>
          <w:p>
            <w:pPr>
              <w:spacing w:after="0" w:before="0" w:line="280"/>
              <w:jc w:val="left"/>
            </w:pPr>
            <w:r>
              <w:rPr>
                <w:b/>
                <w:bCs/>
                <w:color w:val="FFFFFF"/>
                <w:sz w:val="20"/>
                <w:szCs w:val="20"/>
              </w:rPr>
              <w:t xml:space="preserve">Poste (FCFA)</w:t>
            </w:r>
          </w:p>
        </w:tc>
        <w:tc>
          <w:tcPr>
            <w:tcW w:type="dxa" w:w="20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1</w:t>
            </w:r>
          </w:p>
        </w:tc>
        <w:tc>
          <w:tcPr>
            <w:tcW w:type="dxa" w:w="20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2</w:t>
            </w:r>
          </w:p>
        </w:tc>
        <w:tc>
          <w:tcPr>
            <w:tcW w:type="dxa" w:w="200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Année 3</w:t>
            </w:r>
          </w:p>
        </w:tc>
      </w:tr>
      <w:tr>
        <w:tc>
          <w:tcPr>
            <w:tcW w:type="dxa" w:w="3000"/>
            <w:tcMar>
              <w:top w:type="dxa" w:w="100"/>
              <w:left w:type="dxa" w:w="140"/>
              <w:bottom w:type="dxa" w:w="100"/>
              <w:right w:type="dxa" w:w="140"/>
            </w:tcMar>
          </w:tcPr>
          <w:p>
            <w:pPr>
              <w:spacing w:after="0" w:before="0" w:line="280"/>
              <w:jc w:val="left"/>
            </w:pPr>
            <w:r>
              <w:rPr>
                <w:b/>
                <w:bCs/>
                <w:color w:val="1A1A1A"/>
                <w:sz w:val="20"/>
                <w:szCs w:val="20"/>
              </w:rPr>
              <w:t xml:space="preserve">Chiffre d'affaires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18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228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656 millions</w:t>
            </w:r>
          </w:p>
        </w:tc>
      </w:tr>
      <w:tr>
        <w:tc>
          <w:tcPr>
            <w:tcW w:type="dxa" w:w="30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Salaires et charges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130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220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310 millions</w:t>
            </w:r>
          </w:p>
        </w:tc>
      </w:tr>
      <w:tr>
        <w:tc>
          <w:tcPr>
            <w:tcW w:type="dxa" w:w="3000"/>
            <w:tcMar>
              <w:top w:type="dxa" w:w="100"/>
              <w:left w:type="dxa" w:w="140"/>
              <w:bottom w:type="dxa" w:w="100"/>
              <w:right w:type="dxa" w:w="140"/>
            </w:tcMar>
          </w:tcPr>
          <w:p>
            <w:pPr>
              <w:spacing w:after="0" w:before="0" w:line="280"/>
              <w:jc w:val="left"/>
            </w:pPr>
            <w:r>
              <w:rPr>
                <w:b w:val="false"/>
                <w:bCs w:val="false"/>
                <w:color w:val="1A1A1A"/>
                <w:sz w:val="20"/>
                <w:szCs w:val="20"/>
              </w:rPr>
              <w:t xml:space="preserve">Hardware et déploiement</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28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35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45 millions</w:t>
            </w:r>
          </w:p>
        </w:tc>
      </w:tr>
      <w:tr>
        <w:tc>
          <w:tcPr>
            <w:tcW w:type="dxa" w:w="30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Cloud et infrastructure</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15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28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40 millions</w:t>
            </w:r>
          </w:p>
        </w:tc>
      </w:tr>
      <w:tr>
        <w:tc>
          <w:tcPr>
            <w:tcW w:type="dxa" w:w="3000"/>
            <w:tcMar>
              <w:top w:type="dxa" w:w="100"/>
              <w:left w:type="dxa" w:w="140"/>
              <w:bottom w:type="dxa" w:w="100"/>
              <w:right w:type="dxa" w:w="140"/>
            </w:tcMar>
          </w:tcPr>
          <w:p>
            <w:pPr>
              <w:spacing w:after="0" w:before="0" w:line="280"/>
              <w:jc w:val="left"/>
            </w:pPr>
            <w:r>
              <w:rPr>
                <w:b w:val="false"/>
                <w:bCs w:val="false"/>
                <w:color w:val="1A1A1A"/>
                <w:sz w:val="20"/>
                <w:szCs w:val="20"/>
              </w:rPr>
              <w:t xml:space="preserve">Marketing et commercial</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12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30 millions</w:t>
            </w:r>
          </w:p>
        </w:tc>
        <w:tc>
          <w:tcPr>
            <w:tcW w:type="dxa" w:w="2000"/>
            <w:tcMar>
              <w:top w:type="dxa" w:w="100"/>
              <w:left w:type="dxa" w:w="140"/>
              <w:bottom w:type="dxa" w:w="100"/>
              <w:right w:type="dxa" w:w="140"/>
            </w:tcMar>
          </w:tcPr>
          <w:p>
            <w:pPr>
              <w:spacing w:after="0" w:before="0" w:line="280"/>
              <w:jc w:val="right"/>
            </w:pPr>
            <w:r>
              <w:rPr>
                <w:b w:val="false"/>
                <w:bCs w:val="false"/>
                <w:color w:val="1A1A1A"/>
                <w:sz w:val="20"/>
                <w:szCs w:val="20"/>
              </w:rPr>
              <w:t xml:space="preserve">55 millions</w:t>
            </w:r>
          </w:p>
        </w:tc>
      </w:tr>
      <w:tr>
        <w:tc>
          <w:tcPr>
            <w:tcW w:type="dxa" w:w="3000"/>
            <w:shd w:fill="F8F5EE" w:val="clear"/>
            <w:tcMar>
              <w:top w:type="dxa" w:w="100"/>
              <w:left w:type="dxa" w:w="140"/>
              <w:bottom w:type="dxa" w:w="100"/>
              <w:right w:type="dxa" w:w="140"/>
            </w:tcMar>
          </w:tcPr>
          <w:p>
            <w:pPr>
              <w:spacing w:after="0" w:before="0" w:line="280"/>
              <w:jc w:val="left"/>
            </w:pPr>
            <w:r>
              <w:rPr>
                <w:b w:val="false"/>
                <w:bCs w:val="false"/>
                <w:color w:val="1A1A1A"/>
                <w:sz w:val="20"/>
                <w:szCs w:val="20"/>
              </w:rPr>
              <w:t xml:space="preserve">Frais généraux et administratifs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25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35 millions</w:t>
            </w:r>
          </w:p>
        </w:tc>
        <w:tc>
          <w:tcPr>
            <w:tcW w:type="dxa" w:w="2000"/>
            <w:shd w:fill="F8F5EE" w:val="clear"/>
            <w:tcMar>
              <w:top w:type="dxa" w:w="100"/>
              <w:left w:type="dxa" w:w="140"/>
              <w:bottom w:type="dxa" w:w="100"/>
              <w:right w:type="dxa" w:w="140"/>
            </w:tcMar>
          </w:tcPr>
          <w:p>
            <w:pPr>
              <w:spacing w:after="0" w:before="0" w:line="280"/>
              <w:jc w:val="right"/>
            </w:pPr>
            <w:r>
              <w:rPr>
                <w:b w:val="false"/>
                <w:bCs w:val="false"/>
                <w:color w:val="1A1A1A"/>
                <w:sz w:val="20"/>
                <w:szCs w:val="20"/>
              </w:rPr>
              <w:t xml:space="preserve">45 millions</w:t>
            </w:r>
          </w:p>
        </w:tc>
      </w:tr>
      <w:tr>
        <w:tc>
          <w:tcPr>
            <w:tcW w:type="dxa" w:w="3000"/>
            <w:tcMar>
              <w:top w:type="dxa" w:w="100"/>
              <w:left w:type="dxa" w:w="140"/>
              <w:bottom w:type="dxa" w:w="100"/>
              <w:right w:type="dxa" w:w="140"/>
            </w:tcMar>
          </w:tcPr>
          <w:p>
            <w:pPr>
              <w:spacing w:after="0" w:before="0" w:line="280"/>
              <w:jc w:val="left"/>
            </w:pPr>
            <w:r>
              <w:rPr>
                <w:b/>
                <w:bCs/>
                <w:color w:val="1A1A1A"/>
                <w:sz w:val="20"/>
                <w:szCs w:val="20"/>
              </w:rPr>
              <w:t xml:space="preserve">Total charges</w:t>
            </w:r>
          </w:p>
        </w:tc>
        <w:tc>
          <w:tcPr>
            <w:tcW w:type="dxa" w:w="2000"/>
            <w:tcMar>
              <w:top w:type="dxa" w:w="100"/>
              <w:left w:type="dxa" w:w="140"/>
              <w:bottom w:type="dxa" w:w="100"/>
              <w:right w:type="dxa" w:w="140"/>
            </w:tcMar>
          </w:tcPr>
          <w:p>
            <w:pPr>
              <w:spacing w:after="0" w:before="0" w:line="280"/>
              <w:jc w:val="right"/>
            </w:pPr>
            <w:r>
              <w:rPr>
                <w:b/>
                <w:bCs/>
                <w:color w:val="1A1A1A"/>
                <w:sz w:val="20"/>
                <w:szCs w:val="20"/>
              </w:rPr>
              <w:t xml:space="preserve">210 millions</w:t>
            </w:r>
          </w:p>
        </w:tc>
        <w:tc>
          <w:tcPr>
            <w:tcW w:type="dxa" w:w="2000"/>
            <w:tcMar>
              <w:top w:type="dxa" w:w="100"/>
              <w:left w:type="dxa" w:w="140"/>
              <w:bottom w:type="dxa" w:w="100"/>
              <w:right w:type="dxa" w:w="140"/>
            </w:tcMar>
          </w:tcPr>
          <w:p>
            <w:pPr>
              <w:spacing w:after="0" w:before="0" w:line="280"/>
              <w:jc w:val="right"/>
            </w:pPr>
            <w:r>
              <w:rPr>
                <w:b/>
                <w:bCs/>
                <w:color w:val="1A1A1A"/>
                <w:sz w:val="20"/>
                <w:szCs w:val="20"/>
              </w:rPr>
              <w:t xml:space="preserve">348 millions</w:t>
            </w:r>
          </w:p>
        </w:tc>
        <w:tc>
          <w:tcPr>
            <w:tcW w:type="dxa" w:w="2000"/>
            <w:tcMar>
              <w:top w:type="dxa" w:w="100"/>
              <w:left w:type="dxa" w:w="140"/>
              <w:bottom w:type="dxa" w:w="100"/>
              <w:right w:type="dxa" w:w="140"/>
            </w:tcMar>
          </w:tcPr>
          <w:p>
            <w:pPr>
              <w:spacing w:after="0" w:before="0" w:line="280"/>
              <w:jc w:val="right"/>
            </w:pPr>
            <w:r>
              <w:rPr>
                <w:b/>
                <w:bCs/>
                <w:color w:val="1A1A1A"/>
                <w:sz w:val="20"/>
                <w:szCs w:val="20"/>
              </w:rPr>
              <w:t xml:space="preserve">495 millions</w:t>
            </w:r>
          </w:p>
        </w:tc>
      </w:tr>
      <w:tr>
        <w:tc>
          <w:tcPr>
            <w:tcW w:type="dxa" w:w="3000"/>
            <w:shd w:fill="1F3A5F" w:val="clear"/>
            <w:tcMar>
              <w:top w:type="dxa" w:w="100"/>
              <w:left w:type="dxa" w:w="140"/>
              <w:bottom w:type="dxa" w:w="100"/>
              <w:right w:type="dxa" w:w="140"/>
            </w:tcMar>
          </w:tcPr>
          <w:p>
            <w:pPr>
              <w:spacing w:after="0" w:before="0" w:line="280"/>
              <w:jc w:val="left"/>
            </w:pPr>
            <w:r>
              <w:rPr>
                <w:b/>
                <w:bCs/>
                <w:color w:val="FFFFFF"/>
                <w:sz w:val="20"/>
                <w:szCs w:val="20"/>
              </w:rPr>
              <w:t xml:space="preserve">Résultat avant impôt</w:t>
            </w:r>
          </w:p>
        </w:tc>
        <w:tc>
          <w:tcPr>
            <w:tcW w:type="dxa" w:w="20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-192 millions</w:t>
            </w:r>
          </w:p>
        </w:tc>
        <w:tc>
          <w:tcPr>
            <w:tcW w:type="dxa" w:w="20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-120 millions</w:t>
            </w:r>
          </w:p>
        </w:tc>
        <w:tc>
          <w:tcPr>
            <w:tcW w:type="dxa" w:w="2000"/>
            <w:shd w:fill="1F3A5F" w:val="clear"/>
            <w:tcMar>
              <w:top w:type="dxa" w:w="100"/>
              <w:left w:type="dxa" w:w="140"/>
              <w:bottom w:type="dxa" w:w="100"/>
              <w:right w:type="dxa" w:w="140"/>
            </w:tcMar>
          </w:tcPr>
          <w:p>
            <w:pPr>
              <w:spacing w:after="0" w:before="0" w:line="280"/>
              <w:jc w:val="right"/>
            </w:pPr>
            <w:r>
              <w:rPr>
                <w:b/>
                <w:bCs/>
                <w:color w:val="FFFFFF"/>
                <w:sz w:val="20"/>
                <w:szCs w:val="20"/>
              </w:rPr>
              <w:t xml:space="preserve">+161 millions</w:t>
            </w:r>
          </w:p>
        </w:tc>
      </w:tr>
    </w:tbl>
    <w:p>
      <w:pPr>
        <w:spacing w:after="160" w:before="0" w:line="320"/>
        <w:jc w:val="both"/>
      </w:pPr>
      <w:r>
        <w:rPr>
          <w:color w:val="1A1A1A"/>
          <w:sz w:val="22"/>
          <w:szCs w:val="22"/>
        </w:rPr>
        <w:t xml:space="preserve"/>
      </w:r>
    </w:p>
    <w:p>
      <w:pPr>
        <w:spacing w:after="160" w:before="0" w:line="320"/>
        <w:jc w:val="both"/>
      </w:pPr>
      <w:r>
        <w:rPr>
          <w:color w:val="1A1A1A"/>
          <w:sz w:val="22"/>
          <w:szCs w:val="22"/>
        </w:rPr>
        <w:t xml:space="preserve">Le point mort est atteint au cours de la troisième année. Les pertes cumulées sur les trois premiers exercices s'élèvent à environ 151 millions de FCFA, ce qui reste compatible avec le financement total levé de 320 millions de FCFA. La rentabilité opérationnelle au cours de l'année 3 ouvre la voie à une levée Series A en année 4 pour financer l'expansion régionale (Port-Gentil puis Cameroun).</w:t>
      </w:r>
    </w:p>
    <w:p>
      <w:pPr>
        <w:pStyle w:val="Heading1"/>
        <w:pBdr>
          <w:top w:val="single" w:color="B08B40" w:sz="8" w:space="12"/>
        </w:pBdr>
        <w:spacing w:after="80" w:before="520"/>
        <w:jc w:val="left"/>
      </w:pPr>
      <w:r>
        <w:rPr>
          <w:b/>
          <w:bCs/>
          <w:color w:val="B08B40"/>
          <w:sz w:val="30"/>
          <w:szCs w:val="30"/>
        </w:rPr>
        <w:t xml:space="preserve">6.3  </w:t>
      </w:r>
      <w:r>
        <w:rPr>
          <w:b/>
          <w:bCs/>
          <w:color w:val="1F3A5F"/>
          <w:sz w:val="30"/>
          <w:szCs w:val="30"/>
        </w:rPr>
        <w:t xml:space="preserve">Stratégie de levées successives</w:t>
      </w:r>
    </w:p>
    <w:p>
      <w:pPr>
        <w:spacing w:after="160" w:before="0" w:line="320"/>
        <w:jc w:val="both"/>
      </w:pPr>
      <w:r>
        <w:rPr>
          <w:color w:val="1A1A1A"/>
          <w:sz w:val="22"/>
          <w:szCs w:val="22"/>
        </w:rPr>
        <w:t xml:space="preserve">La stratégie de levée se déploie en trois tours sur cinq ans.</w:t>
      </w:r>
    </w:p>
    <w:p>
      <w:pPr>
        <w:pStyle w:val="Heading2"/>
        <w:spacing w:after="120" w:before="320"/>
      </w:pPr>
      <w:r>
        <w:rPr>
          <w:b/>
          <w:bCs/>
          <w:color w:val="1F3A5F"/>
          <w:sz w:val="24"/>
          <w:szCs w:val="24"/>
        </w:rPr>
        <w:t xml:space="preserve">Pre-seed (Mois 0 à 3)</w:t>
      </w:r>
    </w:p>
    <w:p>
      <w:pPr>
        <w:spacing w:after="160" w:before="0" w:line="320"/>
        <w:jc w:val="both"/>
      </w:pPr>
      <w:r>
        <w:rPr>
          <w:color w:val="1A1A1A"/>
          <w:sz w:val="22"/>
          <w:szCs w:val="22"/>
        </w:rPr>
        <w:t xml:space="preserve">Montant ciblé : 120 millions de FCFA, soit environ 183 000 euros. Valorisation pré-money visée : 680 millions de FCFA, soit environ 1,04 million d'euros. Dilution résultante : 15 %. Cibles d'investisseurs : business angels gabonais et de la diaspora, SING en tant qu'incubateur, fonds régionaux à petits tickets, subventions e-Startup et Pacte Numérique Gabonais en discussion. Le précédent POZI montre que ce calibre est atteignable au Gabon avec un dossier solide.</w:t>
      </w:r>
    </w:p>
    <w:p>
      <w:pPr>
        <w:pStyle w:val="Heading2"/>
        <w:spacing w:after="120" w:before="320"/>
      </w:pPr>
      <w:r>
        <w:rPr>
          <w:b/>
          <w:bCs/>
          <w:color w:val="1F3A5F"/>
          <w:sz w:val="24"/>
          <w:szCs w:val="24"/>
        </w:rPr>
        <w:t xml:space="preserve">Seed (Mois 9 à 12)</w:t>
      </w:r>
    </w:p>
    <w:p>
      <w:pPr>
        <w:spacing w:after="160" w:before="0" w:line="320"/>
        <w:jc w:val="both"/>
      </w:pPr>
      <w:r>
        <w:rPr>
          <w:color w:val="1A1A1A"/>
          <w:sz w:val="22"/>
          <w:szCs w:val="22"/>
        </w:rPr>
        <w:t xml:space="preserve">Montant ciblé : 200 millions de FCFA, soit environ 305 000 euros. Valorisation pré-money visée : 2 milliards de FCFA, soit environ 3 millions d'euros. Dilution résultante : 9 %. Cibles d'investisseurs : Saviu Ventures (qui a déjà investi dans POZI au Gabon), Partech Africa, TLcom Capital, Janngo Capital, Norrsken22, possiblement Proparco en co-investisseur impact. À ce stade, la traction démontrable (utilisateurs, contrats B2B, premier pilote B2G) crédibilise la valorisation.</w:t>
      </w:r>
    </w:p>
    <w:p>
      <w:pPr>
        <w:pStyle w:val="Heading2"/>
        <w:spacing w:after="120" w:before="320"/>
      </w:pPr>
      <w:r>
        <w:rPr>
          <w:b/>
          <w:bCs/>
          <w:color w:val="1F3A5F"/>
          <w:sz w:val="24"/>
          <w:szCs w:val="24"/>
        </w:rPr>
        <w:t xml:space="preserve">Series A (Mois 30 à 36)</w:t>
      </w:r>
    </w:p>
    <w:p>
      <w:pPr>
        <w:spacing w:after="160" w:before="0" w:line="320"/>
        <w:jc w:val="both"/>
      </w:pPr>
      <w:r>
        <w:rPr>
          <w:color w:val="1A1A1A"/>
          <w:sz w:val="22"/>
          <w:szCs w:val="22"/>
        </w:rPr>
        <w:t xml:space="preserve">Montant ciblé : 2 millions d'euros environ. Valorisation pré-money visée : 8 à 12 millions d'euros. Dilution résultante : 15 à 20 %. Objectif : financer l'expansion vers Port-Gentil et Douala, et doubler l'équipe technique. Cibles d'investisseurs : fonds Series A africains de référence (Norrsken22, TLcom Capital, Algebra Ventures, Sawari Ventures), DFIs (IFC Startup Catalyst, Proparco), possibles fonds VC européens spécialisés Afrique.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A5F" w:val="clear"/>
            <w:tcMar>
              <w:top w:type="dxa" w:w="100"/>
              <w:left w:type="dxa" w:w="140"/>
              <w:bottom w:type="dxa" w:w="100"/>
              <w:right w:type="dxa" w:w="140"/>
            </w:tcMar>
          </w:tcPr>
          <w:p>
            <w:pPr>
              <w:spacing w:after="0" w:before="0" w:line="280"/>
              <w:jc w:val="left"/>
            </w:pPr>
            <w:r>
              <w:rPr>
                <w:b/>
                <w:bCs/>
                <w:color w:val="FFFFFF"/>
                <w:sz w:val="20"/>
                <w:szCs w:val="20"/>
              </w:rPr>
              <w:t xml:space="preserve">Tour</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Période</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Montant levé</w:t>
            </w:r>
          </w:p>
        </w:tc>
        <w:tc>
          <w:tcPr>
            <w:tcW w:type="dxa" w:w="2250"/>
            <w:shd w:fill="1F3A5F" w:val="clear"/>
            <w:tcMar>
              <w:top w:type="dxa" w:w="100"/>
              <w:left w:type="dxa" w:w="140"/>
              <w:bottom w:type="dxa" w:w="100"/>
              <w:right w:type="dxa" w:w="140"/>
            </w:tcMar>
          </w:tcPr>
          <w:p>
            <w:pPr>
              <w:spacing w:after="0" w:before="0" w:line="280"/>
              <w:jc w:val="center"/>
            </w:pPr>
            <w:r>
              <w:rPr>
                <w:b/>
                <w:bCs/>
                <w:color w:val="FFFFFF"/>
                <w:sz w:val="20"/>
                <w:szCs w:val="20"/>
              </w:rPr>
              <w:t xml:space="preserve">Valo. pré-money</w:t>
            </w:r>
          </w:p>
        </w:tc>
      </w:tr>
      <w:tr>
        <w:tc>
          <w:tcPr>
            <w:tcW w:type="dxa" w:w="2250"/>
            <w:tcMar>
              <w:top w:type="dxa" w:w="100"/>
              <w:left w:type="dxa" w:w="140"/>
              <w:bottom w:type="dxa" w:w="100"/>
              <w:right w:type="dxa" w:w="140"/>
            </w:tcMar>
          </w:tcPr>
          <w:p>
            <w:pPr>
              <w:spacing w:after="0" w:before="0" w:line="280"/>
              <w:jc w:val="left"/>
            </w:pPr>
            <w:r>
              <w:rPr>
                <w:b/>
                <w:bCs/>
                <w:color w:val="1A1A1A"/>
                <w:sz w:val="20"/>
                <w:szCs w:val="20"/>
              </w:rPr>
              <w:t xml:space="preserve">Pre-seed</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Mois 0-3</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120 M FCFA</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680 M FCFA</w:t>
            </w:r>
          </w:p>
        </w:tc>
      </w:tr>
      <w:tr>
        <w:tc>
          <w:tcPr>
            <w:tcW w:type="dxa" w:w="2250"/>
            <w:shd w:fill="F8F5EE" w:val="clear"/>
            <w:tcMar>
              <w:top w:type="dxa" w:w="100"/>
              <w:left w:type="dxa" w:w="140"/>
              <w:bottom w:type="dxa" w:w="100"/>
              <w:right w:type="dxa" w:w="140"/>
            </w:tcMar>
          </w:tcPr>
          <w:p>
            <w:pPr>
              <w:spacing w:after="0" w:before="0" w:line="280"/>
              <w:jc w:val="left"/>
            </w:pPr>
            <w:r>
              <w:rPr>
                <w:b/>
                <w:bCs/>
                <w:color w:val="1A1A1A"/>
                <w:sz w:val="20"/>
                <w:szCs w:val="20"/>
              </w:rPr>
              <w:t xml:space="preserve">Seed</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Mois 9-12</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200 M FCFA</w:t>
            </w:r>
          </w:p>
        </w:tc>
        <w:tc>
          <w:tcPr>
            <w:tcW w:type="dxa" w:w="2250"/>
            <w:shd w:fill="F8F5EE" w:val="clear"/>
            <w:tcMar>
              <w:top w:type="dxa" w:w="100"/>
              <w:left w:type="dxa" w:w="140"/>
              <w:bottom w:type="dxa" w:w="100"/>
              <w:right w:type="dxa" w:w="140"/>
            </w:tcMar>
          </w:tcPr>
          <w:p>
            <w:pPr>
              <w:spacing w:after="0" w:before="0" w:line="280"/>
              <w:jc w:val="center"/>
            </w:pPr>
            <w:r>
              <w:rPr>
                <w:b w:val="false"/>
                <w:bCs w:val="false"/>
                <w:color w:val="1A1A1A"/>
                <w:sz w:val="20"/>
                <w:szCs w:val="20"/>
              </w:rPr>
              <w:t xml:space="preserve">2 milliards FCFA</w:t>
            </w:r>
          </w:p>
        </w:tc>
      </w:tr>
      <w:tr>
        <w:tc>
          <w:tcPr>
            <w:tcW w:type="dxa" w:w="2250"/>
            <w:tcMar>
              <w:top w:type="dxa" w:w="100"/>
              <w:left w:type="dxa" w:w="140"/>
              <w:bottom w:type="dxa" w:w="100"/>
              <w:right w:type="dxa" w:w="140"/>
            </w:tcMar>
          </w:tcPr>
          <w:p>
            <w:pPr>
              <w:spacing w:after="0" w:before="0" w:line="280"/>
              <w:jc w:val="left"/>
            </w:pPr>
            <w:r>
              <w:rPr>
                <w:b/>
                <w:bCs/>
                <w:color w:val="1A1A1A"/>
                <w:sz w:val="20"/>
                <w:szCs w:val="20"/>
              </w:rPr>
              <w:t xml:space="preserve">Series A</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Mois 30-36</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1,3 milliard FCFA</w:t>
            </w:r>
          </w:p>
        </w:tc>
        <w:tc>
          <w:tcPr>
            <w:tcW w:type="dxa" w:w="2250"/>
            <w:tcMar>
              <w:top w:type="dxa" w:w="100"/>
              <w:left w:type="dxa" w:w="140"/>
              <w:bottom w:type="dxa" w:w="100"/>
              <w:right w:type="dxa" w:w="140"/>
            </w:tcMar>
          </w:tcPr>
          <w:p>
            <w:pPr>
              <w:spacing w:after="0" w:before="0" w:line="280"/>
              <w:jc w:val="center"/>
            </w:pPr>
            <w:r>
              <w:rPr>
                <w:b w:val="false"/>
                <w:bCs w:val="false"/>
                <w:color w:val="1A1A1A"/>
                <w:sz w:val="20"/>
                <w:szCs w:val="20"/>
              </w:rPr>
              <w:t xml:space="preserve">6,5 milliards FCFA</w:t>
            </w:r>
          </w:p>
        </w:tc>
      </w:tr>
    </w:tbl>
    <w:p>
      <w:r>
        <w:br w:type="page"/>
      </w:r>
    </w:p>
    <w:p>
      <w:pPr>
        <w:spacing w:after="2400" w:before="0"/>
      </w:pPr>
      <w:r>
        <w:t xml:space="preserve"/>
      </w:r>
    </w:p>
    <w:p>
      <w:pPr>
        <w:spacing w:after="80" w:before="0"/>
        <w:jc w:val="center"/>
      </w:pPr>
      <w:r>
        <w:rPr>
          <w:b/>
          <w:bCs/>
          <w:color w:val="B08B40"/>
          <w:spacing w:val="120"/>
          <w:sz w:val="28"/>
          <w:szCs w:val="28"/>
        </w:rPr>
        <w:t xml:space="preserve">PARTIE VII</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Juridique et institutionnel</w:t>
      </w:r>
    </w:p>
    <w:p>
      <w:r>
        <w:br w:type="page"/>
      </w:r>
    </w:p>
    <w:p>
      <w:pPr>
        <w:pStyle w:val="Heading1"/>
        <w:pBdr>
          <w:top w:val="single" w:color="B08B40" w:sz="8" w:space="12"/>
        </w:pBdr>
        <w:spacing w:after="80" w:before="520"/>
        <w:jc w:val="left"/>
      </w:pPr>
      <w:r>
        <w:rPr>
          <w:b/>
          <w:bCs/>
          <w:color w:val="B08B40"/>
          <w:sz w:val="30"/>
          <w:szCs w:val="30"/>
        </w:rPr>
        <w:t xml:space="preserve">7.1  </w:t>
      </w:r>
      <w:r>
        <w:rPr>
          <w:b/>
          <w:bCs/>
          <w:color w:val="1F3A5F"/>
          <w:sz w:val="30"/>
          <w:szCs w:val="30"/>
        </w:rPr>
        <w:t xml:space="preserve">Forme juridique et structuration</w:t>
      </w:r>
    </w:p>
    <w:p>
      <w:pPr>
        <w:spacing w:after="160" w:before="0" w:line="320"/>
        <w:jc w:val="both"/>
      </w:pPr>
      <w:r>
        <w:rPr>
          <w:color w:val="1A1A1A"/>
          <w:sz w:val="22"/>
          <w:szCs w:val="22"/>
        </w:rPr>
        <w:t xml:space="preserve">La forme juridique optimale combine deux entités, dans une architecture aujourd'hui standard pour les startups africaines visant le capital-risque international.</w:t>
      </w:r>
    </w:p>
    <w:p>
      <w:pPr>
        <w:pStyle w:val="Heading2"/>
        <w:spacing w:after="120" w:before="320"/>
      </w:pPr>
      <w:r>
        <w:rPr>
          <w:b/>
          <w:bCs/>
          <w:color w:val="1F3A5F"/>
          <w:sz w:val="24"/>
          <w:szCs w:val="24"/>
        </w:rPr>
        <w:t xml:space="preserve">Entité opérationnelle gabonaise</w:t>
      </w:r>
    </w:p>
    <w:p>
      <w:pPr>
        <w:spacing w:after="160" w:before="0" w:line="320"/>
        <w:jc w:val="both"/>
      </w:pPr>
      <w:r>
        <w:rPr>
          <w:color w:val="1A1A1A"/>
          <w:sz w:val="22"/>
          <w:szCs w:val="22"/>
        </w:rPr>
        <w:t xml:space="preserve">Une société anonyme simplifiée (SAS) ou une société à responsabilité limitée (SARL) de droit gabonais, immatriculée à Libreville, qui porte l'ensemble des activités opérationnelles, l'emploi, les contrats commerciaux et les relations institutionnelles. Cette entité bénéficiera, sous réserve de son agrément, des avantages prévus par la future Start-up Act gabonaise en préparation par le Ministère de l'Économie numérique.</w:t>
      </w:r>
    </w:p>
    <w:p>
      <w:pPr>
        <w:pStyle w:val="Heading2"/>
        <w:spacing w:after="120" w:before="320"/>
      </w:pPr>
      <w:r>
        <w:rPr>
          <w:b/>
          <w:bCs/>
          <w:color w:val="1F3A5F"/>
          <w:sz w:val="24"/>
          <w:szCs w:val="24"/>
        </w:rPr>
        <w:t xml:space="preserve">Holding internationale</w:t>
      </w:r>
    </w:p>
    <w:p>
      <w:pPr>
        <w:spacing w:after="160" w:before="0" w:line="320"/>
        <w:jc w:val="both"/>
      </w:pPr>
      <w:r>
        <w:rPr>
          <w:color w:val="1A1A1A"/>
          <w:sz w:val="22"/>
          <w:szCs w:val="22"/>
        </w:rPr>
        <w:t xml:space="preserve">Une société mère immatriculée dans une juridiction adaptée au capital-risque international, à choisir entre Maurice, Delaware (États-Unis) ou Royaume-Uni. Cette holding détient la totalité du capital de la filiale gabonaise et constitue la véhicule d'investissement pour les tours successifs. Maurice présente l'avantage de la proximité géographique et culturelle (francophone, Afrique) avec des accords de non-double imposition avec le Gabon, et est le choix le plus fréquent pour les startups d'Afrique centrale et de l'Est.</w:t>
      </w:r>
    </w:p>
    <w:p>
      <w:pPr>
        <w:spacing w:after="160" w:before="0" w:line="320"/>
        <w:jc w:val="both"/>
      </w:pPr>
      <w:r>
        <w:rPr>
          <w:color w:val="1A1A1A"/>
          <w:sz w:val="22"/>
          <w:szCs w:val="22"/>
        </w:rPr>
        <w:t xml:space="preserve">Cette structure à deux niveaux apporte trois bénéfices décisifs. Premièrement, elle facilite l'entrée d'investisseurs internationaux peu familiers du droit gabonais et plus à l'aise avec un droit anglo-saxon ou des juridictions financières connues. Deuxièmement, elle permet une portabilité juridique du projet en cas d'évolution politique défavorable. Troisièmement, elle facilite les futures expansions régionales par l'ouverture de filiales additionnelles dans d'autres pays africains, toutes détenues par la même holding.</w:t>
      </w:r>
    </w:p>
    <w:p>
      <w:pPr>
        <w:pStyle w:val="Heading2"/>
        <w:spacing w:after="120" w:before="320"/>
      </w:pPr>
      <w:r>
        <w:rPr>
          <w:b/>
          <w:bCs/>
          <w:color w:val="1F3A5F"/>
          <w:sz w:val="24"/>
          <w:szCs w:val="24"/>
        </w:rPr>
        <w:t xml:space="preserve">Coût et calendrier de structuration</w:t>
      </w:r>
    </w:p>
    <w:p>
      <w:pPr>
        <w:spacing w:after="160" w:before="0" w:line="320"/>
        <w:jc w:val="both"/>
      </w:pPr>
      <w:r>
        <w:rPr>
          <w:color w:val="1A1A1A"/>
          <w:sz w:val="22"/>
          <w:szCs w:val="22"/>
        </w:rPr>
        <w:t xml:space="preserve">La structuration juridique complète des deux entités est estimée à 12 millions de FCFA et nécessite environ douze semaines. Elle comprend la rédaction des statuts, le pacte d'associés entre les fondateurs, l'immatriculation des deux structures, l'ouverture des comptes bancaires, et la mise en place de la documentation contractuelle de base (modèles de contrats employés, prestataires, clients). Un cabinet juridique gabonais expérimenté en droit des affaires sera retenu (Chazai Wamba, qui a accompagné POZI dans sa levée Saviu Ventures, est un candidat naturel).</w:t>
      </w:r>
    </w:p>
    <w:p>
      <w:pPr>
        <w:pStyle w:val="Heading1"/>
        <w:pBdr>
          <w:top w:val="single" w:color="B08B40" w:sz="8" w:space="12"/>
        </w:pBdr>
        <w:spacing w:after="80" w:before="520"/>
        <w:jc w:val="left"/>
      </w:pPr>
      <w:r>
        <w:rPr>
          <w:b/>
          <w:bCs/>
          <w:color w:val="B08B40"/>
          <w:sz w:val="30"/>
          <w:szCs w:val="30"/>
        </w:rPr>
        <w:t xml:space="preserve">7.2  </w:t>
      </w:r>
      <w:r>
        <w:rPr>
          <w:b/>
          <w:bCs/>
          <w:color w:val="1F3A5F"/>
          <w:sz w:val="30"/>
          <w:szCs w:val="30"/>
        </w:rPr>
        <w:t xml:space="preserve">Conformité et propriété intellectuelle</w:t>
      </w:r>
    </w:p>
    <w:p>
      <w:pPr>
        <w:pStyle w:val="Heading2"/>
        <w:spacing w:after="120" w:before="320"/>
      </w:pPr>
      <w:r>
        <w:rPr>
          <w:b/>
          <w:bCs/>
          <w:color w:val="1F3A5F"/>
          <w:sz w:val="24"/>
          <w:szCs w:val="24"/>
        </w:rPr>
        <w:t xml:space="preserve">Protection des données personnelles</w:t>
      </w:r>
    </w:p>
    <w:p>
      <w:pPr>
        <w:spacing w:after="160" w:before="0" w:line="320"/>
        <w:jc w:val="both"/>
      </w:pPr>
      <w:r>
        <w:rPr>
          <w:color w:val="1A1A1A"/>
          <w:sz w:val="22"/>
          <w:szCs w:val="22"/>
        </w:rPr>
        <w:t xml:space="preserve">La plateforme collecte des données personnelles (positions GPS, déclarations d'intentions, identifiants utilisateurs) qui exigent une conformité rigoureuse. Le Gabon dispose depuis 2011 d'une loi sur la protection des données personnelles, complétée par la Commission nationale pour la protection des données à caractère personnel (CNPDCP). L'entreprise procédera à la déclaration de ses traitements auprès de cette autorité, et s'alignera également sur le standard RGPD européen pour faciliter une éventuelle expansion à long terme. Les principes opérationnels énoncés en partie I (déclaration volontaire, agrégation anonyme, absence de revente individuelle) constituent la traduction concrète de cette conformité.</w:t>
      </w:r>
    </w:p>
    <w:p>
      <w:pPr>
        <w:pStyle w:val="Heading2"/>
        <w:spacing w:after="120" w:before="320"/>
      </w:pPr>
      <w:r>
        <w:rPr>
          <w:b/>
          <w:bCs/>
          <w:color w:val="1F3A5F"/>
          <w:sz w:val="24"/>
          <w:szCs w:val="24"/>
        </w:rPr>
        <w:t xml:space="preserve">Propriété intellectuelle</w:t>
      </w:r>
    </w:p>
    <w:p>
      <w:pPr>
        <w:spacing w:after="160" w:before="0" w:line="320"/>
        <w:jc w:val="both"/>
      </w:pPr>
      <w:r>
        <w:rPr>
          <w:color w:val="1A1A1A"/>
          <w:sz w:val="22"/>
          <w:szCs w:val="22"/>
        </w:rPr>
        <w:t xml:space="preserve">Quatre types d'actifs immatériels seront à protéger. Le code source de la plateforme et des modèles d'intelligence artificielle, qui sera détenu en propre par l'entité gabonaise et licencé à la holding selon un contrat de cession ou de licence intra-groupe. La marque, qui sera déposée auprès de l'OAPI (Organisation africaine de la propriété intellectuelle) couvrant l'ensemble des États membres, soit dix-sept pays d'Afrique francophone. Les jeux de données propriétaires (carte enrichie, annuaire des lieux, historiques de mobilité), qui sont protégés par le droit des bases de données et par contrat avec les utilisateurs. Les inventions techniques significatives (par exemple une innovation dans le pipeline de prédiction de trafic), qui pourront faire l'objet de demandes de brevet au cas par cas.</w:t>
      </w:r>
    </w:p>
    <w:p>
      <w:pPr>
        <w:pStyle w:val="Heading2"/>
        <w:spacing w:after="120" w:before="320"/>
      </w:pPr>
      <w:r>
        <w:rPr>
          <w:b/>
          <w:bCs/>
          <w:color w:val="1F3A5F"/>
          <w:sz w:val="24"/>
          <w:szCs w:val="24"/>
        </w:rPr>
        <w:t xml:space="preserve">Conformité réglementaire sectorielle</w:t>
      </w:r>
    </w:p>
    <w:p>
      <w:pPr>
        <w:spacing w:after="160" w:before="0" w:line="320"/>
        <w:jc w:val="both"/>
      </w:pPr>
      <w:r>
        <w:rPr>
          <w:color w:val="1A1A1A"/>
          <w:sz w:val="22"/>
          <w:szCs w:val="22"/>
        </w:rPr>
        <w:t xml:space="preserve">Trois agréments seront à obtenir pour opérer dans le périmètre prévu. Un agrément de l'ARCEP en tant qu'opérateur de services à valeur ajoutée, si la plateforme dépasse certains seuils de déploiement. Une autorisation de la Mairie de Libreville pour l'installation de caméras sur le domaine public. Une déclaration d'activité auprès du Ministère des Transports en tant qu'acteur de la chaîne d'information de la mobilité. Le coût total de ces démarches est estimé à 4 millions de FCFA et leur calendrier est compatible avec le déploiement opérationnel.</w:t>
      </w:r>
    </w:p>
    <w:p>
      <w:r>
        <w:br w:type="page"/>
      </w:r>
    </w:p>
    <w:p>
      <w:pPr>
        <w:spacing w:after="2400" w:before="0"/>
      </w:pPr>
      <w:r>
        <w:t xml:space="preserve"/>
      </w:r>
    </w:p>
    <w:p>
      <w:pPr>
        <w:spacing w:after="80" w:before="0"/>
        <w:jc w:val="center"/>
      </w:pPr>
      <w:r>
        <w:rPr>
          <w:b/>
          <w:bCs/>
          <w:color w:val="B08B40"/>
          <w:spacing w:val="120"/>
          <w:sz w:val="28"/>
          <w:szCs w:val="28"/>
        </w:rPr>
        <w:t xml:space="preserve">PARTIE </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Conclusion et prochaines étapes</w:t>
      </w:r>
    </w:p>
    <w:p>
      <w:r>
        <w:br w:type="page"/>
      </w:r>
    </w:p>
    <w:p>
      <w:pPr>
        <w:spacing w:after="160" w:before="0" w:line="320"/>
        <w:jc w:val="both"/>
      </w:pPr>
      <w:r>
        <w:rPr>
          <w:color w:val="1A1A1A"/>
          <w:sz w:val="22"/>
          <w:szCs w:val="22"/>
        </w:rPr>
        <w:t xml:space="preserve">Ce document est le volet I d'un dispositif de documentation entrepreneuriale qui comprendra à terme trois livrables imbriqués. Le présent business plan est le document de référence interne, conçu comme la carte de navigation détaillée du projet, à laquelle l'équipe et les fondateurs reviendront aussi souvent que nécessaire pour ajuster les décisions opérationnelles. Le memorandum d'investissement de quinze à vingt pages, à produire dans la séquence suivante, en extraira les arguments destinés aux investisseurs et permettra une lecture rapide en quinze minutes. Le pitch deck de douze à quinze slides, dernier livrable de cette série, condensera le tout pour les présentations orales en salle de réunion.</w:t>
      </w:r>
    </w:p>
    <w:p>
      <w:pPr>
        <w:spacing w:after="160" w:before="0" w:line="320"/>
        <w:jc w:val="both"/>
      </w:pPr>
      <w:r>
        <w:rPr>
          <w:color w:val="1A1A1A"/>
          <w:sz w:val="22"/>
          <w:szCs w:val="22"/>
        </w:rPr>
        <w:t xml:space="preserve">Trois décisions doivent être prises avant de passer à la production des deux autres livrables. La première concerne le choix du nom commercial du projet, qui sera porté par la marque et qui doit pouvoir tenir dans une phrase du quotidien. La seconde concerne le choix du co-fondateur opérationnel, dont le profil et l'expertise complémentaires à ceux du fondateur initial conditionnent largement la crédibilité du dossier aux yeux des investisseurs. La troisième concerne l'identification d'un premier partenaire pilote (idéalement une grande entreprise gabonaise comme BGFI, TotalEnergies Marketing ou Olam Gabon) auprès duquel sera testée la première communauté captive d'utilisateurs.</w:t>
      </w:r>
    </w:p>
    <w:p>
      <w:pPr>
        <w:spacing w:after="160" w:before="0" w:line="320"/>
        <w:jc w:val="both"/>
      </w:pPr>
      <w:r>
        <w:rPr>
          <w:color w:val="1A1A1A"/>
          <w:sz w:val="22"/>
          <w:szCs w:val="22"/>
        </w:rPr>
        <w:t xml:space="preserve">Au-delà de ces décisions, deux chantiers doivent être lancés en parallèle dès la validation du business plan. Le chantier juridique, par la sélection du cabinet d'affaires gabonais et l'engagement du processus de structuration des deux entités. Et le chantier financier, par la préparation du dossier pre-seed et l'identification des dix à quinze interlocuteurs les plus pertinents à approcher en première vague.</w:t>
      </w:r>
    </w:p>
    <w:p>
      <w:pPr>
        <w:spacing w:after="160" w:before="0" w:line="320"/>
        <w:jc w:val="both"/>
      </w:pPr>
      <w:r>
        <w:rPr>
          <w:color w:val="1A1A1A"/>
          <w:sz w:val="22"/>
          <w:szCs w:val="22"/>
        </w:rPr>
        <w:t xml:space="preserve">Le présent document a montré que le projet d'une plateforme d'intelligence collective de la mobilité urbaine à Libreville n'est ni une utopie technologique ni une promesse marketing creuse. Il s'appuie sur un problème mesuré, dans un marché évalué selon une méthode standard, avec une équipe à constituer, des financements à mobiliser, des risques identifiés et leurs mitigations, et un calendrier réaliste. Sa réussite n'est pas garantie, mais ses chances sont structurellement supérieures à la médiane des projets qui se présentent aujourd'hui dans l'écosystème gabonais, parce qu'il combine une rupture conceptuelle originale, un ancrage culturel inimitable, un timing politique favorable et un précédent local (POZI) qui prouve que le capital international peut désormais venir au Gabon.</w:t>
      </w:r>
    </w:p>
    <w:p>
      <w:pPr>
        <w:spacing w:after="160" w:before="0" w:line="320"/>
        <w:jc w:val="both"/>
      </w:pPr>
      <w:r>
        <w:rPr>
          <w:color w:val="1A1A1A"/>
          <w:sz w:val="22"/>
          <w:szCs w:val="22"/>
        </w:rPr>
        <w:t xml:space="preserve">La suite appartient à l'exécution.</w:t>
      </w:r>
    </w:p>
    <w:p>
      <w:r>
        <w:br w:type="page"/>
      </w:r>
    </w:p>
    <w:p>
      <w:pPr>
        <w:spacing w:after="2400" w:before="0"/>
      </w:pPr>
      <w:r>
        <w:t xml:space="preserve"/>
      </w:r>
    </w:p>
    <w:p>
      <w:pPr>
        <w:spacing w:after="80" w:before="0"/>
        <w:jc w:val="center"/>
      </w:pPr>
      <w:r>
        <w:rPr>
          <w:b/>
          <w:bCs/>
          <w:color w:val="B08B40"/>
          <w:spacing w:val="120"/>
          <w:sz w:val="28"/>
          <w:szCs w:val="28"/>
        </w:rPr>
        <w:t xml:space="preserve">PARTIE </w:t>
      </w:r>
    </w:p>
    <w:p>
      <w:pPr>
        <w:pBdr>
          <w:bottom w:val="single" w:color="B08B40" w:sz="10" w:space="1"/>
        </w:pBdr>
        <w:spacing w:after="120" w:before="120"/>
        <w:ind w:left="2880" w:right="2880"/>
        <w:jc w:val="center"/>
      </w:pPr>
      <w:r>
        <w:rPr>
          <w:sz w:val="4"/>
          <w:szCs w:val="4"/>
        </w:rPr>
        <w:t xml:space="preserve"/>
      </w:r>
    </w:p>
    <w:p>
      <w:pPr>
        <w:spacing w:after="0" w:before="240" w:line="400"/>
        <w:jc w:val="center"/>
      </w:pPr>
      <w:r>
        <w:rPr>
          <w:b/>
          <w:bCs/>
          <w:color w:val="1F3A5F"/>
          <w:sz w:val="44"/>
          <w:szCs w:val="44"/>
        </w:rPr>
        <w:t xml:space="preserve">Sources et références</w:t>
      </w:r>
    </w:p>
    <w:p>
      <w:r>
        <w:br w:type="page"/>
      </w:r>
    </w:p>
    <w:p>
      <w:pPr>
        <w:spacing w:after="160" w:before="0" w:line="320"/>
        <w:jc w:val="both"/>
      </w:pPr>
      <w:r>
        <w:rPr>
          <w:color w:val="1A1A1A"/>
          <w:sz w:val="22"/>
          <w:szCs w:val="22"/>
        </w:rPr>
        <w:t xml:space="preserve">Ce business plan s'appuie exclusivement sur un corpus de sources gabonaises et africaines de référence, rassemblées entre janvier et mai 2026. L'ensemble des données chiffrées et des affirmations factuelles a été vérifié à partir d'au moins une source publique consultable. Les sources sont classées ci-dessous par catégorie.</w:t>
      </w:r>
    </w:p>
    <w:p>
      <w:pPr>
        <w:spacing w:after="120" w:before="280"/>
      </w:pPr>
      <w:r>
        <w:rPr>
          <w:b/>
          <w:bCs/>
          <w:caps/>
          <w:color w:val="B08B40"/>
          <w:spacing w:val="40"/>
          <w:sz w:val="22"/>
          <w:szCs w:val="22"/>
        </w:rPr>
        <w:t xml:space="preserve">Données économiques et démographiques officielles</w:t>
      </w:r>
    </w:p>
    <w:p>
      <w:pPr>
        <w:spacing w:after="100" w:before="0" w:line="280"/>
        <w:ind w:left="360" w:hanging="360"/>
        <w:jc w:val="both"/>
      </w:pPr>
      <w:r>
        <w:rPr>
          <w:color w:val="1A1A1A"/>
          <w:sz w:val="20"/>
          <w:szCs w:val="20"/>
        </w:rPr>
        <w:t xml:space="preserve">Direction générale de l'emploi (Gabon). Enquête nationale sur l'emploi et le chômage (ENEC), publiée en avril 2026, données 2024.</w:t>
      </w:r>
    </w:p>
    <w:p>
      <w:pPr>
        <w:spacing w:after="100" w:before="0" w:line="280"/>
        <w:ind w:left="360" w:hanging="360"/>
        <w:jc w:val="both"/>
      </w:pPr>
      <w:r>
        <w:rPr>
          <w:color w:val="1A1A1A"/>
          <w:sz w:val="20"/>
          <w:szCs w:val="20"/>
        </w:rPr>
        <w:t xml:space="preserve">Direction générale de la Statistique du Gabon. Recensement général de la population et des logements (RGPL), 2013, projections actualisées.</w:t>
      </w:r>
    </w:p>
    <w:p>
      <w:pPr>
        <w:spacing w:after="100" w:before="0" w:line="280"/>
        <w:ind w:left="360" w:hanging="360"/>
        <w:jc w:val="both"/>
      </w:pPr>
      <w:r>
        <w:rPr>
          <w:color w:val="1A1A1A"/>
          <w:sz w:val="20"/>
          <w:szCs w:val="20"/>
        </w:rPr>
        <w:t xml:space="preserve">Plan national de croissance et de développement (PNCD). Structure de l'économie gabonaise par secteur, données 2024.</w:t>
      </w:r>
    </w:p>
    <w:p>
      <w:pPr>
        <w:spacing w:after="100" w:before="0" w:line="280"/>
        <w:ind w:left="360" w:hanging="360"/>
        <w:jc w:val="both"/>
      </w:pPr>
      <w:r>
        <w:rPr>
          <w:color w:val="1A1A1A"/>
          <w:sz w:val="20"/>
          <w:szCs w:val="20"/>
        </w:rPr>
        <w:t xml:space="preserve">Plan national de développement pour la transition (PNDT), République gabonaise, 2024-2026.</w:t>
      </w:r>
    </w:p>
    <w:p>
      <w:pPr>
        <w:spacing w:after="100" w:before="0" w:line="280"/>
        <w:ind w:left="360" w:hanging="360"/>
        <w:jc w:val="both"/>
      </w:pPr>
      <w:r>
        <w:rPr>
          <w:color w:val="1A1A1A"/>
          <w:sz w:val="20"/>
          <w:szCs w:val="20"/>
        </w:rPr>
        <w:t xml:space="preserve">Banque africaine de développement. Perspectives économiques au Gabon, 2024-2025.</w:t>
      </w:r>
    </w:p>
    <w:p>
      <w:pPr>
        <w:spacing w:after="100" w:before="0" w:line="280"/>
        <w:ind w:left="360" w:hanging="360"/>
        <w:jc w:val="both"/>
      </w:pPr>
      <w:r>
        <w:rPr>
          <w:color w:val="1A1A1A"/>
          <w:sz w:val="20"/>
          <w:szCs w:val="20"/>
        </w:rPr>
        <w:t xml:space="preserve">Banque mondiale. Note de conjoncture économique du Gabon 2024.</w:t>
      </w:r>
    </w:p>
    <w:p>
      <w:pPr>
        <w:spacing w:after="100" w:before="0" w:line="280"/>
        <w:ind w:left="360" w:hanging="360"/>
        <w:jc w:val="both"/>
      </w:pPr>
      <w:r>
        <w:rPr>
          <w:color w:val="1A1A1A"/>
          <w:sz w:val="20"/>
          <w:szCs w:val="20"/>
        </w:rPr>
        <w:t xml:space="preserve">ONU, Département des affaires économiques et sociales. World Urbanization Prospects, édition 2024.</w:t>
      </w:r>
    </w:p>
    <w:p>
      <w:pPr>
        <w:spacing w:after="120" w:before="280"/>
      </w:pPr>
      <w:r>
        <w:rPr>
          <w:b/>
          <w:bCs/>
          <w:caps/>
          <w:color w:val="B08B40"/>
          <w:spacing w:val="40"/>
          <w:sz w:val="22"/>
          <w:szCs w:val="22"/>
        </w:rPr>
        <w:t xml:space="preserve">Écosystème numérique et startups</w:t>
      </w:r>
    </w:p>
    <w:p>
      <w:pPr>
        <w:spacing w:after="100" w:before="0" w:line="280"/>
        <w:ind w:left="360" w:hanging="360"/>
        <w:jc w:val="both"/>
      </w:pPr>
      <w:r>
        <w:rPr>
          <w:color w:val="1A1A1A"/>
          <w:sz w:val="20"/>
          <w:szCs w:val="20"/>
        </w:rPr>
        <w:t xml:space="preserve">Société d'incubation numérique du Gabon (SING). Rapport 2025 sur les startups gabonaises, 121 acteurs identifiés.</w:t>
      </w:r>
    </w:p>
    <w:p>
      <w:pPr>
        <w:spacing w:after="100" w:before="0" w:line="280"/>
        <w:ind w:left="360" w:hanging="360"/>
        <w:jc w:val="both"/>
      </w:pPr>
      <w:r>
        <w:rPr>
          <w:color w:val="1A1A1A"/>
          <w:sz w:val="20"/>
          <w:szCs w:val="20"/>
        </w:rPr>
        <w:t xml:space="preserve">Ministère de l'Économie numérique, de la Digitalisation et de l'Innovation (Mark Alexandre Doumba). Interventions au café numérique, juin 2025.</w:t>
      </w:r>
    </w:p>
    <w:p>
      <w:pPr>
        <w:spacing w:after="100" w:before="0" w:line="280"/>
        <w:ind w:left="360" w:hanging="360"/>
        <w:jc w:val="both"/>
      </w:pPr>
      <w:r>
        <w:rPr>
          <w:color w:val="1A1A1A"/>
          <w:sz w:val="20"/>
          <w:szCs w:val="20"/>
        </w:rPr>
        <w:t xml:space="preserve">TECH 241. Dix propositions pour l'écosystème numérique gabonais, octobre 2025.</w:t>
      </w:r>
    </w:p>
    <w:p>
      <w:pPr>
        <w:spacing w:after="100" w:before="0" w:line="280"/>
        <w:ind w:left="360" w:hanging="360"/>
        <w:jc w:val="both"/>
      </w:pPr>
      <w:r>
        <w:rPr>
          <w:color w:val="1A1A1A"/>
          <w:sz w:val="20"/>
          <w:szCs w:val="20"/>
        </w:rPr>
        <w:t xml:space="preserve">StartupBlink. Global Startup Ecosystem Index 2025.</w:t>
      </w:r>
    </w:p>
    <w:p>
      <w:pPr>
        <w:spacing w:after="100" w:before="0" w:line="280"/>
        <w:ind w:left="360" w:hanging="360"/>
        <w:jc w:val="both"/>
      </w:pPr>
      <w:r>
        <w:rPr>
          <w:color w:val="1A1A1A"/>
          <w:sz w:val="20"/>
          <w:szCs w:val="20"/>
        </w:rPr>
        <w:t xml:space="preserve">Insidenews241. Articles sur l'écosystème startup gabonais, 2024-2025.</w:t>
      </w:r>
    </w:p>
    <w:p>
      <w:pPr>
        <w:spacing w:after="100" w:before="0" w:line="280"/>
        <w:ind w:left="360" w:hanging="360"/>
        <w:jc w:val="both"/>
      </w:pPr>
      <w:r>
        <w:rPr>
          <w:color w:val="1A1A1A"/>
          <w:sz w:val="20"/>
          <w:szCs w:val="20"/>
        </w:rPr>
        <w:t xml:space="preserve">Saviu Ventures. Profil de fonds et thèse d'investissement, www.saviu-ventures.com.</w:t>
      </w:r>
    </w:p>
    <w:p>
      <w:pPr>
        <w:spacing w:after="120" w:before="280"/>
      </w:pPr>
      <w:r>
        <w:rPr>
          <w:b/>
          <w:bCs/>
          <w:caps/>
          <w:color w:val="B08B40"/>
          <w:spacing w:val="40"/>
          <w:sz w:val="22"/>
          <w:szCs w:val="22"/>
        </w:rPr>
        <w:t xml:space="preserve">Concurrent direct et adjacent</w:t>
      </w:r>
    </w:p>
    <w:p>
      <w:pPr>
        <w:spacing w:after="100" w:before="0" w:line="280"/>
        <w:ind w:left="360" w:hanging="360"/>
        <w:jc w:val="both"/>
      </w:pPr>
      <w:r>
        <w:rPr>
          <w:color w:val="1A1A1A"/>
          <w:sz w:val="20"/>
          <w:szCs w:val="20"/>
        </w:rPr>
        <w:t xml:space="preserve">POZI App. Site officiel www.pozi.app et historique des partenariats (NSIA Assurances, Finatra, Alios Finance, GIMAC).</w:t>
      </w:r>
    </w:p>
    <w:p>
      <w:pPr>
        <w:spacing w:after="100" w:before="0" w:line="280"/>
        <w:ind w:left="360" w:hanging="360"/>
        <w:jc w:val="both"/>
      </w:pPr>
      <w:r>
        <w:rPr>
          <w:color w:val="1A1A1A"/>
          <w:sz w:val="20"/>
          <w:szCs w:val="20"/>
        </w:rPr>
        <w:t xml:space="preserve">Agence Ecofin. « POZI lève 650 000 € et signe la première levée internationale d'une start-up tech gabonaise », octobre 2025.</w:t>
      </w:r>
    </w:p>
    <w:p>
      <w:pPr>
        <w:spacing w:after="100" w:before="0" w:line="280"/>
        <w:ind w:left="360" w:hanging="360"/>
        <w:jc w:val="both"/>
      </w:pPr>
      <w:r>
        <w:rPr>
          <w:color w:val="1A1A1A"/>
          <w:sz w:val="20"/>
          <w:szCs w:val="20"/>
        </w:rPr>
        <w:t xml:space="preserve">Gabon Review. « 426 millions FCFA pour connecter l'Afrique, un véhicule à la fois : le pari audacieux de POZI », octobre 2025.</w:t>
      </w:r>
    </w:p>
    <w:p>
      <w:pPr>
        <w:spacing w:after="100" w:before="0" w:line="280"/>
        <w:ind w:left="360" w:hanging="360"/>
        <w:jc w:val="both"/>
      </w:pPr>
      <w:r>
        <w:rPr>
          <w:color w:val="1A1A1A"/>
          <w:sz w:val="20"/>
          <w:szCs w:val="20"/>
        </w:rPr>
        <w:t xml:space="preserve">Gabonactu. « Une startup gabonaise lève près de 500 millions de FCFA pour connecter l'Afrique », octobre 2025.</w:t>
      </w:r>
    </w:p>
    <w:p>
      <w:pPr>
        <w:spacing w:after="100" w:before="0" w:line="280"/>
        <w:ind w:left="360" w:hanging="360"/>
        <w:jc w:val="both"/>
      </w:pPr>
      <w:r>
        <w:rPr>
          <w:color w:val="1A1A1A"/>
          <w:sz w:val="20"/>
          <w:szCs w:val="20"/>
        </w:rPr>
        <w:t xml:space="preserve">WeAreTech Africa. Profil POZI et de son co-fondateur Loïc Kapitho, 2022-2023.</w:t>
      </w:r>
    </w:p>
    <w:p>
      <w:pPr>
        <w:spacing w:after="120" w:before="280"/>
      </w:pPr>
      <w:r>
        <w:rPr>
          <w:b/>
          <w:bCs/>
          <w:caps/>
          <w:color w:val="B08B40"/>
          <w:spacing w:val="40"/>
          <w:sz w:val="22"/>
          <w:szCs w:val="22"/>
        </w:rPr>
        <w:t xml:space="preserve">Télécommunications et infrastructure numérique</w:t>
      </w:r>
    </w:p>
    <w:p>
      <w:pPr>
        <w:spacing w:after="100" w:before="0" w:line="280"/>
        <w:ind w:left="360" w:hanging="360"/>
        <w:jc w:val="both"/>
      </w:pPr>
      <w:r>
        <w:rPr>
          <w:color w:val="1A1A1A"/>
          <w:sz w:val="20"/>
          <w:szCs w:val="20"/>
        </w:rPr>
        <w:t xml:space="preserve">ARCEP Gabon (Autorité de régulation des communications électroniques et des postes). Données trimestrielles sur le marché des télécoms, 2023-2025.</w:t>
      </w:r>
    </w:p>
    <w:p>
      <w:pPr>
        <w:spacing w:after="100" w:before="0" w:line="280"/>
        <w:ind w:left="360" w:hanging="360"/>
        <w:jc w:val="both"/>
      </w:pPr>
      <w:r>
        <w:rPr>
          <w:color w:val="1A1A1A"/>
          <w:sz w:val="20"/>
          <w:szCs w:val="20"/>
        </w:rPr>
        <w:t xml:space="preserve">Infos Gabon. « L'Internet dépasse les 2,3 millions d'abonnements, le pays franchit un cap décisif », novembre 2025.</w:t>
      </w:r>
    </w:p>
    <w:p>
      <w:pPr>
        <w:spacing w:after="100" w:before="0" w:line="280"/>
        <w:ind w:left="360" w:hanging="360"/>
        <w:jc w:val="both"/>
      </w:pPr>
      <w:r>
        <w:rPr>
          <w:color w:val="1A1A1A"/>
          <w:sz w:val="20"/>
          <w:szCs w:val="20"/>
        </w:rPr>
        <w:t xml:space="preserve">L'Union. « Moov Africa et Airtel Gabon engrangent 46,70 milliards FCFA au premier trimestre 2025 », décembre 2025.</w:t>
      </w:r>
    </w:p>
    <w:p>
      <w:pPr>
        <w:spacing w:after="100" w:before="0" w:line="280"/>
        <w:ind w:left="360" w:hanging="360"/>
        <w:jc w:val="both"/>
      </w:pPr>
      <w:r>
        <w:rPr>
          <w:color w:val="1A1A1A"/>
          <w:sz w:val="20"/>
          <w:szCs w:val="20"/>
        </w:rPr>
        <w:t xml:space="preserve">Gabon Media Time. « Loi de finances 2025 : taxation des transactions mobile money », octobre 2024 (4 087 milliards FCFA de transactions en 2024).</w:t>
      </w:r>
    </w:p>
    <w:p>
      <w:pPr>
        <w:spacing w:after="100" w:before="0" w:line="280"/>
        <w:ind w:left="360" w:hanging="360"/>
        <w:jc w:val="both"/>
      </w:pPr>
      <w:r>
        <w:rPr>
          <w:color w:val="1A1A1A"/>
          <w:sz w:val="20"/>
          <w:szCs w:val="20"/>
        </w:rPr>
        <w:t xml:space="preserve">Agence Ecofin. Articles sur la couverture mobile au Gabon, taux de pénétration.</w:t>
      </w:r>
    </w:p>
    <w:p>
      <w:pPr>
        <w:spacing w:after="100" w:before="0" w:line="280"/>
        <w:ind w:left="360" w:hanging="360"/>
        <w:jc w:val="both"/>
      </w:pPr>
      <w:r>
        <w:rPr>
          <w:color w:val="1A1A1A"/>
          <w:sz w:val="20"/>
          <w:szCs w:val="20"/>
        </w:rPr>
        <w:t xml:space="preserve">Airtel Gabon et Moov Africa Gabon Telecom. Sites officiels et tarification mobile money.</w:t>
      </w:r>
    </w:p>
    <w:p>
      <w:pPr>
        <w:spacing w:after="120" w:before="280"/>
      </w:pPr>
      <w:r>
        <w:rPr>
          <w:b/>
          <w:bCs/>
          <w:caps/>
          <w:color w:val="B08B40"/>
          <w:spacing w:val="40"/>
          <w:sz w:val="22"/>
          <w:szCs w:val="22"/>
        </w:rPr>
        <w:t xml:space="preserve">Mobilité urbaine et embouteillages de Libreville</w:t>
      </w:r>
    </w:p>
    <w:p>
      <w:pPr>
        <w:spacing w:after="100" w:before="0" w:line="280"/>
        <w:ind w:left="360" w:hanging="360"/>
        <w:jc w:val="both"/>
      </w:pPr>
      <w:r>
        <w:rPr>
          <w:color w:val="1A1A1A"/>
          <w:sz w:val="20"/>
          <w:szCs w:val="20"/>
        </w:rPr>
        <w:t xml:space="preserve">Le360 Afrique (Ismael Obiang Nze). « Gabon : Libreville étouffe à cause des embouteillages monstres », janvier 2024.</w:t>
      </w:r>
    </w:p>
    <w:p>
      <w:pPr>
        <w:spacing w:after="100" w:before="0" w:line="280"/>
        <w:ind w:left="360" w:hanging="360"/>
        <w:jc w:val="both"/>
      </w:pPr>
      <w:r>
        <w:rPr>
          <w:color w:val="1A1A1A"/>
          <w:sz w:val="20"/>
          <w:szCs w:val="20"/>
        </w:rPr>
        <w:t xml:space="preserve">Gabonews. « Embouteillage dans le Grand Libreville : une situation qui fâche », janvier 2025.</w:t>
      </w:r>
    </w:p>
    <w:p>
      <w:pPr>
        <w:spacing w:after="100" w:before="0" w:line="280"/>
        <w:ind w:left="360" w:hanging="360"/>
        <w:jc w:val="both"/>
      </w:pPr>
      <w:r>
        <w:rPr>
          <w:color w:val="1A1A1A"/>
          <w:sz w:val="20"/>
          <w:szCs w:val="20"/>
        </w:rPr>
        <w:t xml:space="preserve">Gabon Media Time. Articles sur la mobilité urbaine, Trans'Urb et la concentration démographique, 2024-2026.</w:t>
      </w:r>
    </w:p>
    <w:p>
      <w:pPr>
        <w:spacing w:after="100" w:before="0" w:line="280"/>
        <w:ind w:left="360" w:hanging="360"/>
        <w:jc w:val="both"/>
      </w:pPr>
      <w:r>
        <w:rPr>
          <w:color w:val="1A1A1A"/>
          <w:sz w:val="20"/>
          <w:szCs w:val="20"/>
        </w:rPr>
        <w:t xml:space="preserve">Gabon Media Time. « Plus de 80 % des bus de Trans'Urb en panne trois ans après leur mise en service », avril 2024.</w:t>
      </w:r>
    </w:p>
    <w:p>
      <w:pPr>
        <w:spacing w:after="100" w:before="0" w:line="280"/>
        <w:ind w:left="360" w:hanging="360"/>
        <w:jc w:val="both"/>
      </w:pPr>
      <w:r>
        <w:rPr>
          <w:color w:val="1A1A1A"/>
          <w:sz w:val="20"/>
          <w:szCs w:val="20"/>
        </w:rPr>
        <w:t xml:space="preserve">L'Union (Sonapresse). Articles sur la dégradation des routes et accidents, 2024.</w:t>
      </w:r>
    </w:p>
    <w:p>
      <w:pPr>
        <w:spacing w:after="100" w:before="0" w:line="280"/>
        <w:ind w:left="360" w:hanging="360"/>
        <w:jc w:val="both"/>
      </w:pPr>
      <w:r>
        <w:rPr>
          <w:color w:val="1A1A1A"/>
          <w:sz w:val="20"/>
          <w:szCs w:val="20"/>
        </w:rPr>
        <w:t xml:space="preserve">PointNoirTv. « Transport urbain dans le Grand Libreville », juillet 2024.</w:t>
      </w:r>
    </w:p>
    <w:p>
      <w:pPr>
        <w:spacing w:after="100" w:before="0" w:line="280"/>
        <w:ind w:left="360" w:hanging="360"/>
        <w:jc w:val="both"/>
      </w:pPr>
      <w:r>
        <w:rPr>
          <w:color w:val="1A1A1A"/>
          <w:sz w:val="20"/>
          <w:szCs w:val="20"/>
        </w:rPr>
        <w:t xml:space="preserve">Infos Gabon. « Libreville débloque ses routes » et « L'État met la pression sur les chantiers routiers », 2026.</w:t>
      </w:r>
    </w:p>
    <w:p>
      <w:pPr>
        <w:spacing w:after="100" w:before="0" w:line="280"/>
        <w:ind w:left="360" w:hanging="360"/>
        <w:jc w:val="both"/>
      </w:pPr>
      <w:r>
        <w:rPr>
          <w:color w:val="1A1A1A"/>
          <w:sz w:val="20"/>
          <w:szCs w:val="20"/>
        </w:rPr>
        <w:t xml:space="preserve">La Cinquième. « Libreville : l'explosion du transport informel », avril 2026.</w:t>
      </w:r>
    </w:p>
    <w:p>
      <w:pPr>
        <w:spacing w:after="100" w:before="0" w:line="280"/>
        <w:ind w:left="360" w:hanging="360"/>
        <w:jc w:val="both"/>
      </w:pPr>
      <w:r>
        <w:rPr>
          <w:color w:val="1A1A1A"/>
          <w:sz w:val="20"/>
          <w:szCs w:val="20"/>
        </w:rPr>
        <w:t xml:space="preserve">Forces de Police Nationale du Gabon. « Gestion des embouteillages dans le Grand Libreville », fpn.ga.</w:t>
      </w:r>
    </w:p>
    <w:p>
      <w:pPr>
        <w:spacing w:after="120" w:before="280"/>
      </w:pPr>
      <w:r>
        <w:rPr>
          <w:b/>
          <w:bCs/>
          <w:caps/>
          <w:color w:val="B08B40"/>
          <w:spacing w:val="40"/>
          <w:sz w:val="22"/>
          <w:szCs w:val="22"/>
        </w:rPr>
        <w:t xml:space="preserve">Études académiques et institutionnelles</w:t>
      </w:r>
    </w:p>
    <w:p>
      <w:pPr>
        <w:spacing w:after="100" w:before="0" w:line="280"/>
        <w:ind w:left="360" w:hanging="360"/>
        <w:jc w:val="both"/>
      </w:pPr>
      <w:r>
        <w:rPr>
          <w:color w:val="1A1A1A"/>
          <w:sz w:val="20"/>
          <w:szCs w:val="20"/>
        </w:rPr>
        <w:t xml:space="preserve">Madebe, D. Libreville : la ville et les problèmes de transports et de circulation urbaine. Thèse de doctorat, Université d'Aix, 1990.</w:t>
      </w:r>
    </w:p>
    <w:p>
      <w:pPr>
        <w:spacing w:after="100" w:before="0" w:line="280"/>
        <w:ind w:left="360" w:hanging="360"/>
        <w:jc w:val="both"/>
      </w:pPr>
      <w:r>
        <w:rPr>
          <w:color w:val="1A1A1A"/>
          <w:sz w:val="20"/>
          <w:szCs w:val="20"/>
        </w:rPr>
        <w:t xml:space="preserve">Beka Beka, A. et Ada Nzoughe-Obounou, C. « Processus d'urbanisation et habitat au Gabon : diagnostic et résilience des populations du Grand Libreville ». Regards Suds, 2022.</w:t>
      </w:r>
    </w:p>
    <w:p>
      <w:pPr>
        <w:spacing w:after="100" w:before="0" w:line="280"/>
        <w:ind w:left="360" w:hanging="360"/>
        <w:jc w:val="both"/>
      </w:pPr>
      <w:r>
        <w:rPr>
          <w:color w:val="1A1A1A"/>
          <w:sz w:val="20"/>
          <w:szCs w:val="20"/>
        </w:rPr>
        <w:t xml:space="preserve">Edou Ebolo, C. M., Obiang Ebanega, M. et Obiang Zogo, R. V. « État des lieux de la qualité de l'air à Libreville : impacts sanitaires et coût économique de 1990 à 2019 ». Espaces Africains, 2022.</w:t>
      </w:r>
    </w:p>
    <w:p>
      <w:pPr>
        <w:spacing w:after="100" w:before="0" w:line="280"/>
        <w:ind w:left="360" w:hanging="360"/>
        <w:jc w:val="both"/>
      </w:pPr>
      <w:r>
        <w:rPr>
          <w:color w:val="1A1A1A"/>
          <w:sz w:val="20"/>
          <w:szCs w:val="20"/>
        </w:rPr>
        <w:t xml:space="preserve">Banque africaine de développement (UMDF). Études de diagnostic urbain de Libreville, 2021.</w:t>
      </w:r>
    </w:p>
    <w:p>
      <w:pPr>
        <w:spacing w:after="100" w:before="0" w:line="280"/>
        <w:ind w:left="360" w:hanging="360"/>
        <w:jc w:val="both"/>
      </w:pPr>
      <w:r>
        <w:rPr>
          <w:color w:val="1A1A1A"/>
          <w:sz w:val="20"/>
          <w:szCs w:val="20"/>
        </w:rPr>
        <w:t xml:space="preserve">ONU-Habitat. Fiche pays Libreville.</w:t>
      </w:r>
    </w:p>
    <w:p>
      <w:pPr>
        <w:spacing w:after="100" w:before="0" w:line="280"/>
        <w:ind w:left="360" w:hanging="360"/>
        <w:jc w:val="both"/>
      </w:pPr>
      <w:r>
        <w:rPr>
          <w:color w:val="1A1A1A"/>
          <w:sz w:val="20"/>
          <w:szCs w:val="20"/>
        </w:rPr>
        <w:t xml:space="preserve">Portail de l'Intelligence Économique. « Libreville entre Paris et Pékin : le transport urbain comme levier d'influence stratégique », juillet 2025.</w:t>
      </w:r>
    </w:p>
    <w:p>
      <w:pPr>
        <w:spacing w:after="100" w:before="0" w:line="280"/>
        <w:ind w:left="360" w:hanging="360"/>
        <w:jc w:val="both"/>
      </w:pPr>
      <w:r>
        <w:rPr>
          <w:color w:val="1A1A1A"/>
          <w:sz w:val="20"/>
          <w:szCs w:val="20"/>
        </w:rPr>
        <w:t xml:space="preserve">RIIFR (Université du Littoral). Étude sur les clandos à Libreville et l'économie informelle du transport urbain.</w:t>
      </w:r>
    </w:p>
    <w:p>
      <w:pPr>
        <w:spacing w:after="120" w:before="280"/>
      </w:pPr>
      <w:r>
        <w:rPr>
          <w:b/>
          <w:bCs/>
          <w:caps/>
          <w:color w:val="B08B40"/>
          <w:spacing w:val="40"/>
          <w:sz w:val="22"/>
          <w:szCs w:val="22"/>
        </w:rPr>
        <w:t xml:space="preserve">Concurrents indirects et VTC</w:t>
      </w:r>
    </w:p>
    <w:p>
      <w:pPr>
        <w:spacing w:after="100" w:before="0" w:line="280"/>
        <w:ind w:left="360" w:hanging="360"/>
        <w:jc w:val="both"/>
      </w:pPr>
      <w:r>
        <w:rPr>
          <w:color w:val="1A1A1A"/>
          <w:sz w:val="20"/>
          <w:szCs w:val="20"/>
        </w:rPr>
        <w:t xml:space="preserve">Yango. Application mobile et fiches produit Play Store, présence à Libreville depuis 2021.</w:t>
      </w:r>
    </w:p>
    <w:p>
      <w:pPr>
        <w:spacing w:after="100" w:before="0" w:line="280"/>
        <w:ind w:left="360" w:hanging="360"/>
        <w:jc w:val="both"/>
      </w:pPr>
      <w:r>
        <w:rPr>
          <w:color w:val="1A1A1A"/>
          <w:sz w:val="20"/>
          <w:szCs w:val="20"/>
        </w:rPr>
        <w:t xml:space="preserve">Gozem. Site officiel et profil Petit Futé Libreville.</w:t>
      </w:r>
    </w:p>
    <w:p>
      <w:pPr>
        <w:spacing w:after="100" w:before="0" w:line="280"/>
        <w:ind w:left="360" w:hanging="360"/>
        <w:jc w:val="both"/>
      </w:pPr>
      <w:r>
        <w:rPr>
          <w:color w:val="1A1A1A"/>
          <w:sz w:val="20"/>
          <w:szCs w:val="20"/>
        </w:rPr>
        <w:t xml:space="preserve">Habana, WebCars, Taxi Gab+. Annuaires sectoriels Gabon4you et GoAfrica Online.</w:t>
      </w:r>
    </w:p>
    <w:p>
      <w:pPr>
        <w:spacing w:after="120" w:before="280"/>
      </w:pPr>
      <w:r>
        <w:rPr>
          <w:b/>
          <w:bCs/>
          <w:caps/>
          <w:color w:val="B08B40"/>
          <w:spacing w:val="40"/>
          <w:sz w:val="22"/>
          <w:szCs w:val="22"/>
        </w:rPr>
        <w:t xml:space="preserve">Investissement et capital-risque africain</w:t>
      </w:r>
    </w:p>
    <w:p>
      <w:pPr>
        <w:spacing w:after="100" w:before="0" w:line="280"/>
        <w:ind w:left="360" w:hanging="360"/>
        <w:jc w:val="both"/>
      </w:pPr>
      <w:r>
        <w:rPr>
          <w:color w:val="1A1A1A"/>
          <w:sz w:val="20"/>
          <w:szCs w:val="20"/>
        </w:rPr>
        <w:t xml:space="preserve">Partech Africa. Rapport annuel sur le financement des startups africaines, 2024.</w:t>
      </w:r>
    </w:p>
    <w:p>
      <w:pPr>
        <w:spacing w:after="100" w:before="0" w:line="280"/>
        <w:ind w:left="360" w:hanging="360"/>
        <w:jc w:val="both"/>
      </w:pPr>
      <w:r>
        <w:rPr>
          <w:color w:val="1A1A1A"/>
          <w:sz w:val="20"/>
          <w:szCs w:val="20"/>
        </w:rPr>
        <w:t xml:space="preserve">Saviu Ventures. Thèse d'investissement et historique en Afrique francophone.</w:t>
      </w:r>
    </w:p>
    <w:p>
      <w:pPr>
        <w:spacing w:after="100" w:before="0" w:line="280"/>
        <w:ind w:left="360" w:hanging="360"/>
        <w:jc w:val="both"/>
      </w:pPr>
      <w:r>
        <w:rPr>
          <w:color w:val="1A1A1A"/>
          <w:sz w:val="20"/>
          <w:szCs w:val="20"/>
        </w:rPr>
        <w:t xml:space="preserve">Agence Ecofin. Statistiques de l'Afrique centrale : 5 millions USD mobilisés en 2024, 0,2% du total continental.</w:t>
      </w:r>
    </w:p>
    <w:sectPr>
      <w:headerReference w:type="default" r:id="rId7"/>
      <w:footerReference w:type="default" r:id="rId8"/>
      <w:pgSz w:w="12240" w:h="15840" w:orient="portrait"/>
      <w:pgMar w:top="1700" w:right="1600" w:bottom="17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B40" w:sz="4" w:space="6"/>
      </w:pBdr>
      <w:tabs>
        <w:tab w:val="center" w:pos="4500"/>
        <w:tab w:val="right" w:pos="9000"/>
      </w:tabs>
      <w:jc w:val="center"/>
    </w:pPr>
    <w:r>
      <w:rPr>
        <w:color w:val="8A8A8A"/>
        <w:sz w:val="16"/>
        <w:szCs w:val="16"/>
      </w:rPr>
      <w:t xml:space="preserve">Olsen KAMPALA  ·  Plan d'affaires</w:t>
    </w:r>
    <w:r>
      <w:rPr>
        <w:color w:val="8A8A8A"/>
        <w:sz w:val="16"/>
        <w:szCs w:val="16"/>
      </w:rPr>
      <w:t xml:space="preserve">		</w:t>
    </w:r>
    <w:r>
      <w:rPr>
        <w:color w:val="8A8A8A"/>
        <w:sz w:val="16"/>
        <w:szCs w:val="16"/>
      </w:rPr>
      <w:t xml:space="preserve">Page </w:t>
    </w:r>
    <w:r>
      <w:rPr>
        <w:b/>
        <w:bCs/>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B40" w:sz="4" w:space="6"/>
      </w:pBdr>
      <w:jc w:val="right"/>
    </w:pPr>
    <w:r>
      <w:rPr>
        <w:b/>
        <w:bCs/>
        <w:color w:val="B08B40"/>
        <w:spacing w:val="40"/>
        <w:sz w:val="14"/>
        <w:szCs w:val="14"/>
      </w:rPr>
      <w:t xml:space="preserve">PLAN D'AFFAIRES  ·  PROJET DE SOLUTION AUX EMBOUTEILLAGES DE LIBREVILLE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5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32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d'affaires - Solution intelligente aux embouteillages de Libreville par l'IA</dc:title>
  <dc:creator>Olsen KAMPALA</dc:creator>
  <dc:description>Document de reference strategique - Volet I</dc:description>
  <cp:lastModifiedBy>Un-named</cp:lastModifiedBy>
  <cp:revision>1</cp:revision>
  <dcterms:created xsi:type="dcterms:W3CDTF">2026-05-16T02:45:03.838Z</dcterms:created>
  <dcterms:modified xsi:type="dcterms:W3CDTF">2026-05-16T02:45:03.860Z</dcterms:modified>
</cp:coreProperties>
</file>

<file path=docProps/custom.xml><?xml version="1.0" encoding="utf-8"?>
<Properties xmlns="http://schemas.openxmlformats.org/officeDocument/2006/custom-properties" xmlns:vt="http://schemas.openxmlformats.org/officeDocument/2006/docPropsVTypes"/>
</file>