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Sigle e acronimi</w:t>
      </w:r>
    </w:p>
    <w:p>
      <w:pPr>
        <w:pStyle w:val="Heading2"/>
      </w:pPr>
      <w:r>
        <w:t>U.D. 4.1.1 A — Materiali impiegati nella costruzione navale</w:t>
      </w:r>
    </w:p>
    <w:p>
      <w:r>
        <w:t>Accademia Italiana della Marina Mercantile · Corso Direttivo Macchina 54 · U.D. 4.1.1 A · lezioni del 13, 20 e 27 novembre 2026 (L1, L2, L3)</w:t>
      </w:r>
    </w:p>
    <w:p>
      <w:r>
        <w:t>Le sigle che compaiono nelle slide e nelle note del docente delle tre lezioni, sciolte e spiegate con parole semplici. La colonna "Dove" indica lezione e slide (L1 acciai, L2 altri materiali e saldatura, L3 corrosione e bacino). I termini senza sigla sono nel glossario della U.D.</w:t>
      </w:r>
    </w:p>
    <w:p>
      <w:pPr>
        <w:pStyle w:val="Heading2"/>
      </w:pPr>
      <w:r>
        <w:t>Come si leggono i riferimenti</w:t>
      </w:r>
    </w:p>
    <w:p>
      <w:r>
        <w:t>IACS UR W11 è il requisito uniforme n. W11 dell'IACS (serie W = materiali e saldatura, serie Z = visite, serie S = robustezza, serie M = macchine). Rec. 47 è una raccomandazione IACS. CSR Pt 1 Ch 3 Sec 1 è la Parte 1, Capitolo 3, Sezione 1 delle Common Structural Rules. SOLAS II-1/3-2 è il capitolo II-1, regola 3-2. MSC.215(82) è la risoluzione n. 215 del Comitato per la sicurezza marittima, 82ª sessione; MEPC è l'equivalente per l'ambiente marino.</w:t>
      </w:r>
    </w:p>
    <w:p>
      <w:pPr>
        <w:pStyle w:val="Heading2"/>
      </w:pPr>
      <w:r>
        <w:t>Enti, convenzioni e codici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IMO</w:t>
            </w:r>
          </w:p>
        </w:tc>
        <w:tc>
          <w:tcPr>
            <w:tcW w:type="dxa" w:w="2500"/>
          </w:tcPr>
          <w:p>
            <w:r>
              <w:t>International Maritime Organization</w:t>
            </w:r>
          </w:p>
        </w:tc>
        <w:tc>
          <w:tcPr>
            <w:tcW w:type="dxa" w:w="3900"/>
          </w:tcPr>
          <w:p>
            <w:r>
              <w:t>Agenzia ONU che emana le convenzioni marittime</w:t>
            </w:r>
          </w:p>
        </w:tc>
        <w:tc>
          <w:tcPr>
            <w:tcW w:type="dxa" w:w="1460"/>
          </w:tcPr>
          <w:p>
            <w:r>
              <w:t>L2: 2, 13–14, 40 · L3: 2, 19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MSC</w:t>
            </w:r>
          </w:p>
        </w:tc>
        <w:tc>
          <w:tcPr>
            <w:tcW w:type="dxa" w:w="2500"/>
          </w:tcPr>
          <w:p>
            <w:r>
              <w:t>Maritime Safety Committee</w:t>
            </w:r>
          </w:p>
        </w:tc>
        <w:tc>
          <w:tcPr>
            <w:tcW w:type="dxa" w:w="3900"/>
          </w:tcPr>
          <w:p>
            <w:r>
              <w:t>Comitato IMO per la sicurezza; adotta emendamenti alla SOLAS</w:t>
            </w:r>
          </w:p>
        </w:tc>
        <w:tc>
          <w:tcPr>
            <w:tcW w:type="dxa" w:w="1460"/>
          </w:tcPr>
          <w:p>
            <w:r>
              <w:t>L2: 1–2, 13–15, 40 · L3: 2, 17–18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MEPC</w:t>
            </w:r>
          </w:p>
        </w:tc>
        <w:tc>
          <w:tcPr>
            <w:tcW w:type="dxa" w:w="2500"/>
          </w:tcPr>
          <w:p>
            <w:r>
              <w:t>Marine Environment Protection Committee</w:t>
            </w:r>
          </w:p>
        </w:tc>
        <w:tc>
          <w:tcPr>
            <w:tcW w:type="dxa" w:w="3900"/>
          </w:tcPr>
          <w:p>
            <w:r>
              <w:t>Comitato IMO per l'ambiente; qui la risoluzione che vieta la cibutrina</w:t>
            </w:r>
          </w:p>
        </w:tc>
        <w:tc>
          <w:tcPr>
            <w:tcW w:type="dxa" w:w="1460"/>
          </w:tcPr>
          <w:p>
            <w:r>
              <w:t>L3: 19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IACS</w:t>
            </w:r>
          </w:p>
        </w:tc>
        <w:tc>
          <w:tcPr>
            <w:tcW w:type="dxa" w:w="2500"/>
          </w:tcPr>
          <w:p>
            <w:r>
              <w:t>International Association of Classification Societies</w:t>
            </w:r>
          </w:p>
        </w:tc>
        <w:tc>
          <w:tcPr>
            <w:tcW w:type="dxa" w:w="3900"/>
          </w:tcPr>
          <w:p>
            <w:r>
              <w:t>Associazione delle principali società di classifica; emana UR e raccomandazioni</w:t>
            </w:r>
          </w:p>
        </w:tc>
        <w:tc>
          <w:tcPr>
            <w:tcW w:type="dxa" w:w="1460"/>
          </w:tcPr>
          <w:p>
            <w:r>
              <w:t>L1: 1–2, 4–9, 12–14, 16–20, 24–26, 29, 35–37, 39 · L2: 1–2, 7, 11, 27–28, 32, 37, 41 · L3: 1–2, 7, 13, 17, 26–27, 39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UR</w:t>
            </w:r>
          </w:p>
        </w:tc>
        <w:tc>
          <w:tcPr>
            <w:tcW w:type="dxa" w:w="2500"/>
          </w:tcPr>
          <w:p>
            <w:r>
              <w:t>Unified Requirement</w:t>
            </w:r>
          </w:p>
        </w:tc>
        <w:tc>
          <w:tcPr>
            <w:tcW w:type="dxa" w:w="3900"/>
          </w:tcPr>
          <w:p>
            <w:r>
              <w:t>Requisito uniforme IACS, applicato da tutte le società membri</w:t>
            </w:r>
          </w:p>
        </w:tc>
        <w:tc>
          <w:tcPr>
            <w:tcW w:type="dxa" w:w="1460"/>
          </w:tcPr>
          <w:p>
            <w:r>
              <w:t>L1: 1–2, 4–9, 12–14, 16–21, 24–30, 35–40, 42 · L2: 1–4, 6–7, 10–11, 16, 18, 24–30, 32, 34–38, 44 · L3: 1–2, 7, 17, 25–28, 32, 40, 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Rec.</w:t>
            </w:r>
          </w:p>
        </w:tc>
        <w:tc>
          <w:tcPr>
            <w:tcW w:type="dxa" w:w="2500"/>
          </w:tcPr>
          <w:p>
            <w:r>
              <w:t>Recommendation</w:t>
            </w:r>
          </w:p>
        </w:tc>
        <w:tc>
          <w:tcPr>
            <w:tcW w:type="dxa" w:w="3900"/>
          </w:tcPr>
          <w:p>
            <w:r>
              <w:t>Raccomandazione IACS, non obbligatoria (es. Rec. 46 rivestimenti, Rec. 47 qualità di costruzione e riparazione, Rec. 74 manutenzione)</w:t>
            </w:r>
          </w:p>
        </w:tc>
        <w:tc>
          <w:tcPr>
            <w:tcW w:type="dxa" w:w="1460"/>
          </w:tcPr>
          <w:p>
            <w:r>
              <w:t>L1: 37 · L2: 1–2, 21, 41 · L3: 1–2, 13, 39, 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CSR</w:t>
            </w:r>
          </w:p>
        </w:tc>
        <w:tc>
          <w:tcPr>
            <w:tcW w:type="dxa" w:w="2500"/>
          </w:tcPr>
          <w:p>
            <w:r>
              <w:t>Common Structural Rules</w:t>
            </w:r>
          </w:p>
        </w:tc>
        <w:tc>
          <w:tcPr>
            <w:tcW w:type="dxa" w:w="3900"/>
          </w:tcPr>
          <w:p>
            <w:r>
              <w:t>Regole strutturali comuni IACS per portarinfuse e petroliere</w:t>
            </w:r>
          </w:p>
        </w:tc>
        <w:tc>
          <w:tcPr>
            <w:tcW w:type="dxa" w:w="1460"/>
          </w:tcPr>
          <w:p>
            <w:r>
              <w:t>L1: 1–2, 12–17, 24, 33–34, 37, 39–40, 43 · L3: 1–2, 7, 11–13, 17, 24–25, 38, 40, 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SOLAS</w:t>
            </w:r>
          </w:p>
        </w:tc>
        <w:tc>
          <w:tcPr>
            <w:tcW w:type="dxa" w:w="2500"/>
          </w:tcPr>
          <w:p>
            <w:r>
              <w:t>International Convention for the Safety of Life at Sea</w:t>
            </w:r>
          </w:p>
        </w:tc>
        <w:tc>
          <w:tcPr>
            <w:tcW w:type="dxa" w:w="3900"/>
          </w:tcPr>
          <w:p>
            <w:r>
              <w:t>Convenzione per la sicurezza della vita in mare</w:t>
            </w:r>
          </w:p>
        </w:tc>
        <w:tc>
          <w:tcPr>
            <w:tcW w:type="dxa" w:w="1460"/>
          </w:tcPr>
          <w:p>
            <w:r>
              <w:t>L2: 1–2, 9, 13, 15 · L3: 1–2, 17–18, 27, 33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STCW</w:t>
            </w:r>
          </w:p>
        </w:tc>
        <w:tc>
          <w:tcPr>
            <w:tcW w:type="dxa" w:w="2500"/>
          </w:tcPr>
          <w:p>
            <w:r>
              <w:t>Convention on Standards of Training, Certification and Watchkeeping</w:t>
            </w:r>
          </w:p>
        </w:tc>
        <w:tc>
          <w:tcPr>
            <w:tcW w:type="dxa" w:w="3900"/>
          </w:tcPr>
          <w:p>
            <w:r>
              <w:t>Convenzione sulla formazione dei marittimi; la tabella A-III/2 è quella dei direttori di macchina</w:t>
            </w:r>
          </w:p>
        </w:tc>
        <w:tc>
          <w:tcPr>
            <w:tcW w:type="dxa" w:w="1460"/>
          </w:tcPr>
          <w:p>
            <w:r>
              <w:t>L1: 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ISM</w:t>
            </w:r>
          </w:p>
        </w:tc>
        <w:tc>
          <w:tcPr>
            <w:tcW w:type="dxa" w:w="2500"/>
          </w:tcPr>
          <w:p>
            <w:r>
              <w:t>International Safety Management Code</w:t>
            </w:r>
          </w:p>
        </w:tc>
        <w:tc>
          <w:tcPr>
            <w:tcW w:type="dxa" w:w="3900"/>
          </w:tcPr>
          <w:p>
            <w:r>
              <w:t>Sistema di gestione della sicurezza della compagnia; la sezione 10 riguarda la manutenzione</w:t>
            </w:r>
          </w:p>
        </w:tc>
        <w:tc>
          <w:tcPr>
            <w:tcW w:type="dxa" w:w="1460"/>
          </w:tcPr>
          <w:p>
            <w:r>
              <w:t>L2: 39, 43 · L3: 1–2, 37, 39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SMS</w:t>
            </w:r>
          </w:p>
        </w:tc>
        <w:tc>
          <w:tcPr>
            <w:tcW w:type="dxa" w:w="2500"/>
          </w:tcPr>
          <w:p>
            <w:r>
              <w:t>Safety Management System</w:t>
            </w:r>
          </w:p>
        </w:tc>
        <w:tc>
          <w:tcPr>
            <w:tcW w:type="dxa" w:w="3900"/>
          </w:tcPr>
          <w:p>
            <w:r>
              <w:t>Sistema di gestione della sicurezza di bordo previsto dal Codice ISM (procedure, permessi di lavoro)</w:t>
            </w:r>
          </w:p>
        </w:tc>
        <w:tc>
          <w:tcPr>
            <w:tcW w:type="dxa" w:w="1460"/>
          </w:tcPr>
          <w:p>
            <w:r>
              <w:t>L2: 39–40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AFS</w:t>
            </w:r>
          </w:p>
        </w:tc>
        <w:tc>
          <w:tcPr>
            <w:tcW w:type="dxa" w:w="2500"/>
          </w:tcPr>
          <w:p>
            <w:r>
              <w:t>International Convention on the Control of Harmful Anti-fouling Systems on Ships</w:t>
            </w:r>
          </w:p>
        </w:tc>
        <w:tc>
          <w:tcPr>
            <w:tcW w:type="dxa" w:w="3900"/>
          </w:tcPr>
          <w:p>
            <w:r>
              <w:t>Convenzione che vieta le antivegetative dannose (TBT, cibutrina)</w:t>
            </w:r>
          </w:p>
        </w:tc>
        <w:tc>
          <w:tcPr>
            <w:tcW w:type="dxa" w:w="1460"/>
          </w:tcPr>
          <w:p>
            <w:r>
              <w:t>L3: 1–2, 19, 35, 40, 43–44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IAFS</w:t>
            </w:r>
          </w:p>
        </w:tc>
        <w:tc>
          <w:tcPr>
            <w:tcW w:type="dxa" w:w="2500"/>
          </w:tcPr>
          <w:p>
            <w:r>
              <w:t>International Anti-fouling System Certificate</w:t>
            </w:r>
          </w:p>
        </w:tc>
        <w:tc>
          <w:tcPr>
            <w:tcW w:type="dxa" w:w="3900"/>
          </w:tcPr>
          <w:p>
            <w:r>
              <w:t>Certificato internazionale del sistema antivegetativo (navi di 400 GT e oltre in viaggi internazionali)</w:t>
            </w:r>
          </w:p>
        </w:tc>
        <w:tc>
          <w:tcPr>
            <w:tcW w:type="dxa" w:w="1460"/>
          </w:tcPr>
          <w:p>
            <w:r>
              <w:t>L3: 19, 37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PSPC</w:t>
            </w:r>
          </w:p>
        </w:tc>
        <w:tc>
          <w:tcPr>
            <w:tcW w:type="dxa" w:w="2500"/>
          </w:tcPr>
          <w:p>
            <w:r>
              <w:t>Performance Standard for Protective Coatings</w:t>
            </w:r>
          </w:p>
        </w:tc>
        <w:tc>
          <w:tcPr>
            <w:tcW w:type="dxa" w:w="3900"/>
          </w:tcPr>
          <w:p>
            <w:r>
              <w:t>Norma IMO sui rivestimenti delle cisterne di zavorra (MSC.215(82)), resa obbligatoria da SOLAS II-1/3-2</w:t>
            </w:r>
          </w:p>
        </w:tc>
        <w:tc>
          <w:tcPr>
            <w:tcW w:type="dxa" w:w="1460"/>
          </w:tcPr>
          <w:p>
            <w:r>
              <w:t>L3: 1–2, 17–18, 40, 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CTF</w:t>
            </w:r>
          </w:p>
        </w:tc>
        <w:tc>
          <w:tcPr>
            <w:tcW w:type="dxa" w:w="2500"/>
          </w:tcPr>
          <w:p>
            <w:r>
              <w:t>Coating Technical File</w:t>
            </w:r>
          </w:p>
        </w:tc>
        <w:tc>
          <w:tcPr>
            <w:tcW w:type="dxa" w:w="3900"/>
          </w:tcPr>
          <w:p>
            <w:r>
              <w:t>Fascicolo tecnico del rivestimento PSPC che resta a bordo</w:t>
            </w:r>
          </w:p>
        </w:tc>
        <w:tc>
          <w:tcPr>
            <w:tcW w:type="dxa" w:w="1460"/>
          </w:tcPr>
          <w:p>
            <w:r>
              <w:t>L3: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IHM</w:t>
            </w:r>
          </w:p>
        </w:tc>
        <w:tc>
          <w:tcPr>
            <w:tcW w:type="dxa" w:w="2500"/>
          </w:tcPr>
          <w:p>
            <w:r>
              <w:t>Inventory of Hazardous Materials</w:t>
            </w:r>
          </w:p>
        </w:tc>
        <w:tc>
          <w:tcPr>
            <w:tcW w:type="dxa" w:w="3900"/>
          </w:tcPr>
          <w:p>
            <w:r>
              <w:t>Inventario dei materiali pericolosi a bordo (amianto, PCB, metalli pesanti)</w:t>
            </w:r>
          </w:p>
        </w:tc>
        <w:tc>
          <w:tcPr>
            <w:tcW w:type="dxa" w:w="1460"/>
          </w:tcPr>
          <w:p>
            <w:r>
              <w:t>L2: 15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IGC</w:t>
            </w:r>
          </w:p>
        </w:tc>
        <w:tc>
          <w:tcPr>
            <w:tcW w:type="dxa" w:w="2500"/>
          </w:tcPr>
          <w:p>
            <w:r>
              <w:t>International Gas Carrier Code</w:t>
            </w:r>
          </w:p>
        </w:tc>
        <w:tc>
          <w:tcPr>
            <w:tcW w:type="dxa" w:w="3900"/>
          </w:tcPr>
          <w:p>
            <w:r>
              <w:t>Codice per le navi gasiere: materiali per basse temperature</w:t>
            </w:r>
          </w:p>
        </w:tc>
        <w:tc>
          <w:tcPr>
            <w:tcW w:type="dxa" w:w="1460"/>
          </w:tcPr>
          <w:p>
            <w:r>
              <w:t>L1: 38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IBC</w:t>
            </w:r>
          </w:p>
        </w:tc>
        <w:tc>
          <w:tcPr>
            <w:tcW w:type="dxa" w:w="2500"/>
          </w:tcPr>
          <w:p>
            <w:r>
              <w:t>International Bulk Chemical Code</w:t>
            </w:r>
          </w:p>
        </w:tc>
        <w:tc>
          <w:tcPr>
            <w:tcW w:type="dxa" w:w="3900"/>
          </w:tcPr>
          <w:p>
            <w:r>
              <w:t>Codice per le navi chimichiere: materiali delle cisterne</w:t>
            </w:r>
          </w:p>
        </w:tc>
        <w:tc>
          <w:tcPr>
            <w:tcW w:type="dxa" w:w="1460"/>
          </w:tcPr>
          <w:p>
            <w:r>
              <w:t>L2: 4,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IMSBC</w:t>
            </w:r>
          </w:p>
        </w:tc>
        <w:tc>
          <w:tcPr>
            <w:tcW w:type="dxa" w:w="2500"/>
          </w:tcPr>
          <w:p>
            <w:r>
              <w:t>International Maritime Solid Bulk Cargoes Code</w:t>
            </w:r>
          </w:p>
        </w:tc>
        <w:tc>
          <w:tcPr>
            <w:tcW w:type="dxa" w:w="3900"/>
          </w:tcPr>
          <w:p>
            <w:r>
              <w:t>Codice per i carichi solidi alla rinfusa; le schede indicano anche i rischi di corrosione</w:t>
            </w:r>
          </w:p>
        </w:tc>
        <w:tc>
          <w:tcPr>
            <w:tcW w:type="dxa" w:w="1460"/>
          </w:tcPr>
          <w:p>
            <w:r>
              <w:t>L3: 13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ISGOTT</w:t>
            </w:r>
          </w:p>
        </w:tc>
        <w:tc>
          <w:tcPr>
            <w:tcW w:type="dxa" w:w="2500"/>
          </w:tcPr>
          <w:p>
            <w:r>
              <w:t>International Safety Guide for Oil Tankers and Terminals</w:t>
            </w:r>
          </w:p>
        </w:tc>
        <w:tc>
          <w:tcPr>
            <w:tcW w:type="dxa" w:w="3900"/>
          </w:tcPr>
          <w:p>
            <w:r>
              <w:t>Guida di settore per la sicurezza su petroliere e terminali (lavori a caldo)</w:t>
            </w:r>
          </w:p>
        </w:tc>
        <w:tc>
          <w:tcPr>
            <w:tcW w:type="dxa" w:w="1460"/>
          </w:tcPr>
          <w:p>
            <w:r>
              <w:t>L2: 39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HSSC</w:t>
            </w:r>
          </w:p>
        </w:tc>
        <w:tc>
          <w:tcPr>
            <w:tcW w:type="dxa" w:w="2500"/>
          </w:tcPr>
          <w:p>
            <w:r>
              <w:t>Harmonized System of Survey and Certification</w:t>
            </w:r>
          </w:p>
        </w:tc>
        <w:tc>
          <w:tcPr>
            <w:tcW w:type="dxa" w:w="3900"/>
          </w:tcPr>
          <w:p>
            <w:r>
              <w:t>Sistema armonizzato che allinea le date delle visite statutarie</w:t>
            </w:r>
          </w:p>
        </w:tc>
        <w:tc>
          <w:tcPr>
            <w:tcW w:type="dxa" w:w="1460"/>
          </w:tcPr>
          <w:p>
            <w:r>
              <w:t>L3: 27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ESP</w:t>
            </w:r>
          </w:p>
        </w:tc>
        <w:tc>
          <w:tcPr>
            <w:tcW w:type="dxa" w:w="2500"/>
          </w:tcPr>
          <w:p>
            <w:r>
              <w:t>Enhanced Survey Programme</w:t>
            </w:r>
          </w:p>
        </w:tc>
        <w:tc>
          <w:tcPr>
            <w:tcW w:type="dxa" w:w="3900"/>
          </w:tcPr>
          <w:p>
            <w:r>
              <w:t>Programma di visite rafforzate per portarinfuse e petroliere</w:t>
            </w:r>
          </w:p>
        </w:tc>
        <w:tc>
          <w:tcPr>
            <w:tcW w:type="dxa" w:w="1460"/>
          </w:tcPr>
          <w:p>
            <w:r>
              <w:t>L1: 18, 39 · L2: 35, 38 · L3: 17, 24, 43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PMS</w:t>
            </w:r>
          </w:p>
        </w:tc>
        <w:tc>
          <w:tcPr>
            <w:tcW w:type="dxa" w:w="2500"/>
          </w:tcPr>
          <w:p>
            <w:r>
              <w:t>Planned Maintenance System</w:t>
            </w:r>
          </w:p>
        </w:tc>
        <w:tc>
          <w:tcPr>
            <w:tcW w:type="dxa" w:w="3900"/>
          </w:tcPr>
          <w:p>
            <w:r>
              <w:t>Sistema di manutenzione programmata di bordo</w:t>
            </w:r>
          </w:p>
        </w:tc>
        <w:tc>
          <w:tcPr>
            <w:tcW w:type="dxa" w:w="1460"/>
          </w:tcPr>
          <w:p>
            <w:r>
              <w:t>L3: 29, 36–37, 39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IWS</w:t>
            </w:r>
          </w:p>
        </w:tc>
        <w:tc>
          <w:tcPr>
            <w:tcW w:type="dxa" w:w="2500"/>
          </w:tcPr>
          <w:p>
            <w:r>
              <w:t>In-Water Survey</w:t>
            </w:r>
          </w:p>
        </w:tc>
        <w:tc>
          <w:tcPr>
            <w:tcW w:type="dxa" w:w="3900"/>
          </w:tcPr>
          <w:p>
            <w:r>
              <w:t>Visita della carena in acqua con sommozzatori, al posto del bacino quando approvata</w:t>
            </w:r>
          </w:p>
        </w:tc>
        <w:tc>
          <w:tcPr>
            <w:tcW w:type="dxa" w:w="1460"/>
          </w:tcPr>
          <w:p>
            <w:r>
              <w:t>L3: 28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VGP</w:t>
            </w:r>
          </w:p>
        </w:tc>
        <w:tc>
          <w:tcPr>
            <w:tcW w:type="dxa" w:w="2500"/>
          </w:tcPr>
          <w:p>
            <w:r>
              <w:t>Vessel General Permit</w:t>
            </w:r>
          </w:p>
        </w:tc>
        <w:tc>
          <w:tcPr>
            <w:tcW w:type="dxa" w:w="3900"/>
          </w:tcPr>
          <w:p>
            <w:r>
              <w:t>Permesso ambientale statunitense per gli scarichi delle navi (lubrificanti dell'astuccio)</w:t>
            </w:r>
          </w:p>
        </w:tc>
        <w:tc>
          <w:tcPr>
            <w:tcW w:type="dxa" w:w="1460"/>
          </w:tcPr>
          <w:p>
            <w:r>
              <w:t>L3: 32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ASTM</w:t>
            </w:r>
          </w:p>
        </w:tc>
        <w:tc>
          <w:tcPr>
            <w:tcW w:type="dxa" w:w="2500"/>
          </w:tcPr>
          <w:p>
            <w:r>
              <w:t>ASTM International (American Society for Testing and Materials)</w:t>
            </w:r>
          </w:p>
        </w:tc>
        <w:tc>
          <w:tcPr>
            <w:tcW w:type="dxa" w:w="3900"/>
          </w:tcPr>
          <w:p>
            <w:r>
              <w:t>Ente di normazione statunitense; qui la norma G82 sulla serie galvanica</w:t>
            </w:r>
          </w:p>
        </w:tc>
        <w:tc>
          <w:tcPr>
            <w:tcW w:type="dxa" w:w="1460"/>
          </w:tcPr>
          <w:p>
            <w:r>
              <w:t>L3: 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ISO</w:t>
            </w:r>
          </w:p>
        </w:tc>
        <w:tc>
          <w:tcPr>
            <w:tcW w:type="dxa" w:w="2500"/>
          </w:tcPr>
          <w:p>
            <w:r>
              <w:t>International Organization for Standardization</w:t>
            </w:r>
          </w:p>
        </w:tc>
        <w:tc>
          <w:tcPr>
            <w:tcW w:type="dxa" w:w="3900"/>
          </w:tcPr>
          <w:p>
            <w:r>
              <w:t>Ente internazionale di normazione (es. ISO 8501-1 gradi di sabbiatura, ISO 8217 combustibili)</w:t>
            </w:r>
          </w:p>
        </w:tc>
        <w:tc>
          <w:tcPr>
            <w:tcW w:type="dxa" w:w="1460"/>
          </w:tcPr>
          <w:p>
            <w:r>
              <w:t>L1: 18, 27 · L2: 24–25, 28, 30, 32, 35, 38 · L3: 15,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EN</w:t>
            </w:r>
          </w:p>
        </w:tc>
        <w:tc>
          <w:tcPr>
            <w:tcW w:type="dxa" w:w="2500"/>
          </w:tcPr>
          <w:p>
            <w:r>
              <w:t>Norma europea</w:t>
            </w:r>
          </w:p>
        </w:tc>
        <w:tc>
          <w:tcPr>
            <w:tcW w:type="dxa" w:w="3900"/>
          </w:tcPr>
          <w:p>
            <w:r>
              <w:t>Norma del CEN recepita in Italia come UNI EN</w:t>
            </w:r>
          </w:p>
        </w:tc>
        <w:tc>
          <w:tcPr>
            <w:tcW w:type="dxa" w:w="1460"/>
          </w:tcPr>
          <w:p>
            <w:r>
              <w:t>L1: 27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IIW</w:t>
            </w:r>
          </w:p>
        </w:tc>
        <w:tc>
          <w:tcPr>
            <w:tcW w:type="dxa" w:w="2500"/>
          </w:tcPr>
          <w:p>
            <w:r>
              <w:t>International Institute of Welding</w:t>
            </w:r>
          </w:p>
        </w:tc>
        <w:tc>
          <w:tcPr>
            <w:tcW w:type="dxa" w:w="3900"/>
          </w:tcPr>
          <w:p>
            <w:r>
              <w:t>Istituto internazionale della saldatura; la formula del Ceq ne porta il nome</w:t>
            </w:r>
          </w:p>
        </w:tc>
        <w:tc>
          <w:tcPr>
            <w:tcW w:type="dxa" w:w="1460"/>
          </w:tcPr>
          <w:p>
            <w:r>
              <w:t>L1: 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D.D.</w:t>
            </w:r>
          </w:p>
        </w:tc>
        <w:tc>
          <w:tcPr>
            <w:tcW w:type="dxa" w:w="2500"/>
          </w:tcPr>
          <w:p>
            <w:r>
              <w:t>Decreto Direttoriale</w:t>
            </w:r>
          </w:p>
        </w:tc>
        <w:tc>
          <w:tcPr>
            <w:tcW w:type="dxa" w:w="3900"/>
          </w:tcPr>
          <w:p>
            <w:r>
              <w:t>Qui il D.D. 201/2024 con i programmi dei corsi</w:t>
            </w:r>
          </w:p>
        </w:tc>
        <w:tc>
          <w:tcPr>
            <w:tcW w:type="dxa" w:w="1460"/>
          </w:tcPr>
          <w:p>
            <w:r>
              <w:t>L1: 1–3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U.D.</w:t>
            </w:r>
          </w:p>
        </w:tc>
        <w:tc>
          <w:tcPr>
            <w:tcW w:type="dxa" w:w="2500"/>
          </w:tcPr>
          <w:p>
            <w:r>
              <w:t>Unità didattica</w:t>
            </w:r>
          </w:p>
        </w:tc>
        <w:tc>
          <w:tcPr>
            <w:tcW w:type="dxa" w:w="3900"/>
          </w:tcPr>
          <w:p>
            <w:r>
              <w:t>Parte numerata del programma del corso</w:t>
            </w:r>
          </w:p>
        </w:tc>
        <w:tc>
          <w:tcPr>
            <w:tcW w:type="dxa" w:w="1460"/>
          </w:tcPr>
          <w:p>
            <w:r>
              <w:t>L1: tutte · L2: tutte · L3: tutte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CC BY-NC-SA 4.0</w:t>
            </w:r>
          </w:p>
        </w:tc>
        <w:tc>
          <w:tcPr>
            <w:tcW w:type="dxa" w:w="250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3900"/>
          </w:tcPr>
          <w:p>
            <w:r>
              <w:t>Licenza del materiale</w:t>
            </w:r>
          </w:p>
        </w:tc>
        <w:tc>
          <w:tcPr>
            <w:tcW w:type="dxa" w:w="1460"/>
          </w:tcPr>
          <w:p>
            <w:r>
              <w:t>L1: tutte · L2: tutte · L3: tutte</w:t>
            </w:r>
          </w:p>
        </w:tc>
      </w:tr>
    </w:tbl>
    <w:p/>
    <w:p>
      <w:pPr>
        <w:pStyle w:val="Heading2"/>
      </w:pPr>
      <w:r>
        <w:t>Acciai e loro designazioni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A, B, D, E</w:t>
            </w:r>
          </w:p>
        </w:tc>
        <w:tc>
          <w:tcPr>
            <w:tcW w:type="dxa" w:w="2500"/>
          </w:tcPr>
          <w:p>
            <w:r>
              <w:t>Gradi dell'acciaio normale da scafo</w:t>
            </w:r>
          </w:p>
        </w:tc>
        <w:tc>
          <w:tcPr>
            <w:tcW w:type="dxa" w:w="3900"/>
          </w:tcPr>
          <w:p>
            <w:r>
              <w:t>Stessa resistenza (ReH 235 N/mm²), tenacità crescente: Charpy a +20, 0, −20, −40 °C (UR W11)</w:t>
            </w:r>
          </w:p>
        </w:tc>
        <w:tc>
          <w:tcPr>
            <w:tcW w:type="dxa" w:w="1460"/>
          </w:tcPr>
          <w:p>
            <w:r>
              <w:t>L1: 6, 9, 11–12, 35, 41, 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AH, DH, EH, FH</w:t>
            </w:r>
          </w:p>
        </w:tc>
        <w:tc>
          <w:tcPr>
            <w:tcW w:type="dxa" w:w="2500"/>
          </w:tcPr>
          <w:p>
            <w:r>
              <w:t>Acciai ad alta resistenza (High tensile)</w:t>
            </w:r>
          </w:p>
        </w:tc>
        <w:tc>
          <w:tcPr>
            <w:tcW w:type="dxa" w:w="3900"/>
          </w:tcPr>
          <w:p>
            <w:r>
              <w:t>La H indica alta resistenza; la lettera dà la temperatura della prova Charpy (0, −20, −40, −60 °C)</w:t>
            </w:r>
          </w:p>
        </w:tc>
        <w:tc>
          <w:tcPr>
            <w:tcW w:type="dxa" w:w="1460"/>
          </w:tcPr>
          <w:p>
            <w:r>
              <w:t>L1: 6, 15, 22, 40–41, 43–44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32, 36, 40</w:t>
            </w:r>
          </w:p>
        </w:tc>
        <w:tc>
          <w:tcPr>
            <w:tcW w:type="dxa" w:w="2500"/>
          </w:tcPr>
          <w:p>
            <w:r>
              <w:t>Livelli di resistenza</w:t>
            </w:r>
          </w:p>
        </w:tc>
        <w:tc>
          <w:tcPr>
            <w:tcW w:type="dxa" w:w="3900"/>
          </w:tcPr>
          <w:p>
            <w:r>
              <w:t>Numeri dopo la sigla: snervamento minimo 315, 355, 390 N/mm² (es. AH36)</w:t>
            </w:r>
          </w:p>
        </w:tc>
        <w:tc>
          <w:tcPr>
            <w:tcW w:type="dxa" w:w="1460"/>
          </w:tcPr>
          <w:p>
            <w:r>
              <w:t>L1: 7–8, 13–14, 17, 19–22, 30–32, 34, 36–37, 40, 42 · L2: 42–43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HT</w:t>
            </w:r>
          </w:p>
        </w:tc>
        <w:tc>
          <w:tcPr>
            <w:tcW w:type="dxa" w:w="2500"/>
          </w:tcPr>
          <w:p>
            <w:r>
              <w:t>High Tensile (steel)</w:t>
            </w:r>
          </w:p>
        </w:tc>
        <w:tc>
          <w:tcPr>
            <w:tcW w:type="dxa" w:w="3900"/>
          </w:tcPr>
          <w:p>
            <w:r>
              <w:t>Acciaio ad alta resistenza</w:t>
            </w:r>
          </w:p>
        </w:tc>
        <w:tc>
          <w:tcPr>
            <w:tcW w:type="dxa" w:w="1460"/>
          </w:tcPr>
          <w:p>
            <w:r>
              <w:t>L1: 13, 36, 40, 42–44 · L2: 26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YP47</w:t>
            </w:r>
          </w:p>
        </w:tc>
        <w:tc>
          <w:tcPr>
            <w:tcW w:type="dxa" w:w="2500"/>
          </w:tcPr>
          <w:p>
            <w:r>
              <w:t>Yield Point 47</w:t>
            </w:r>
          </w:p>
        </w:tc>
        <w:tc>
          <w:tcPr>
            <w:tcW w:type="dxa" w:w="3900"/>
          </w:tcPr>
          <w:p>
            <w:r>
              <w:t>Acciaio con snervamento minimo 460 N/mm² per le portacontainer (UR W31)</w:t>
            </w:r>
          </w:p>
        </w:tc>
        <w:tc>
          <w:tcPr>
            <w:tcW w:type="dxa" w:w="1460"/>
          </w:tcPr>
          <w:p>
            <w:r>
              <w:t>L1: 2, 13, 16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BCA1, BCA2</w:t>
            </w:r>
          </w:p>
        </w:tc>
        <w:tc>
          <w:tcPr>
            <w:tcW w:type="dxa" w:w="2500"/>
          </w:tcPr>
          <w:p>
            <w:r>
              <w:t>Brittle Crack Arrest</w:t>
            </w:r>
          </w:p>
        </w:tc>
        <w:tc>
          <w:tcPr>
            <w:tcW w:type="dxa" w:w="3900"/>
          </w:tcPr>
          <w:p>
            <w:r>
              <w:t>Acciai che arrestano una cricca fragile (Kca ≥ 6 000 e 8 000 N/mm^1,5 a −10 °C, UR W31)</w:t>
            </w:r>
          </w:p>
        </w:tc>
        <w:tc>
          <w:tcPr>
            <w:tcW w:type="dxa" w:w="1460"/>
          </w:tcPr>
          <w:p>
            <w:r>
              <w:t>L1: 16, 19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Z25, Z35</w:t>
            </w:r>
          </w:p>
        </w:tc>
        <w:tc>
          <w:tcPr>
            <w:tcW w:type="dxa" w:w="2500"/>
          </w:tcPr>
          <w:p>
            <w:r>
              <w:t>Classi di proprietà nello spessore</w:t>
            </w:r>
          </w:p>
        </w:tc>
        <w:tc>
          <w:tcPr>
            <w:tcW w:type="dxa" w:w="3900"/>
          </w:tcPr>
          <w:p>
            <w:r>
              <w:t>Strizione minima nella prova nello spessore (25 % e 35 %) contro lo strappo lamellare (UR W14)</w:t>
            </w:r>
          </w:p>
        </w:tc>
        <w:tc>
          <w:tcPr>
            <w:tcW w:type="dxa" w:w="1460"/>
          </w:tcPr>
          <w:p>
            <w:r>
              <w:t>L1: 17, 19–20, 42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RCU, RCB, RCW</w:t>
            </w:r>
          </w:p>
        </w:tc>
        <w:tc>
          <w:tcPr>
            <w:tcW w:type="dxa" w:w="2500"/>
          </w:tcPr>
          <w:p>
            <w:r>
              <w:t>Resistance to Corrosion (upper deck, bottom, whole)</w:t>
            </w:r>
          </w:p>
        </w:tc>
        <w:tc>
          <w:tcPr>
            <w:tcW w:type="dxa" w:w="3900"/>
          </w:tcPr>
          <w:p>
            <w:r>
              <w:t>Acciai resistenti alla corrosione per le cisterne del carico delle petroliere (UR W11, SOLAS II-1/3-11)</w:t>
            </w:r>
          </w:p>
        </w:tc>
        <w:tc>
          <w:tcPr>
            <w:tcW w:type="dxa" w:w="1460"/>
          </w:tcPr>
          <w:p>
            <w:r>
              <w:t>L1: 19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AR, N, CR, TM, QT</w:t>
            </w:r>
          </w:p>
        </w:tc>
        <w:tc>
          <w:tcPr>
            <w:tcW w:type="dxa" w:w="2500"/>
          </w:tcPr>
          <w:p>
            <w:r>
              <w:t>As Rolled, Normalized, Controlled Rolled, Thermo-Mechanical, Quenched and Tempered</w:t>
            </w:r>
          </w:p>
        </w:tc>
        <w:tc>
          <w:tcPr>
            <w:tcW w:type="dxa" w:w="3900"/>
          </w:tcPr>
          <w:p>
            <w:r>
              <w:t>Condizioni di fornitura: laminato, normalizzato, a laminazione controllata, termomeccanico, bonificato</w:t>
            </w:r>
          </w:p>
        </w:tc>
        <w:tc>
          <w:tcPr>
            <w:tcW w:type="dxa" w:w="1460"/>
          </w:tcPr>
          <w:p>
            <w:r>
              <w:t>L1: 5, 7, 12, 19–23, 28, 35, 42 · L2: 24, 31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TMCP</w:t>
            </w:r>
          </w:p>
        </w:tc>
        <w:tc>
          <w:tcPr>
            <w:tcW w:type="dxa" w:w="2500"/>
          </w:tcPr>
          <w:p>
            <w:r>
              <w:t>Thermo-Mechanical Controlled Process</w:t>
            </w:r>
          </w:p>
        </w:tc>
        <w:tc>
          <w:tcPr>
            <w:tcW w:type="dxa" w:w="3900"/>
          </w:tcPr>
          <w:p>
            <w:r>
              <w:t>Laminazione termomeccanica: grano fine, basso Ceq, buona saldabilità</w:t>
            </w:r>
          </w:p>
        </w:tc>
        <w:tc>
          <w:tcPr>
            <w:tcW w:type="dxa" w:w="1460"/>
          </w:tcPr>
          <w:p>
            <w:r>
              <w:t>L1: 5, 10, 28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CU1–CU4</w:t>
            </w:r>
          </w:p>
        </w:tc>
        <w:tc>
          <w:tcPr>
            <w:tcW w:type="dxa" w:w="2500"/>
          </w:tcPr>
          <w:p>
            <w:r>
              <w:t>Leghe di rame per eliche</w:t>
            </w:r>
          </w:p>
        </w:tc>
        <w:tc>
          <w:tcPr>
            <w:tcW w:type="dxa" w:w="3900"/>
          </w:tcPr>
          <w:p>
            <w:r>
              <w:t>Bronzi al manganese (CU1, CU2) e al nichel-alluminio (CU3, CU4) della UR W24</w:t>
            </w:r>
          </w:p>
        </w:tc>
        <w:tc>
          <w:tcPr>
            <w:tcW w:type="dxa" w:w="1460"/>
          </w:tcPr>
          <w:p>
            <w:r>
              <w:t>L2: 10–11,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PREN</w:t>
            </w:r>
          </w:p>
        </w:tc>
        <w:tc>
          <w:tcPr>
            <w:tcW w:type="dxa" w:w="2500"/>
          </w:tcPr>
          <w:p>
            <w:r>
              <w:t>Pitting Resistance Equivalent Number</w:t>
            </w:r>
          </w:p>
        </w:tc>
        <w:tc>
          <w:tcPr>
            <w:tcW w:type="dxa" w:w="3900"/>
          </w:tcPr>
          <w:p>
            <w:r>
              <w:t>Indice di resistenza al pitting degli inox: Cr + 3,3 Mo + 16 N</w:t>
            </w:r>
          </w:p>
        </w:tc>
        <w:tc>
          <w:tcPr>
            <w:tcW w:type="dxa" w:w="1460"/>
          </w:tcPr>
          <w:p>
            <w:r>
              <w:t>L2: 5, 22–23 · L3: 8</w:t>
            </w:r>
          </w:p>
        </w:tc>
      </w:tr>
    </w:tbl>
    <w:p/>
    <w:p>
      <w:pPr>
        <w:pStyle w:val="Heading2"/>
      </w:pPr>
      <w:r>
        <w:t>Proprietà, prove e controlli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ReH</w:t>
            </w:r>
          </w:p>
        </w:tc>
        <w:tc>
          <w:tcPr>
            <w:tcW w:type="dxa" w:w="2500"/>
          </w:tcPr>
          <w:p>
            <w:r>
              <w:t>Upper yield strength</w:t>
            </w:r>
          </w:p>
        </w:tc>
        <w:tc>
          <w:tcPr>
            <w:tcW w:type="dxa" w:w="3900"/>
          </w:tcPr>
          <w:p>
            <w:r>
              <w:t>Snervamento superiore, in N/mm²</w:t>
            </w:r>
          </w:p>
        </w:tc>
        <w:tc>
          <w:tcPr>
            <w:tcW w:type="dxa" w:w="1460"/>
          </w:tcPr>
          <w:p>
            <w:r>
              <w:t>L1: 4, 8, 12–13, 20–22, 29, 40–41 · L2: 37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Rm</w:t>
            </w:r>
          </w:p>
        </w:tc>
        <w:tc>
          <w:tcPr>
            <w:tcW w:type="dxa" w:w="2500"/>
          </w:tcPr>
          <w:p>
            <w:r>
              <w:t>Tensile strength</w:t>
            </w:r>
          </w:p>
        </w:tc>
        <w:tc>
          <w:tcPr>
            <w:tcW w:type="dxa" w:w="3900"/>
          </w:tcPr>
          <w:p>
            <w:r>
              <w:t>Resistenza a trazione, in N/mm²</w:t>
            </w:r>
          </w:p>
        </w:tc>
        <w:tc>
          <w:tcPr>
            <w:tcW w:type="dxa" w:w="1460"/>
          </w:tcPr>
          <w:p>
            <w:r>
              <w:t>L1: 4, 8, 12–13, 20–22, 41 · L2: 6, 11, 16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Rp0,2</w:t>
            </w:r>
          </w:p>
        </w:tc>
        <w:tc>
          <w:tcPr>
            <w:tcW w:type="dxa" w:w="2500"/>
          </w:tcPr>
          <w:p>
            <w:r>
              <w:t>Proof strength 0,2 %</w:t>
            </w:r>
          </w:p>
        </w:tc>
        <w:tc>
          <w:tcPr>
            <w:tcW w:type="dxa" w:w="3900"/>
          </w:tcPr>
          <w:p>
            <w:r>
              <w:t>Carico unitario allo 0,2 % di deformazione permanente, quando lo snervamento non è netto</w:t>
            </w:r>
          </w:p>
        </w:tc>
        <w:tc>
          <w:tcPr>
            <w:tcW w:type="dxa" w:w="1460"/>
          </w:tcPr>
          <w:p>
            <w:r>
              <w:t>L1: 8 · L2: 11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A (%)</w:t>
            </w:r>
          </w:p>
        </w:tc>
        <w:tc>
          <w:tcPr>
            <w:tcW w:type="dxa" w:w="2500"/>
          </w:tcPr>
          <w:p>
            <w:r>
              <w:t>Allungamento percentuale dopo rottura</w:t>
            </w:r>
          </w:p>
        </w:tc>
        <w:tc>
          <w:tcPr>
            <w:tcW w:type="dxa" w:w="3900"/>
          </w:tcPr>
          <w:p>
            <w:r>
              <w:t>Misura la duttilità sulla lunghezza L0 = 5,65 √S0</w:t>
            </w:r>
          </w:p>
        </w:tc>
        <w:tc>
          <w:tcPr>
            <w:tcW w:type="dxa" w:w="1460"/>
          </w:tcPr>
          <w:p>
            <w:r>
              <w:t>L1: 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KV</w:t>
            </w:r>
          </w:p>
        </w:tc>
        <w:tc>
          <w:tcPr>
            <w:tcW w:type="dxa" w:w="2500"/>
          </w:tcPr>
          <w:p>
            <w:r>
              <w:t>Energia Charpy con intaglio a V</w:t>
            </w:r>
          </w:p>
        </w:tc>
        <w:tc>
          <w:tcPr>
            <w:tcW w:type="dxa" w:w="3900"/>
          </w:tcPr>
          <w:p>
            <w:r>
              <w:t>Energia assorbita nella prova di resilienza, in joule</w:t>
            </w:r>
          </w:p>
        </w:tc>
        <w:tc>
          <w:tcPr>
            <w:tcW w:type="dxa" w:w="1460"/>
          </w:tcPr>
          <w:p>
            <w:r>
              <w:t>L1: 9–10, 12–13, 20–22, 41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Kca</w:t>
            </w:r>
          </w:p>
        </w:tc>
        <w:tc>
          <w:tcPr>
            <w:tcW w:type="dxa" w:w="2500"/>
          </w:tcPr>
          <w:p>
            <w:r>
              <w:t>Crack arrest toughness</w:t>
            </w:r>
          </w:p>
        </w:tc>
        <w:tc>
          <w:tcPr>
            <w:tcW w:type="dxa" w:w="3900"/>
          </w:tcPr>
          <w:p>
            <w:r>
              <w:t>Tenacità all'arresto della cricca (UR W31)</w:t>
            </w:r>
          </w:p>
        </w:tc>
        <w:tc>
          <w:tcPr>
            <w:tcW w:type="dxa" w:w="1460"/>
          </w:tcPr>
          <w:p>
            <w:r>
              <w:t>L1: 16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Ceq</w:t>
            </w:r>
          </w:p>
        </w:tc>
        <w:tc>
          <w:tcPr>
            <w:tcW w:type="dxa" w:w="2500"/>
          </w:tcPr>
          <w:p>
            <w:r>
              <w:t>Carbon equivalent</w:t>
            </w:r>
          </w:p>
        </w:tc>
        <w:tc>
          <w:tcPr>
            <w:tcW w:type="dxa" w:w="3900"/>
          </w:tcPr>
          <w:p>
            <w:r>
              <w:t>Carbonio equivalente: misura della saldabilità (C + Mn/6 + (Cr+Mo+V)/5 + (Ni+Cu)/15)</w:t>
            </w:r>
          </w:p>
        </w:tc>
        <w:tc>
          <w:tcPr>
            <w:tcW w:type="dxa" w:w="1460"/>
          </w:tcPr>
          <w:p>
            <w:r>
              <w:t>L1: 7, 21–22, 30, 36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Pcm</w:t>
            </w:r>
          </w:p>
        </w:tc>
        <w:tc>
          <w:tcPr>
            <w:tcW w:type="dxa" w:w="2500"/>
          </w:tcPr>
          <w:p>
            <w:r>
              <w:t>Crack parameter (Ito-Bessyo)</w:t>
            </w:r>
          </w:p>
        </w:tc>
        <w:tc>
          <w:tcPr>
            <w:tcW w:type="dxa" w:w="3900"/>
          </w:tcPr>
          <w:p>
            <w:r>
              <w:t>Indice alternativo di suscettibilità alle cricche a freddo</w:t>
            </w:r>
          </w:p>
        </w:tc>
        <w:tc>
          <w:tcPr>
            <w:tcW w:type="dxa" w:w="1460"/>
          </w:tcPr>
          <w:p>
            <w:r>
              <w:t>L1: 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k</w:t>
            </w:r>
          </w:p>
        </w:tc>
        <w:tc>
          <w:tcPr>
            <w:tcW w:type="dxa" w:w="2500"/>
          </w:tcPr>
          <w:p>
            <w:r>
              <w:t>Fattore del materiale</w:t>
            </w:r>
          </w:p>
        </w:tc>
        <w:tc>
          <w:tcPr>
            <w:tcW w:type="dxa" w:w="3900"/>
          </w:tcPr>
          <w:p>
            <w:r>
              <w:t>Coefficiente CSR che riduce lo spessore richiesto per gli acciai ad alta resistenza (1 / 0,78 / 0,72 / 0,68)</w:t>
            </w:r>
          </w:p>
        </w:tc>
        <w:tc>
          <w:tcPr>
            <w:tcW w:type="dxa" w:w="1460"/>
          </w:tcPr>
          <w:p>
            <w:r>
              <w:t>L1: 2, 8, 14, 31, 37, 40–41, 45 · L3: 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HV10, HRC</w:t>
            </w:r>
          </w:p>
        </w:tc>
        <w:tc>
          <w:tcPr>
            <w:tcW w:type="dxa" w:w="2500"/>
          </w:tcPr>
          <w:p>
            <w:r>
              <w:t>Durezza Vickers (carico 10 kgf), Rockwell C</w:t>
            </w:r>
          </w:p>
        </w:tc>
        <w:tc>
          <w:tcPr>
            <w:tcW w:type="dxa" w:w="3900"/>
          </w:tcPr>
          <w:p>
            <w:r>
              <w:t>Prove di durezza; nella saldatura limiti di 350 o 420 HV10 (UR W28)</w:t>
            </w:r>
          </w:p>
        </w:tc>
        <w:tc>
          <w:tcPr>
            <w:tcW w:type="dxa" w:w="1460"/>
          </w:tcPr>
          <w:p>
            <w:r>
              <w:t>L1: 29 · L2: 27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VT</w:t>
            </w:r>
          </w:p>
        </w:tc>
        <w:tc>
          <w:tcPr>
            <w:tcW w:type="dxa" w:w="2500"/>
          </w:tcPr>
          <w:p>
            <w:r>
              <w:t>Visual Testing</w:t>
            </w:r>
          </w:p>
        </w:tc>
        <w:tc>
          <w:tcPr>
            <w:tcW w:type="dxa" w:w="3900"/>
          </w:tcPr>
          <w:p>
            <w:r>
              <w:t>Esame visivo</w:t>
            </w:r>
          </w:p>
        </w:tc>
        <w:tc>
          <w:tcPr>
            <w:tcW w:type="dxa" w:w="1460"/>
          </w:tcPr>
          <w:p>
            <w:r>
              <w:t>L2: 21, 23, 32–33, 43–45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PT</w:t>
            </w:r>
          </w:p>
        </w:tc>
        <w:tc>
          <w:tcPr>
            <w:tcW w:type="dxa" w:w="2500"/>
          </w:tcPr>
          <w:p>
            <w:r>
              <w:t>Penetrant Testing</w:t>
            </w:r>
          </w:p>
        </w:tc>
        <w:tc>
          <w:tcPr>
            <w:tcW w:type="dxa" w:w="3900"/>
          </w:tcPr>
          <w:p>
            <w:r>
              <w:t>Liquidi penetranti: cricche aperte in superficie</w:t>
            </w:r>
          </w:p>
        </w:tc>
        <w:tc>
          <w:tcPr>
            <w:tcW w:type="dxa" w:w="1460"/>
          </w:tcPr>
          <w:p>
            <w:r>
              <w:t>L2: 21, 23, 32–33, 43–45 · L3: 31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MT</w:t>
            </w:r>
          </w:p>
        </w:tc>
        <w:tc>
          <w:tcPr>
            <w:tcW w:type="dxa" w:w="2500"/>
          </w:tcPr>
          <w:p>
            <w:r>
              <w:t>Magnetic particle Testing</w:t>
            </w:r>
          </w:p>
        </w:tc>
        <w:tc>
          <w:tcPr>
            <w:tcW w:type="dxa" w:w="3900"/>
          </w:tcPr>
          <w:p>
            <w:r>
              <w:t>Magnetoscopia: cricche superficiali e subsuperficiali negli acciai ferromagnetici</w:t>
            </w:r>
          </w:p>
        </w:tc>
        <w:tc>
          <w:tcPr>
            <w:tcW w:type="dxa" w:w="1460"/>
          </w:tcPr>
          <w:p>
            <w:r>
              <w:t>L2: 21, 23, 32, 34, 43–45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UT</w:t>
            </w:r>
          </w:p>
        </w:tc>
        <w:tc>
          <w:tcPr>
            <w:tcW w:type="dxa" w:w="2500"/>
          </w:tcPr>
          <w:p>
            <w:r>
              <w:t>Ultrasonic Testing</w:t>
            </w:r>
          </w:p>
        </w:tc>
        <w:tc>
          <w:tcPr>
            <w:tcW w:type="dxa" w:w="3900"/>
          </w:tcPr>
          <w:p>
            <w:r>
              <w:t>Ultrasuoni: difetti interni e misure di spessore</w:t>
            </w:r>
          </w:p>
        </w:tc>
        <w:tc>
          <w:tcPr>
            <w:tcW w:type="dxa" w:w="1460"/>
          </w:tcPr>
          <w:p>
            <w:r>
              <w:t>L2: 21, 23, 32, 35, 44–45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RT</w:t>
            </w:r>
          </w:p>
        </w:tc>
        <w:tc>
          <w:tcPr>
            <w:tcW w:type="dxa" w:w="2500"/>
          </w:tcPr>
          <w:p>
            <w:r>
              <w:t>Radiographic Testing</w:t>
            </w:r>
          </w:p>
        </w:tc>
        <w:tc>
          <w:tcPr>
            <w:tcW w:type="dxa" w:w="3900"/>
          </w:tcPr>
          <w:p>
            <w:r>
              <w:t>Radiografia: difetti volumetrici interni</w:t>
            </w:r>
          </w:p>
        </w:tc>
        <w:tc>
          <w:tcPr>
            <w:tcW w:type="dxa" w:w="1460"/>
          </w:tcPr>
          <w:p>
            <w:r>
              <w:t>L2: 21, 23, 32, 36, 44–45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TOFD</w:t>
            </w:r>
          </w:p>
        </w:tc>
        <w:tc>
          <w:tcPr>
            <w:tcW w:type="dxa" w:w="2500"/>
          </w:tcPr>
          <w:p>
            <w:r>
              <w:t>Time Of Flight Diffraction</w:t>
            </w:r>
          </w:p>
        </w:tc>
        <w:tc>
          <w:tcPr>
            <w:tcW w:type="dxa" w:w="3900"/>
          </w:tcPr>
          <w:p>
            <w:r>
              <w:t>Tecnica ultrasonora per misurare l'altezza dei difetti</w:t>
            </w:r>
          </w:p>
        </w:tc>
        <w:tc>
          <w:tcPr>
            <w:tcW w:type="dxa" w:w="1460"/>
          </w:tcPr>
          <w:p>
            <w:r>
              <w:t>L2: 32, 35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CND</w:t>
            </w:r>
          </w:p>
        </w:tc>
        <w:tc>
          <w:tcPr>
            <w:tcW w:type="dxa" w:w="2500"/>
          </w:tcPr>
          <w:p>
            <w:r>
              <w:t>Controlli non distruttivi</w:t>
            </w:r>
          </w:p>
        </w:tc>
        <w:tc>
          <w:tcPr>
            <w:tcW w:type="dxa" w:w="3900"/>
          </w:tcPr>
          <w:p>
            <w:r>
              <w:t>Insieme di VT, PT, MT, UT, RT (in inglese NDT)</w:t>
            </w:r>
          </w:p>
        </w:tc>
        <w:tc>
          <w:tcPr>
            <w:tcW w:type="dxa" w:w="1460"/>
          </w:tcPr>
          <w:p>
            <w:r>
              <w:t>L3: 44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GOOD / FAIR / POOR</w:t>
            </w:r>
          </w:p>
        </w:tc>
        <w:tc>
          <w:tcPr>
            <w:tcW w:type="dxa" w:w="2500"/>
          </w:tcPr>
          <w:p>
            <w:r>
              <w:t>Stato del rivestimento</w:t>
            </w:r>
          </w:p>
        </w:tc>
        <w:tc>
          <w:tcPr>
            <w:tcW w:type="dxa" w:w="3900"/>
          </w:tcPr>
          <w:p>
            <w:r>
              <w:t>Giudizi definiti nella UR Z10.2, 1.2.13; POOR in zavorra porta a visite annuali</w:t>
            </w:r>
          </w:p>
        </w:tc>
        <w:tc>
          <w:tcPr>
            <w:tcW w:type="dxa" w:w="1460"/>
          </w:tcPr>
          <w:p>
            <w:r>
              <w:t>L3: 17, 26, 40, 43</w:t>
            </w:r>
          </w:p>
        </w:tc>
      </w:tr>
    </w:tbl>
    <w:p/>
    <w:p>
      <w:pPr>
        <w:pStyle w:val="Heading2"/>
      </w:pPr>
      <w:r>
        <w:t>Saldatura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SMAW</w:t>
            </w:r>
          </w:p>
        </w:tc>
        <w:tc>
          <w:tcPr>
            <w:tcW w:type="dxa" w:w="2500"/>
          </w:tcPr>
          <w:p>
            <w:r>
              <w:t>Shielded Metal Arc Welding</w:t>
            </w:r>
          </w:p>
        </w:tc>
        <w:tc>
          <w:tcPr>
            <w:tcW w:type="dxa" w:w="3900"/>
          </w:tcPr>
          <w:p>
            <w:r>
              <w:t>Saldatura ad arco con elettrodo rivestito</w:t>
            </w:r>
          </w:p>
        </w:tc>
        <w:tc>
          <w:tcPr>
            <w:tcW w:type="dxa" w:w="1460"/>
          </w:tcPr>
          <w:p>
            <w:r>
              <w:t>L2: 24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GMAW / MIG / MAG</w:t>
            </w:r>
          </w:p>
        </w:tc>
        <w:tc>
          <w:tcPr>
            <w:tcW w:type="dxa" w:w="2500"/>
          </w:tcPr>
          <w:p>
            <w:r>
              <w:t>Gas Metal Arc Welding / Metal Inert Gas / Metal Active Gas</w:t>
            </w:r>
          </w:p>
        </w:tc>
        <w:tc>
          <w:tcPr>
            <w:tcW w:type="dxa" w:w="3900"/>
          </w:tcPr>
          <w:p>
            <w:r>
              <w:t>Saldatura a filo continuo sotto gas inerte (MIG) o attivo (MAG)</w:t>
            </w:r>
          </w:p>
        </w:tc>
        <w:tc>
          <w:tcPr>
            <w:tcW w:type="dxa" w:w="1460"/>
          </w:tcPr>
          <w:p>
            <w:r>
              <w:t>L2: 24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FCAW</w:t>
            </w:r>
          </w:p>
        </w:tc>
        <w:tc>
          <w:tcPr>
            <w:tcW w:type="dxa" w:w="2500"/>
          </w:tcPr>
          <w:p>
            <w:r>
              <w:t>Flux Cored Arc Welding</w:t>
            </w:r>
          </w:p>
        </w:tc>
        <w:tc>
          <w:tcPr>
            <w:tcW w:type="dxa" w:w="3900"/>
          </w:tcPr>
          <w:p>
            <w:r>
              <w:t>Saldatura con filo animato</w:t>
            </w:r>
          </w:p>
        </w:tc>
        <w:tc>
          <w:tcPr>
            <w:tcW w:type="dxa" w:w="1460"/>
          </w:tcPr>
          <w:p>
            <w:r>
              <w:t>L2: 24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SAW</w:t>
            </w:r>
          </w:p>
        </w:tc>
        <w:tc>
          <w:tcPr>
            <w:tcW w:type="dxa" w:w="2500"/>
          </w:tcPr>
          <w:p>
            <w:r>
              <w:t>Submerged Arc Welding</w:t>
            </w:r>
          </w:p>
        </w:tc>
        <w:tc>
          <w:tcPr>
            <w:tcW w:type="dxa" w:w="3900"/>
          </w:tcPr>
          <w:p>
            <w:r>
              <w:t>Saldatura ad arco sommerso, automatica, per giunti lunghi in cantiere</w:t>
            </w:r>
          </w:p>
        </w:tc>
        <w:tc>
          <w:tcPr>
            <w:tcW w:type="dxa" w:w="1460"/>
          </w:tcPr>
          <w:p>
            <w:r>
              <w:t>L2: 24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TIG</w:t>
            </w:r>
          </w:p>
        </w:tc>
        <w:tc>
          <w:tcPr>
            <w:tcW w:type="dxa" w:w="2500"/>
          </w:tcPr>
          <w:p>
            <w:r>
              <w:t>Tungsten Inert Gas</w:t>
            </w:r>
          </w:p>
        </w:tc>
        <w:tc>
          <w:tcPr>
            <w:tcW w:type="dxa" w:w="3900"/>
          </w:tcPr>
          <w:p>
            <w:r>
              <w:t>Saldatura con elettrodo di tungsteno e gas inerte; tubi e inox</w:t>
            </w:r>
          </w:p>
        </w:tc>
        <w:tc>
          <w:tcPr>
            <w:tcW w:type="dxa" w:w="1460"/>
          </w:tcPr>
          <w:p>
            <w:r>
              <w:t>L2: 24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WPS</w:t>
            </w:r>
          </w:p>
        </w:tc>
        <w:tc>
          <w:tcPr>
            <w:tcW w:type="dxa" w:w="2500"/>
          </w:tcPr>
          <w:p>
            <w:r>
              <w:t>Welding Procedure Specification</w:t>
            </w:r>
          </w:p>
        </w:tc>
        <w:tc>
          <w:tcPr>
            <w:tcW w:type="dxa" w:w="3900"/>
          </w:tcPr>
          <w:p>
            <w:r>
              <w:t>Specifica del procedimento di saldatura</w:t>
            </w:r>
          </w:p>
        </w:tc>
        <w:tc>
          <w:tcPr>
            <w:tcW w:type="dxa" w:w="1460"/>
          </w:tcPr>
          <w:p>
            <w:r>
              <w:t>L2: 27, 43, 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WPQR</w:t>
            </w:r>
          </w:p>
        </w:tc>
        <w:tc>
          <w:tcPr>
            <w:tcW w:type="dxa" w:w="2500"/>
          </w:tcPr>
          <w:p>
            <w:r>
              <w:t>Welding Procedure Qualification Record</w:t>
            </w:r>
          </w:p>
        </w:tc>
        <w:tc>
          <w:tcPr>
            <w:tcW w:type="dxa" w:w="3900"/>
          </w:tcPr>
          <w:p>
            <w:r>
              <w:t>Verbale di qualifica del procedimento (UR W28)</w:t>
            </w:r>
          </w:p>
        </w:tc>
        <w:tc>
          <w:tcPr>
            <w:tcW w:type="dxa" w:w="1460"/>
          </w:tcPr>
          <w:p>
            <w:r>
              <w:t>L2: 27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H5, H10, H15</w:t>
            </w:r>
          </w:p>
        </w:tc>
        <w:tc>
          <w:tcPr>
            <w:tcW w:type="dxa" w:w="2500"/>
          </w:tcPr>
          <w:p>
            <w:r>
              <w:t>Classi di idrogeno diffusibile</w:t>
            </w:r>
          </w:p>
        </w:tc>
        <w:tc>
          <w:tcPr>
            <w:tcW w:type="dxa" w:w="3900"/>
          </w:tcPr>
          <w:p>
            <w:r>
              <w:t>ml di idrogeno per 100 g di metallo depositato; più basso = meno cricche a freddo (UR W17)</w:t>
            </w:r>
          </w:p>
        </w:tc>
        <w:tc>
          <w:tcPr>
            <w:tcW w:type="dxa" w:w="1460"/>
          </w:tcPr>
          <w:p>
            <w:r>
              <w:t>L1: 35 · L2: 26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ZTA</w:t>
            </w:r>
          </w:p>
        </w:tc>
        <w:tc>
          <w:tcPr>
            <w:tcW w:type="dxa" w:w="2500"/>
          </w:tcPr>
          <w:p>
            <w:r>
              <w:t>Zona termicamente alterata</w:t>
            </w:r>
          </w:p>
        </w:tc>
        <w:tc>
          <w:tcPr>
            <w:tcW w:type="dxa" w:w="3900"/>
          </w:tcPr>
          <w:p>
            <w:r>
              <w:t>Metallo base modificato dal calore della saldatura (in inglese HAZ)</w:t>
            </w:r>
          </w:p>
        </w:tc>
        <w:tc>
          <w:tcPr>
            <w:tcW w:type="dxa" w:w="1460"/>
          </w:tcPr>
          <w:p>
            <w:r>
              <w:t>L2: 23, 29</w:t>
            </w:r>
          </w:p>
        </w:tc>
      </w:tr>
    </w:tbl>
    <w:p/>
    <w:p>
      <w:pPr>
        <w:pStyle w:val="Heading2"/>
      </w:pPr>
      <w:r>
        <w:t>Corrosione e impianti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MIC</w:t>
            </w:r>
          </w:p>
        </w:tc>
        <w:tc>
          <w:tcPr>
            <w:tcW w:type="dxa" w:w="2500"/>
          </w:tcPr>
          <w:p>
            <w:r>
              <w:t>Microbiologically Influenced Corrosion</w:t>
            </w:r>
          </w:p>
        </w:tc>
        <w:tc>
          <w:tcPr>
            <w:tcW w:type="dxa" w:w="3900"/>
          </w:tcPr>
          <w:p>
            <w:r>
              <w:t>Corrosione favorita da batteri (es. solfato-riduttori) sotto fanghi e depositi</w:t>
            </w:r>
          </w:p>
        </w:tc>
        <w:tc>
          <w:tcPr>
            <w:tcW w:type="dxa" w:w="1460"/>
          </w:tcPr>
          <w:p>
            <w:r>
              <w:t>L3: 10, 14, 22, 40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SCC</w:t>
            </w:r>
          </w:p>
        </w:tc>
        <w:tc>
          <w:tcPr>
            <w:tcW w:type="dxa" w:w="2500"/>
          </w:tcPr>
          <w:p>
            <w:r>
              <w:t>Stress Corrosion Cracking</w:t>
            </w:r>
          </w:p>
        </w:tc>
        <w:tc>
          <w:tcPr>
            <w:tcW w:type="dxa" w:w="3900"/>
          </w:tcPr>
          <w:p>
            <w:r>
              <w:t>Tensocorrosione: cricche per sforzo e ambiente specifico insieme</w:t>
            </w:r>
          </w:p>
        </w:tc>
        <w:tc>
          <w:tcPr>
            <w:tcW w:type="dxa" w:w="1460"/>
          </w:tcPr>
          <w:p>
            <w:r>
              <w:t>L3: 11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ICCP</w:t>
            </w:r>
          </w:p>
        </w:tc>
        <w:tc>
          <w:tcPr>
            <w:tcW w:type="dxa" w:w="2500"/>
          </w:tcPr>
          <w:p>
            <w:r>
              <w:t>Impressed Current Cathodic Protection</w:t>
            </w:r>
          </w:p>
        </w:tc>
        <w:tc>
          <w:tcPr>
            <w:tcW w:type="dxa" w:w="3900"/>
          </w:tcPr>
          <w:p>
            <w:r>
              <w:t>Protezione catodica a corrente impressa</w:t>
            </w:r>
          </w:p>
        </w:tc>
        <w:tc>
          <w:tcPr>
            <w:tcW w:type="dxa" w:w="1460"/>
          </w:tcPr>
          <w:p>
            <w:r>
              <w:t>L3: 2, 6, 21–22, 29, 31, 35–36, 40, 43, 45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TBT</w:t>
            </w:r>
          </w:p>
        </w:tc>
        <w:tc>
          <w:tcPr>
            <w:tcW w:type="dxa" w:w="2500"/>
          </w:tcPr>
          <w:p>
            <w:r>
              <w:t>Tributilstagno</w:t>
            </w:r>
          </w:p>
        </w:tc>
        <w:tc>
          <w:tcPr>
            <w:tcW w:type="dxa" w:w="3900"/>
          </w:tcPr>
          <w:p>
            <w:r>
              <w:t>Biocida organostannico delle antivegetative, vietato dalla Convenzione AFS</w:t>
            </w:r>
          </w:p>
        </w:tc>
        <w:tc>
          <w:tcPr>
            <w:tcW w:type="dxa" w:w="1460"/>
          </w:tcPr>
          <w:p>
            <w:r>
              <w:t>L3: 19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BN / TBN</w:t>
            </w:r>
          </w:p>
        </w:tc>
        <w:tc>
          <w:tcPr>
            <w:tcW w:type="dxa" w:w="2500"/>
          </w:tcPr>
          <w:p>
            <w:r>
              <w:t>(Total) Base Number</w:t>
            </w:r>
          </w:p>
        </w:tc>
        <w:tc>
          <w:tcPr>
            <w:tcW w:type="dxa" w:w="3900"/>
          </w:tcPr>
          <w:p>
            <w:r>
              <w:t>Riserva alcalina dell'olio, in mg KOH/g: neutralizza gli acidi dello zolfo (corrosione a freddo)</w:t>
            </w:r>
          </w:p>
        </w:tc>
        <w:tc>
          <w:tcPr>
            <w:tcW w:type="dxa" w:w="1460"/>
          </w:tcPr>
          <w:p>
            <w:r>
              <w:t>L3: 14–15, 22–23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NPSH</w:t>
            </w:r>
          </w:p>
        </w:tc>
        <w:tc>
          <w:tcPr>
            <w:tcW w:type="dxa" w:w="2500"/>
          </w:tcPr>
          <w:p>
            <w:r>
              <w:t>Net Positive Suction Head</w:t>
            </w:r>
          </w:p>
        </w:tc>
        <w:tc>
          <w:tcPr>
            <w:tcW w:type="dxa" w:w="3900"/>
          </w:tcPr>
          <w:p>
            <w:r>
              <w:t>Margine di pressione all'aspirazione di una pompa; se insufficiente, cavitazione</w:t>
            </w:r>
          </w:p>
        </w:tc>
        <w:tc>
          <w:tcPr>
            <w:tcW w:type="dxa" w:w="1460"/>
          </w:tcPr>
          <w:p>
            <w:r>
              <w:t>L3: 9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EAL</w:t>
            </w:r>
          </w:p>
        </w:tc>
        <w:tc>
          <w:tcPr>
            <w:tcW w:type="dxa" w:w="2500"/>
          </w:tcPr>
          <w:p>
            <w:r>
              <w:t>Environmentally Acceptable Lubricant</w:t>
            </w:r>
          </w:p>
        </w:tc>
        <w:tc>
          <w:tcPr>
            <w:tcW w:type="dxa" w:w="3900"/>
          </w:tcPr>
          <w:p>
            <w:r>
              <w:t>Lubrificante a basso impatto ambientale per astucci e timoni</w:t>
            </w:r>
          </w:p>
        </w:tc>
        <w:tc>
          <w:tcPr>
            <w:tcW w:type="dxa" w:w="1460"/>
          </w:tcPr>
          <w:p>
            <w:r>
              <w:t>L3: 32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GM</w:t>
            </w:r>
          </w:p>
        </w:tc>
        <w:tc>
          <w:tcPr>
            <w:tcW w:type="dxa" w:w="2500"/>
          </w:tcPr>
          <w:p>
            <w:r>
              <w:t>Altezza metacentrica</w:t>
            </w:r>
          </w:p>
        </w:tc>
        <w:tc>
          <w:tcPr>
            <w:tcW w:type="dxa" w:w="3900"/>
          </w:tcPr>
          <w:p>
            <w:r>
              <w:t>Distanza tra baricentro G e metacentro M; in bacino si riduce per la reazione delle taccate</w:t>
            </w:r>
          </w:p>
        </w:tc>
        <w:tc>
          <w:tcPr>
            <w:tcW w:type="dxa" w:w="1460"/>
          </w:tcPr>
          <w:p>
            <w:r>
              <w:t>L3: 30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KM</w:t>
            </w:r>
          </w:p>
        </w:tc>
        <w:tc>
          <w:tcPr>
            <w:tcW w:type="dxa" w:w="2500"/>
          </w:tcPr>
          <w:p>
            <w:r>
              <w:t>Altezza del metacentro sulla chiglia</w:t>
            </w:r>
          </w:p>
        </w:tc>
        <w:tc>
          <w:tcPr>
            <w:tcW w:type="dxa" w:w="3900"/>
          </w:tcPr>
          <w:p>
            <w:r>
              <w:t>Usata nella formula della perdita di GM all'appoggio (P · KM / Δ)</w:t>
            </w:r>
          </w:p>
        </w:tc>
        <w:tc>
          <w:tcPr>
            <w:tcW w:type="dxa" w:w="1460"/>
          </w:tcPr>
          <w:p>
            <w:r>
              <w:t>L3: 30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LFL / OEL</w:t>
            </w:r>
          </w:p>
        </w:tc>
        <w:tc>
          <w:tcPr>
            <w:tcW w:type="dxa" w:w="2500"/>
          </w:tcPr>
          <w:p>
            <w:r>
              <w:t>Lower Flammable Limit / Occupational Exposure Limit</w:t>
            </w:r>
          </w:p>
        </w:tc>
        <w:tc>
          <w:tcPr>
            <w:tcW w:type="dxa" w:w="3900"/>
          </w:tcPr>
          <w:p>
            <w:r>
              <w:t>Limite inferiore di infiammabilità e limite di esposizione professionale (ingresso negli spazi chiusi)</w:t>
            </w:r>
          </w:p>
        </w:tc>
        <w:tc>
          <w:tcPr>
            <w:tcW w:type="dxa" w:w="1460"/>
          </w:tcPr>
          <w:p>
            <w:r>
              <w:t>L2: 40</w:t>
            </w:r>
          </w:p>
        </w:tc>
      </w:tr>
    </w:tbl>
    <w:p/>
    <w:p>
      <w:pPr>
        <w:pStyle w:val="Heading2"/>
      </w:pPr>
      <w:r>
        <w:t>Materiali non metallici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GRP</w:t>
            </w:r>
          </w:p>
        </w:tc>
        <w:tc>
          <w:tcPr>
            <w:tcW w:type="dxa" w:w="2500"/>
          </w:tcPr>
          <w:p>
            <w:r>
              <w:t>Glass Reinforced Plastic</w:t>
            </w:r>
          </w:p>
        </w:tc>
        <w:tc>
          <w:tcPr>
            <w:tcW w:type="dxa" w:w="3900"/>
          </w:tcPr>
          <w:p>
            <w:r>
              <w:t>Vetroresina</w:t>
            </w:r>
          </w:p>
        </w:tc>
        <w:tc>
          <w:tcPr>
            <w:tcW w:type="dxa" w:w="1460"/>
          </w:tcPr>
          <w:p>
            <w:r>
              <w:t>L2: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PVC</w:t>
            </w:r>
          </w:p>
        </w:tc>
        <w:tc>
          <w:tcPr>
            <w:tcW w:type="dxa" w:w="2500"/>
          </w:tcPr>
          <w:p>
            <w:r>
              <w:t>Polivinilcloruro</w:t>
            </w:r>
          </w:p>
        </w:tc>
        <w:tc>
          <w:tcPr>
            <w:tcW w:type="dxa" w:w="3900"/>
          </w:tcPr>
          <w:p>
            <w:r>
              <w:t>Materia plastica per tubi di servizi non critici</w:t>
            </w:r>
          </w:p>
        </w:tc>
        <w:tc>
          <w:tcPr>
            <w:tcW w:type="dxa" w:w="1460"/>
          </w:tcPr>
          <w:p>
            <w:r>
              <w:t>L2: 14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PTFE</w:t>
            </w:r>
          </w:p>
        </w:tc>
        <w:tc>
          <w:tcPr>
            <w:tcW w:type="dxa" w:w="2500"/>
          </w:tcPr>
          <w:p>
            <w:r>
              <w:t>Politetrafluoroetilene</w:t>
            </w:r>
          </w:p>
        </w:tc>
        <w:tc>
          <w:tcPr>
            <w:tcW w:type="dxa" w:w="3900"/>
          </w:tcPr>
          <w:p>
            <w:r>
              <w:t>Materiale per guarnizioni resistente a chimici e temperatura</w:t>
            </w:r>
          </w:p>
        </w:tc>
        <w:tc>
          <w:tcPr>
            <w:tcW w:type="dxa" w:w="1460"/>
          </w:tcPr>
          <w:p>
            <w:r>
              <w:t>L2: 14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EPDM</w:t>
            </w:r>
          </w:p>
        </w:tc>
        <w:tc>
          <w:tcPr>
            <w:tcW w:type="dxa" w:w="2500"/>
          </w:tcPr>
          <w:p>
            <w:r>
              <w:t>Etilene-propilene-diene</w:t>
            </w:r>
          </w:p>
        </w:tc>
        <w:tc>
          <w:tcPr>
            <w:tcW w:type="dxa" w:w="3900"/>
          </w:tcPr>
          <w:p>
            <w:r>
              <w:t>Elastomero per tenute in acqua e vapore</w:t>
            </w:r>
          </w:p>
        </w:tc>
        <w:tc>
          <w:tcPr>
            <w:tcW w:type="dxa" w:w="1460"/>
          </w:tcPr>
          <w:p>
            <w:r>
              <w:t>L2: 14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3900"/>
        <w:gridCol w:w="1460"/>
      </w:tblGrid>
      <w:tr>
        <w:trPr>
          <w:tblHeader/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0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39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460"/>
            <w:shd w:val="clear" w:color="auto" w:fill="F2F2F2"/>
          </w:tcPr>
          <w:p>
            <w:r>
              <w:rPr>
                <w:b/>
              </w:rPr>
              <w:t>Dove (lezione: slide)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N/mm²</w:t>
            </w:r>
          </w:p>
        </w:tc>
        <w:tc>
          <w:tcPr>
            <w:tcW w:type="dxa" w:w="2500"/>
          </w:tcPr>
          <w:p>
            <w:r>
              <w:t>Newton al millimetro quadro</w:t>
            </w:r>
          </w:p>
        </w:tc>
        <w:tc>
          <w:tcPr>
            <w:tcW w:type="dxa" w:w="3900"/>
          </w:tcPr>
          <w:p>
            <w:r>
              <w:t>Unità delle tensioni (uguale a MPa)</w:t>
            </w:r>
          </w:p>
        </w:tc>
        <w:tc>
          <w:tcPr>
            <w:tcW w:type="dxa" w:w="1460"/>
          </w:tcPr>
          <w:p>
            <w:r>
              <w:t>L1: 5, 8, 12–14, 16, 21–23, 28–30, 33–35, 42 · L2: 6, 11, 16, 27, 37 · L3: 38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J</w:t>
            </w:r>
          </w:p>
        </w:tc>
        <w:tc>
          <w:tcPr>
            <w:tcW w:type="dxa" w:w="2500"/>
          </w:tcPr>
          <w:p>
            <w:r>
              <w:t>Joule</w:t>
            </w:r>
          </w:p>
        </w:tc>
        <w:tc>
          <w:tcPr>
            <w:tcW w:type="dxa" w:w="3900"/>
          </w:tcPr>
          <w:p>
            <w:r>
              <w:t>Unità dell'energia della prova Charpy</w:t>
            </w:r>
          </w:p>
        </w:tc>
        <w:tc>
          <w:tcPr>
            <w:tcW w:type="dxa" w:w="1460"/>
          </w:tcPr>
          <w:p>
            <w:r>
              <w:t>L1: 10, 12–13, 20–23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µm</w:t>
            </w:r>
          </w:p>
        </w:tc>
        <w:tc>
          <w:tcPr>
            <w:tcW w:type="dxa" w:w="2500"/>
          </w:tcPr>
          <w:p>
            <w:r>
              <w:t>Micrometro</w:t>
            </w:r>
          </w:p>
        </w:tc>
        <w:tc>
          <w:tcPr>
            <w:tcW w:type="dxa" w:w="3900"/>
          </w:tcPr>
          <w:p>
            <w:r>
              <w:t>Millesimo di millimetro: spessore delle pitture (PSPC: 320 µm nominali in zavorra)</w:t>
            </w:r>
          </w:p>
        </w:tc>
        <w:tc>
          <w:tcPr>
            <w:tcW w:type="dxa" w:w="1460"/>
          </w:tcPr>
          <w:p>
            <w:r>
              <w:t>L3: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mg/m²</w:t>
            </w:r>
          </w:p>
        </w:tc>
        <w:tc>
          <w:tcPr>
            <w:tcW w:type="dxa" w:w="2500"/>
          </w:tcPr>
          <w:p>
            <w:r>
              <w:t>Milligrammi al metro quadro</w:t>
            </w:r>
          </w:p>
        </w:tc>
        <w:tc>
          <w:tcPr>
            <w:tcW w:type="dxa" w:w="3900"/>
          </w:tcPr>
          <w:p>
            <w:r>
              <w:t>Sali solubili ammessi sulla superficie prima di pitturare</w:t>
            </w:r>
          </w:p>
        </w:tc>
        <w:tc>
          <w:tcPr>
            <w:tcW w:type="dxa" w:w="1460"/>
          </w:tcPr>
          <w:p>
            <w:r>
              <w:t>L3: 18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b/>
              </w:rPr>
              <w:t>GT</w:t>
            </w:r>
          </w:p>
        </w:tc>
        <w:tc>
          <w:tcPr>
            <w:tcW w:type="dxa" w:w="2500"/>
          </w:tcPr>
          <w:p>
            <w:r>
              <w:t>Gross Tonnage</w:t>
            </w:r>
          </w:p>
        </w:tc>
        <w:tc>
          <w:tcPr>
            <w:tcW w:type="dxa" w:w="3900"/>
          </w:tcPr>
          <w:p>
            <w:r>
              <w:t>Stazza lorda, usata per le soglie di applicazione</w:t>
            </w:r>
          </w:p>
        </w:tc>
        <w:tc>
          <w:tcPr>
            <w:tcW w:type="dxa" w:w="1460"/>
          </w:tcPr>
          <w:p>
            <w:r>
              <w:t>L3: 17, 19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