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Glossario di sigle e acronimi</w:t>
      </w:r>
    </w:p>
    <w:p>
      <w:pPr>
        <w:pStyle w:val="Heading2"/>
      </w:pPr>
      <w:r>
        <w:t xml:space="preserve">U.D. 2.1.4.2 — Stivaggio e rizzaggio dei carichi a bordo delle navi</w:t>
      </w:r>
    </w:p>
    <w:p>
      <w:pPr/>
      <w:r>
        <w:t xml:space="preserve">Accademia Italiana della Marina Mercantile · Corso Direttivo Coperta 63</w:t>
      </w:r>
    </w:p>
    <w:p>
      <w:pPr/>
      <w:r>
        <w:t>14 ottobre 2026</w:t>
      </w:r>
      <w:r/>
      <w:r/>
    </w:p>
    <w:p>
      <w:pPr>
        <w:pStyle w:val="Heading2"/>
      </w:pPr>
      <w:r>
        <w:t xml:space="preserve">Convenzioni e codici internazionali</w:t>
      </w:r>
    </w:p>
    <w:p>
      <w:pPr/>
      <w:r>
        <w:t xml:space="preserve">Tutta la normativa dell'unità discende da due convenzioni IMO, SOLAS e ICLL, che i codici applicativi traducono in regole operative.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Che cosa regola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IMO</w:t>
            </w:r>
          </w:p>
        </w:tc>
        <w:tc>
          <w:tcPr>
            <w:tcW w:w="3120" w:type="dxa"/>
          </w:tcPr>
          <w:p>
            <w:pPr/>
            <w:r>
              <w:t xml:space="preserve">International Maritime Organization</w:t>
            </w:r>
          </w:p>
        </w:tc>
        <w:tc>
          <w:tcPr>
            <w:tcW w:w="3120" w:type="dxa"/>
          </w:tcPr>
          <w:p>
            <w:pPr/>
            <w:r>
              <w:t xml:space="preserve">Agenzia ONU che emana le convenzioni marittime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SOLAS</w:t>
            </w:r>
          </w:p>
        </w:tc>
        <w:tc>
          <w:tcPr>
            <w:tcW w:w="3120" w:type="dxa"/>
          </w:tcPr>
          <w:p>
            <w:pPr/>
            <w:r>
              <w:t xml:space="preserve">International Convention for the Safety of Life at Sea</w:t>
            </w:r>
          </w:p>
        </w:tc>
        <w:tc>
          <w:tcPr>
            <w:tcW w:w="3120" w:type="dxa"/>
          </w:tcPr>
          <w:p>
            <w:pPr/>
            <w:r>
              <w:t xml:space="preserve">Sicurezza della nave; cap. VI carichi, cap. VII merci pericolose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ICLL</w:t>
            </w:r>
          </w:p>
        </w:tc>
        <w:tc>
          <w:tcPr>
            <w:tcW w:w="3120" w:type="dxa"/>
          </w:tcPr>
          <w:p>
            <w:pPr/>
            <w:r>
              <w:t xml:space="preserve">International Convention on Load Lines</w:t>
            </w:r>
          </w:p>
        </w:tc>
        <w:tc>
          <w:tcPr>
            <w:tcW w:w="3120" w:type="dxa"/>
          </w:tcPr>
          <w:p>
            <w:pPr/>
            <w:r>
              <w:t xml:space="preserve">Bordo libero e aperture di coperta; altezze minime delle mastre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CSS Code</w:t>
            </w:r>
          </w:p>
        </w:tc>
        <w:tc>
          <w:tcPr>
            <w:tcW w:w="3120" w:type="dxa"/>
          </w:tcPr>
          <w:p>
            <w:pPr/>
            <w:r>
              <w:t xml:space="preserve">Code of Safe Practice for Cargo Stowage and Securing</w:t>
            </w:r>
          </w:p>
        </w:tc>
        <w:tc>
          <w:tcPr>
            <w:tcW w:w="3120" w:type="dxa"/>
          </w:tcPr>
          <w:p>
            <w:pPr/>
            <w:r>
              <w:t xml:space="preserve">Criteri di stivaggio e rizzaggio; è la base del CSM di bordo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IMSBC Code</w:t>
            </w:r>
          </w:p>
        </w:tc>
        <w:tc>
          <w:tcPr>
            <w:tcW w:w="3120" w:type="dxa"/>
          </w:tcPr>
          <w:p>
            <w:pPr/>
            <w:r>
              <w:t xml:space="preserve">International Maritime Solid Bulk Cargoes Code</w:t>
            </w:r>
          </w:p>
        </w:tc>
        <w:tc>
          <w:tcPr>
            <w:tcW w:w="3120" w:type="dxa"/>
          </w:tcPr>
          <w:p>
            <w:pPr/>
            <w:r>
              <w:t xml:space="preserve">Rinfuse solide: gruppi di carico, schede, limiti di umidità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IMDG Code</w:t>
            </w:r>
          </w:p>
        </w:tc>
        <w:tc>
          <w:tcPr>
            <w:tcW w:w="3120" w:type="dxa"/>
          </w:tcPr>
          <w:p>
            <w:pPr/>
            <w:r>
              <w:t xml:space="preserve">International Maritime Dangerous Goods Code</w:t>
            </w:r>
          </w:p>
        </w:tc>
        <w:tc>
          <w:tcPr>
            <w:tcW w:w="3120" w:type="dxa"/>
          </w:tcPr>
          <w:p>
            <w:pPr/>
            <w:r>
              <w:t xml:space="preserve">Merci pericolose: classi, etichette, tabelle di segregazione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ISM Code</w:t>
            </w:r>
          </w:p>
        </w:tc>
        <w:tc>
          <w:tcPr>
            <w:tcW w:w="3120" w:type="dxa"/>
          </w:tcPr>
          <w:p>
            <w:pPr/>
            <w:r>
              <w:t xml:space="preserve">International Safety Management Code</w:t>
            </w:r>
          </w:p>
        </w:tc>
        <w:tc>
          <w:tcPr>
            <w:tcW w:w="3120" w:type="dxa"/>
          </w:tcPr>
          <w:p>
            <w:pPr/>
            <w:r>
              <w:t xml:space="preserve">Sistema di gestione della sicurezza, manutenzione e registrazioni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ILO</w:t>
            </w:r>
          </w:p>
        </w:tc>
        <w:tc>
          <w:tcPr>
            <w:tcW w:w="3120" w:type="dxa"/>
          </w:tcPr>
          <w:p>
            <w:pPr/>
            <w:r>
              <w:t xml:space="preserve">International Labour Organization</w:t>
            </w:r>
          </w:p>
        </w:tc>
        <w:tc>
          <w:tcPr>
            <w:tcW w:w="3120" w:type="dxa"/>
          </w:tcPr>
          <w:p>
            <w:pPr/>
            <w:r>
              <w:t xml:space="preserve">Convenzioni sul lavoro marittimo; la 152 riguarda i mezzi di sollevamento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D.Lgs.</w:t>
            </w:r>
          </w:p>
        </w:tc>
        <w:tc>
          <w:tcPr>
            <w:tcW w:w="3120" w:type="dxa"/>
          </w:tcPr>
          <w:p>
            <w:pPr/>
            <w:r>
              <w:t xml:space="preserve">Decreto Legislativo</w:t>
            </w:r>
          </w:p>
        </w:tc>
        <w:tc>
          <w:tcPr>
            <w:tcW w:w="3120" w:type="dxa"/>
          </w:tcPr>
          <w:p>
            <w:pPr/>
            <w:r>
              <w:t xml:space="preserve">Norma nazionale italiana: 271/1999 e 272/1999 sul lavoro a bordo</w:t>
            </w:r>
          </w:p>
        </w:tc>
      </w:tr>
    </w:tbl>
    <w:p>
      <w:pPr>
        <w:pStyle w:val="Heading2"/>
      </w:pPr>
      <w:r>
        <w:t xml:space="preserve">Carichi e limiti di sicurezza</w:t>
      </w:r>
    </w:p>
    <w:p>
      <w:pPr/>
      <w:r>
        <w:t xml:space="preserve">Tre sigle per tre oggetti diversi: SWL è dell'apparecchio, WLL dell'accessorio, MSL del dispositivo di rizzaggio. Nella catena di sollevamento comanda sempre il valore più basso.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 che cosa si riferisce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SWL</w:t>
            </w:r>
          </w:p>
        </w:tc>
        <w:tc>
          <w:tcPr>
            <w:tcW w:w="3120" w:type="dxa"/>
          </w:tcPr>
          <w:p>
            <w:pPr/>
            <w:r>
              <w:t xml:space="preserve">Safe Working Load</w:t>
            </w:r>
          </w:p>
        </w:tc>
        <w:tc>
          <w:tcPr>
            <w:tcW w:w="3120" w:type="dxa"/>
          </w:tcPr>
          <w:p>
            <w:pPr/>
            <w:r>
              <w:t xml:space="preserve">Carico di lavoro in sicurezza di un </w:t>
            </w:r>
            <w:r>
              <w:rPr>
                <w:b/>
              </w:rPr>
              <w:t xml:space="preserve">apparecchio</w:t>
            </w:r>
            <w:r>
              <w:t xml:space="preserve">: gru, picco, argano. Cala al crescere del raggio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WLL</w:t>
            </w:r>
          </w:p>
        </w:tc>
        <w:tc>
          <w:tcPr>
            <w:tcW w:w="3120" w:type="dxa"/>
          </w:tcPr>
          <w:p>
            <w:pPr/>
            <w:r>
              <w:t xml:space="preserve">Working Load Limit</w:t>
            </w:r>
          </w:p>
        </w:tc>
        <w:tc>
          <w:tcPr>
            <w:tcW w:w="3120" w:type="dxa"/>
          </w:tcPr>
          <w:p>
            <w:pPr/>
            <w:r>
              <w:t xml:space="preserve">Carico di lavoro di un </w:t>
            </w:r>
            <w:r>
              <w:rPr>
                <w:b/>
              </w:rPr>
              <w:t xml:space="preserve">accessorio</w:t>
            </w:r>
            <w:r>
              <w:t xml:space="preserve">: braca, grillo, gancio, catena. Marcato sul pezzo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MSL</w:t>
            </w:r>
          </w:p>
        </w:tc>
        <w:tc>
          <w:tcPr>
            <w:tcW w:w="3120" w:type="dxa"/>
          </w:tcPr>
          <w:p>
            <w:pPr/>
            <w:r>
              <w:t xml:space="preserve">Maximum Securing Load</w:t>
            </w:r>
          </w:p>
        </w:tc>
        <w:tc>
          <w:tcPr>
            <w:tcW w:w="3120" w:type="dxa"/>
          </w:tcPr>
          <w:p>
            <w:pPr/>
            <w:r>
              <w:t xml:space="preserve">Carico massimo di un </w:t>
            </w:r>
            <w:r>
              <w:rPr>
                <w:b/>
              </w:rPr>
              <w:t xml:space="preserve">dispositivo di rizzaggio</w:t>
            </w:r>
            <w:r>
              <w:t xml:space="preserve">: catena, cinghia, tenditore. Indicato nel CSM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MBL</w:t>
            </w:r>
          </w:p>
        </w:tc>
        <w:tc>
          <w:tcPr>
            <w:tcW w:w="3120" w:type="dxa"/>
          </w:tcPr>
          <w:p>
            <w:pPr/>
            <w:r>
              <w:t xml:space="preserve">Minimum Breaking Load</w:t>
            </w:r>
          </w:p>
        </w:tc>
        <w:tc>
          <w:tcPr>
            <w:tcW w:w="3120" w:type="dxa"/>
          </w:tcPr>
          <w:p>
            <w:pPr/>
            <w:r>
              <w:t xml:space="preserve">Carico di rottura minimo garantito. Nelle slide compare come "carico di rottura"</w:t>
            </w:r>
          </w:p>
        </w:tc>
      </w:tr>
    </w:tbl>
    <w:p>
      <w:pPr/>
      <w:r>
        <w:t xml:space="preserve">Il coefficiente di sicurezza lega le due grandezze: WLL = carico di rottura ÷ coefficiente. Valori indicativi, da verificare sulla norma applicabile: 5 per le funi, 4 per le catene, 7 per le fibre sintetiche.</w:t>
      </w:r>
    </w:p>
    <w:p>
      <w:pPr>
        <w:pStyle w:val="Heading2"/>
      </w:pPr>
      <w:r>
        <w:t xml:space="preserve">Stabilità e assetto</w:t>
      </w:r>
    </w:p>
    <w:p>
      <w:pPr/>
      <w:r>
        <w:t xml:space="preserve">Simboli a lettera singola, usati negli schemi delle slide 6 e 7 senza essere sciolti per esteso.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Simbolo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t xml:space="preserve">Baricentro</w:t>
            </w:r>
          </w:p>
        </w:tc>
        <w:tc>
          <w:tcPr>
            <w:tcW w:w="3120" w:type="dxa"/>
          </w:tcPr>
          <w:p>
            <w:pPr/>
            <w:r>
              <w:t xml:space="preserve">Punto di applicazione del peso della nave e del carico. Lo stivaggio lo sposta in alto o in basso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</w:t>
            </w:r>
          </w:p>
        </w:tc>
        <w:tc>
          <w:tcPr>
            <w:tcW w:w="3120" w:type="dxa"/>
          </w:tcPr>
          <w:p>
            <w:pPr/>
            <w:r>
              <w:t xml:space="preserve">Centro di carena</w:t>
            </w:r>
          </w:p>
        </w:tc>
        <w:tc>
          <w:tcPr>
            <w:tcW w:w="3120" w:type="dxa"/>
          </w:tcPr>
          <w:p>
            <w:pPr/>
            <w:r>
              <w:t xml:space="preserve">Punto di applicazione della spinta di galleggiamento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</w:t>
            </w:r>
          </w:p>
        </w:tc>
        <w:tc>
          <w:tcPr>
            <w:tcW w:w="3120" w:type="dxa"/>
          </w:tcPr>
          <w:p>
            <w:pPr/>
            <w:r>
              <w:t xml:space="preserve">Metacentro</w:t>
            </w:r>
          </w:p>
        </w:tc>
        <w:tc>
          <w:tcPr>
            <w:tcW w:w="3120" w:type="dxa"/>
          </w:tcPr>
          <w:p>
            <w:pPr/>
            <w:r>
              <w:t xml:space="preserve">Punto attorno a cui la nave oscilla ai piccoli angoli di sbandamento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GM</w:t>
            </w:r>
          </w:p>
        </w:tc>
        <w:tc>
          <w:tcPr>
            <w:tcW w:w="3120" w:type="dxa"/>
          </w:tcPr>
          <w:p>
            <w:pPr/>
            <w:r>
              <w:t xml:space="preserve">Altezza metacentrica</w:t>
            </w:r>
          </w:p>
        </w:tc>
        <w:tc>
          <w:tcPr>
            <w:tcW w:w="3120" w:type="dxa"/>
          </w:tcPr>
          <w:p>
            <w:pPr/>
            <w:r>
              <w:t xml:space="preserve">Distanza fra G e M. Misura la stabilità iniziale: pesi in alto, GM ridotto</w:t>
            </w:r>
          </w:p>
        </w:tc>
      </w:tr>
    </w:tbl>
    <w:p>
      <w:pPr/>
      <w:r>
        <w:t xml:space="preserve">Termini collegati che compaiono nelle slide: </w:t>
      </w:r>
      <w:r>
        <w:rPr>
          <w:b/>
        </w:rPr>
        <w:t xml:space="preserve">rollio</w:t>
      </w:r>
      <w:r>
        <w:t xml:space="preserve"> (oscillazione trasversale), </w:t>
      </w:r>
      <w:r>
        <w:rPr>
          <w:b/>
        </w:rPr>
        <w:t xml:space="preserve">beccheggio</w:t>
      </w:r>
      <w:r>
        <w:t xml:space="preserve"> (longitudinale), </w:t>
      </w:r>
      <w:r>
        <w:rPr>
          <w:b/>
        </w:rPr>
        <w:t xml:space="preserve">sussulto</w:t>
      </w:r>
      <w:r>
        <w:t xml:space="preserve"> (verticale), </w:t>
      </w:r>
      <w:r>
        <w:rPr>
          <w:b/>
        </w:rPr>
        <w:t xml:space="preserve">sbandamento</w:t>
      </w:r>
      <w:r>
        <w:t xml:space="preserve"> (inclinazione permanente), </w:t>
      </w:r>
      <w:r>
        <w:rPr>
          <w:b/>
        </w:rPr>
        <w:t xml:space="preserve">assetto</w:t>
      </w:r>
      <w:r>
        <w:t xml:space="preserve"> (differenza di immersione fra prora e poppa).</w:t>
      </w:r>
    </w:p>
    <w:p>
      <w:pPr>
        <w:pStyle w:val="Heading2"/>
      </w:pPr>
      <w:r>
        <w:t xml:space="preserve">Rinfuse e merci pericolose</w:t>
      </w:r>
    </w:p>
    <w:p>
      <w:pPr/>
      <w:r>
        <w:t xml:space="preserve">TML e FMP sono valori di laboratorio, non manuali: stanno dentro l'IMSBC Code e decidono se un carico si imbarca.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TML</w:t>
            </w:r>
          </w:p>
        </w:tc>
        <w:tc>
          <w:tcPr>
            <w:tcW w:w="3120" w:type="dxa"/>
          </w:tcPr>
          <w:p>
            <w:pPr/>
            <w:r>
              <w:t xml:space="preserve">Transportable Moisture Limit</w:t>
            </w:r>
          </w:p>
        </w:tc>
        <w:tc>
          <w:tcPr>
            <w:tcW w:w="3120" w:type="dxa"/>
          </w:tcPr>
          <w:p>
            <w:pPr/>
            <w:r>
              <w:t xml:space="preserve">Umidità massima, in percentuale di massa, con cui un carico del Gruppo A può essere imbarcato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FMP</w:t>
            </w:r>
          </w:p>
        </w:tc>
        <w:tc>
          <w:tcPr>
            <w:tcW w:w="3120" w:type="dxa"/>
          </w:tcPr>
          <w:p>
            <w:pPr/>
            <w:r>
              <w:t xml:space="preserve">Flow Moisture Point</w:t>
            </w:r>
          </w:p>
        </w:tc>
        <w:tc>
          <w:tcPr>
            <w:tcW w:w="3120" w:type="dxa"/>
          </w:tcPr>
          <w:p>
            <w:pPr/>
            <w:r>
              <w:t xml:space="preserve">Punto di scorrimento determinato in laboratorio. Il TML è pari al 90% dell'FMP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EmS</w:t>
            </w:r>
          </w:p>
        </w:tc>
        <w:tc>
          <w:tcPr>
            <w:tcW w:w="3120" w:type="dxa"/>
          </w:tcPr>
          <w:p>
            <w:pPr/>
            <w:r>
              <w:t xml:space="preserve">Emergency Schedules</w:t>
            </w:r>
          </w:p>
        </w:tc>
        <w:tc>
          <w:tcPr>
            <w:tcW w:w="3120" w:type="dxa"/>
          </w:tcPr>
          <w:p>
            <w:pPr/>
            <w:r>
              <w:t xml:space="preserve">Schede di emergenza dell'IMDG Code: cosa fare in caso di incendio o sversamento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VGM</w:t>
            </w:r>
          </w:p>
        </w:tc>
        <w:tc>
          <w:tcPr>
            <w:tcW w:w="3120" w:type="dxa"/>
          </w:tcPr>
          <w:p>
            <w:pPr/>
            <w:r>
              <w:t xml:space="preserve">Verified Gross Mass</w:t>
            </w:r>
          </w:p>
        </w:tc>
        <w:tc>
          <w:tcPr>
            <w:tcW w:w="3120" w:type="dxa"/>
          </w:tcPr>
          <w:p>
            <w:pPr/>
            <w:r>
              <w:t xml:space="preserve">Massa lorda verificata del container, dichiarata dal caricatore</w:t>
            </w:r>
          </w:p>
        </w:tc>
      </w:tr>
    </w:tbl>
    <w:p>
      <w:pPr/>
      <w:r>
        <w:rPr>
          <w:b/>
        </w:rPr>
        <w:t xml:space="preserve">I tre gruppi dell'IMSBC Code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Gruppo A</w:t>
      </w:r>
      <w:r>
        <w:t xml:space="preserve"> — carichi che possono liquefare se l'umidità supera il TML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Gruppo B</w:t>
      </w:r>
      <w:r>
        <w:t xml:space="preserve"> — carichi con pericolo chimico (autocombustione, reazione con l'acqua)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Gruppo C</w:t>
      </w:r>
      <w:r>
        <w:t xml:space="preserve"> — carichi che non presentano né l'uno né l'altro pericolo</w:t>
      </w:r>
    </w:p>
    <w:p>
      <w:pPr/>
      <w:r>
        <w:t xml:space="preserve">Un carico può appartenere a più gruppi insieme, per esempio A e B. Le nove classi di pericolo dell'IMDG Code vanno dalla 1 (esplosivi) alla 9 (merci pericolose varie); le più ricorrenti nelle slide sono la 3 (liquidi infiammabili), la 4 (solidi infiammabili), la 5 (comburenti) e la 8 (corrosivi).</w:t>
      </w:r>
    </w:p>
    <w:p>
      <w:pPr>
        <w:pStyle w:val="Heading2"/>
      </w:pPr>
      <w:r>
        <w:t xml:space="preserve">Container, rotabili e movimentazione</w:t>
      </w:r>
    </w:p>
    <w:p>
      <w:pPr/>
      <w:r>
        <w:t xml:space="preserve">Sigle e termini inglesi che nelle slide restano non tradotti perché sono quelli d'uso a bordo.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Termine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TEU</w:t>
            </w:r>
          </w:p>
        </w:tc>
        <w:tc>
          <w:tcPr>
            <w:tcW w:w="3120" w:type="dxa"/>
          </w:tcPr>
          <w:p>
            <w:pPr/>
            <w:r>
              <w:t xml:space="preserve">Twenty-foot Equivalent Unit</w:t>
            </w:r>
          </w:p>
        </w:tc>
        <w:tc>
          <w:tcPr>
            <w:tcW w:w="3120" w:type="dxa"/>
          </w:tcPr>
          <w:p>
            <w:pPr/>
            <w:r>
              <w:t xml:space="preserve">Unità di misura pari a un container da 20 piedi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FEU</w:t>
            </w:r>
          </w:p>
        </w:tc>
        <w:tc>
          <w:tcPr>
            <w:tcW w:w="3120" w:type="dxa"/>
          </w:tcPr>
          <w:p>
            <w:pPr/>
            <w:r>
              <w:t xml:space="preserve">Forty-foot Equivalent Unit</w:t>
            </w:r>
          </w:p>
        </w:tc>
        <w:tc>
          <w:tcPr>
            <w:tcW w:w="3120" w:type="dxa"/>
          </w:tcPr>
          <w:p>
            <w:pPr/>
            <w:r>
              <w:t xml:space="preserve">Container da 40 piedi, pari a 2 TEU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Ro-Ro</w:t>
            </w:r>
          </w:p>
        </w:tc>
        <w:tc>
          <w:tcPr>
            <w:tcW w:w="3120" w:type="dxa"/>
          </w:tcPr>
          <w:p>
            <w:pPr/>
            <w:r>
              <w:t xml:space="preserve">Roll-on / Roll-off</w:t>
            </w:r>
          </w:p>
        </w:tc>
        <w:tc>
          <w:tcPr>
            <w:tcW w:w="3120" w:type="dxa"/>
          </w:tcPr>
          <w:p>
            <w:pPr/>
            <w:r>
              <w:t xml:space="preserve">Nave o traffico in cui il carico sale e scende su ruote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Twist-lock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Dispositivo a cono rotante che unisce due container attraverso gli angolari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Spreader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Telaio di sollevamento che aggancia i quattro angolari superiori del container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Bridge fitting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Elemento che collega fra loro due pile adiacenti e le irrigidisce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Derrick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Nome inglese del picco di carico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Grab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Benna per le rinfuse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Dunnage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Materiale di separazione e protezione fra i colli e il fasciame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pull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Coperchi di boccaporto collegati fra loro da catene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Cleat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Dispositivo di serraggio del coperchio sulla mastra</w:t>
            </w:r>
          </w:p>
        </w:tc>
      </w:tr>
    </w:tbl>
    <w:p>
      <w:pPr/>
      <w:r>
        <w:t xml:space="preserve">Gli angolari dei container seguono la </w:t>
      </w:r>
      <w:r>
        <w:rPr>
          <w:b/>
        </w:rPr>
        <w:t xml:space="preserve">ISO 1161</w:t>
      </w:r>
      <w:r>
        <w:t xml:space="preserve">, che ne fissa forma e fori: è la ragione per cui twist-lock e spreader di costruttori diversi sono intercambiabili.</w:t>
      </w:r>
    </w:p>
    <w:p>
      <w:pPr>
        <w:pStyle w:val="Heading2"/>
      </w:pPr>
      <w:r>
        <w:t xml:space="preserve">Documenti, sistemi di bordo e norme tecniche</w:t>
      </w:r>
    </w:p>
    <w:p>
      <w:pPr/>
      <w:r>
        <w:t xml:space="preserve">Il CSM è il documento centrale dell'unità: è specifico di quella nave e prevale su qualsiasi valore generico.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 esteso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 che cosa serve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CSM</w:t>
            </w:r>
          </w:p>
        </w:tc>
        <w:tc>
          <w:tcPr>
            <w:tcW w:w="3120" w:type="dxa"/>
          </w:tcPr>
          <w:p>
            <w:pPr/>
            <w:r>
              <w:t xml:space="preserve">Cargo Securing Manual</w:t>
            </w:r>
          </w:p>
        </w:tc>
        <w:tc>
          <w:tcPr>
            <w:tcW w:w="3120" w:type="dxa"/>
          </w:tcPr>
          <w:p>
            <w:pPr/>
            <w:r>
              <w:t xml:space="preserve">Manuale di rizzaggio approvato, specifico della nave: MSL, punti di rizzaggio, procedure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PMS</w:t>
            </w:r>
          </w:p>
        </w:tc>
        <w:tc>
          <w:tcPr>
            <w:tcW w:w="3120" w:type="dxa"/>
          </w:tcPr>
          <w:p>
            <w:pPr/>
            <w:r>
              <w:t xml:space="preserve">Planned Maintenance System</w:t>
            </w:r>
          </w:p>
        </w:tc>
        <w:tc>
          <w:tcPr>
            <w:tcW w:w="3120" w:type="dxa"/>
          </w:tcPr>
          <w:p>
            <w:pPr/>
            <w:r>
              <w:t xml:space="preserve">Sistema di manutenzione pianificata: scadenze, schede di intervento, firme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PTW</w:t>
            </w:r>
          </w:p>
        </w:tc>
        <w:tc>
          <w:tcPr>
            <w:tcW w:w="3120" w:type="dxa"/>
          </w:tcPr>
          <w:p>
            <w:pPr/>
            <w:r>
              <w:t xml:space="preserve">Permit To Work</w:t>
            </w:r>
          </w:p>
        </w:tc>
        <w:tc>
          <w:tcPr>
            <w:tcW w:w="3120" w:type="dxa"/>
          </w:tcPr>
          <w:p>
            <w:pPr/>
            <w:r>
              <w:t xml:space="preserve">Permesso di lavoro per attività a rischio, rilasciato prima dell'operazione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DPI</w:t>
            </w:r>
          </w:p>
        </w:tc>
        <w:tc>
          <w:tcPr>
            <w:tcW w:w="3120" w:type="dxa"/>
          </w:tcPr>
          <w:p>
            <w:pPr/>
            <w:r>
              <w:t xml:space="preserve">Dispositivi di Protezione Individuale</w:t>
            </w:r>
          </w:p>
        </w:tc>
        <w:tc>
          <w:tcPr>
            <w:tcW w:w="3120" w:type="dxa"/>
          </w:tcPr>
          <w:p>
            <w:pPr/>
            <w:r>
              <w:t xml:space="preserve">Casco, scarpe antinfortunistiche, guanti, gilet ad alta visibilità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VHF</w:t>
            </w:r>
          </w:p>
        </w:tc>
        <w:tc>
          <w:tcPr>
            <w:tcW w:w="3120" w:type="dxa"/>
          </w:tcPr>
          <w:p>
            <w:pPr/>
            <w:r>
              <w:t xml:space="preserve">Very High Frequency</w:t>
            </w:r>
          </w:p>
        </w:tc>
        <w:tc>
          <w:tcPr>
            <w:tcW w:w="3120" w:type="dxa"/>
          </w:tcPr>
          <w:p>
            <w:pPr/>
            <w:r>
              <w:t xml:space="preserve">Banda radio usata per le comunicazioni fra gruista e segnalatore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ISO 4309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Norma sui criteri di scarto delle funi metalliche: fili rotti, usura, corrosione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 1492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Norma sulle fasce di sollevamento, da cui il codice colore viola-verde-giallo-grigio-rosso</w:t>
            </w:r>
          </w:p>
        </w:tc>
      </w:tr>
    </w:tbl>
    <w:p>
      <w:pPr/>
      <w:r>
        <w:t xml:space="preserve">Il </w:t>
      </w:r>
      <w:r>
        <w:rPr>
          <w:b/>
        </w:rPr>
        <w:t xml:space="preserve">Register of Lifting Appliances</w:t>
      </w:r>
      <w:r>
        <w:t xml:space="preserve">, in italiano registro dei mezzi di sollevamento, raccoglie certificati ed esiti delle verifiche periodiche. Nel sistema ISM vale la regola che ciò che non è registrato non è stato fatto.</w:t>
      </w:r>
    </w:p>
    <w:p>
      <w:pPr>
        <w:pStyle w:val="Heading2"/>
      </w:pPr>
      <w:r>
        <w:t xml:space="preserve">Unità di misura e simboli</w:t>
      </w:r>
    </w:p>
    <w:p>
      <w:pPr/>
      <w:r>
        <w:t xml:space="preserve">Negli esempi di calcolo le masse sono in tonnellate ma le forze in chilonewton: il passaggio fra le due richiede sempre 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Simbolo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Nota d'uso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</w:t>
            </w:r>
          </w:p>
        </w:tc>
        <w:tc>
          <w:tcPr>
            <w:tcW w:w="3120" w:type="dxa"/>
          </w:tcPr>
          <w:p>
            <w:pPr/>
            <w:r>
              <w:t xml:space="preserve">tonnellata</w:t>
            </w:r>
          </w:p>
        </w:tc>
        <w:tc>
          <w:tcPr>
            <w:tcW w:w="3120" w:type="dxa"/>
          </w:tcPr>
          <w:p>
            <w:pPr/>
            <w:r>
              <w:t xml:space="preserve">1 t = 1000 kg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kN</w:t>
            </w:r>
          </w:p>
        </w:tc>
        <w:tc>
          <w:tcPr>
            <w:tcW w:w="3120" w:type="dxa"/>
          </w:tcPr>
          <w:p>
            <w:pPr/>
            <w:r>
              <w:t xml:space="preserve">chilonewton</w:t>
            </w:r>
          </w:p>
        </w:tc>
        <w:tc>
          <w:tcPr>
            <w:tcW w:w="3120" w:type="dxa"/>
          </w:tcPr>
          <w:p>
            <w:pPr/>
            <w:r>
              <w:t xml:space="preserve">1 kN = 1000 N. Unità di forza, non di massa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</w:t>
            </w:r>
          </w:p>
        </w:tc>
        <w:tc>
          <w:tcPr>
            <w:tcW w:w="3120" w:type="dxa"/>
          </w:tcPr>
          <w:p>
            <w:pPr/>
            <w:r>
              <w:t xml:space="preserve">accelerazione di gravità</w:t>
            </w:r>
          </w:p>
        </w:tc>
        <w:tc>
          <w:tcPr>
            <w:tcW w:w="3120" w:type="dxa"/>
          </w:tcPr>
          <w:p>
            <w:pPr/>
            <w:r>
              <w:t xml:space="preserve">9,81 m/s². Converte una massa in una forza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t/m³</w:t>
            </w:r>
          </w:p>
        </w:tc>
        <w:tc>
          <w:tcPr>
            <w:tcW w:w="3120" w:type="dxa"/>
          </w:tcPr>
          <w:p>
            <w:pPr/>
            <w:r>
              <w:t xml:space="preserve">tonnellate per metro cubo</w:t>
            </w:r>
          </w:p>
        </w:tc>
        <w:tc>
          <w:tcPr>
            <w:tcW w:w="3120" w:type="dxa"/>
          </w:tcPr>
          <w:p>
            <w:pPr/>
            <w:r>
              <w:t xml:space="preserve">Densità. L'acqua di mare vale 1,025, un minerale liquefatto supera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mm</w:t>
            </w:r>
          </w:p>
        </w:tc>
        <w:tc>
          <w:tcPr>
            <w:tcW w:w="3120" w:type="dxa"/>
          </w:tcPr>
          <w:p>
            <w:pPr/>
            <w:r>
              <w:t xml:space="preserve">millimetro</w:t>
            </w:r>
          </w:p>
        </w:tc>
        <w:tc>
          <w:tcPr>
            <w:tcW w:w="3120" w:type="dxa"/>
          </w:tcPr>
          <w:p>
            <w:pPr/>
            <w:r>
              <w:t xml:space="preserve">Usato per le altezze minime delle mastre: 600 e 450 mm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UV</w:t>
            </w:r>
          </w:p>
        </w:tc>
        <w:tc>
          <w:tcPr>
            <w:tcW w:w="3120" w:type="dxa"/>
          </w:tcPr>
          <w:p>
            <w:pPr/>
            <w:r>
              <w:t xml:space="preserve">ultravioletto</w:t>
            </w:r>
          </w:p>
        </w:tc>
        <w:tc>
          <w:tcPr>
            <w:tcW w:w="3120" w:type="dxa"/>
          </w:tcPr>
          <w:p>
            <w:pPr/>
            <w:r>
              <w:t xml:space="preserve">Radiazione che degrada le fasce in fibra sintetica</w:t>
            </w:r>
          </w:p>
        </w:tc>
      </w:tr>
    </w:tbl>
    <w:p>
      <w:pPr/>
      <w:r>
        <w:t xml:space="preserve">La conversione che ricorre in tutti gli esempi:</w:t>
      </w:r>
    </w:p>
    <w:p>
      <w:pPr>
        <w:pStyle w:val="Code"/>
      </w:pPr>
      <w:bookmarkStart w:id="1" w:name="bongo_lang_latex_1"/>
      <w:bookmarkEnd w:id="1"/>
      <w:r>
        <w:t xml:space="preserve">F = m \cdot g \cdot a</w:t>
      </w:r>
    </w:p>
    <w:p>
      <w:pPr/>
      <w:r>
        <w:t xml:space="preserve">dove </w:t>
      </w:r>
      <w:r>
        <w:rPr>
          <w:i/>
        </w:rPr>
        <w:t xml:space="preserve">m</w:t>
      </w:r>
      <w:r>
        <w:t xml:space="preserve"> è la massa in kg, </w:t>
      </w:r>
      <w:r>
        <w:rPr>
          <w:i/>
        </w:rPr>
        <w:t xml:space="preserve">g</w:t>
      </w:r>
      <w:r>
        <w:t xml:space="preserve"> vale 9,81 m/s² e </w:t>
      </w:r>
      <w:r>
        <w:rPr>
          <w:i/>
        </w:rPr>
        <w:t xml:space="preserve">a</w:t>
      </w:r>
      <w:r>
        <w:t xml:space="preserve"> è l'accelerazione espressa in frazione di g. Con 20 t e accelerazione trasversale 0,6 g: 20 000 × 9,81 × 0,6 ≈ 118 kN.</w:t>
      </w:r>
    </w:p>
    <w:p>
      <w:pPr/>
      <w:r>
        <w:rPr>
          <w:b/>
        </w:rPr>
        <w:t xml:space="preserve">Avvertenza.</w:t>
      </w:r>
      <w:r>
        <w:t xml:space="preserve"> Tutti i valori numerici che compaiono nelle slide e in questo glossario sono esempi didattici. Coefficienti di sicurezza, limiti di scarto, quote e scadenze vanno verificati sull'edizione vigente della norma applicabile e sul manuale del costruttore.</w:t>
      </w:r>
    </w:p>
    <w:sectPr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Glossario di sigle e acronimi</dc:title>
  <dc:description>Claude Docs node/280eb327-85ba@8 docx-w6</dc:description>
  <cp:revision>8</cp:revision>
</cp:coreProperties>
</file>