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Glossario di sigle e acronimi</w:t>
      </w:r>
    </w:p>
    <w:p>
      <w:pPr>
        <w:pStyle w:val="Heading2"/>
      </w:pPr>
      <w:r>
        <w:t>Approfondimento U.D. 2.1.7 e 2.2.1 e U.D. 2.2.2 — Struttura, corrosione e fatica, ESP e sforzo di taglio</w:t>
      </w:r>
    </w:p>
    <w:p>
      <w:r>
        <w:t>Accademia Italiana della Marina Mercantile · Corso Direttivo Coperta 63 · Approfondimento U.D. 2.1.7 e 2.2.1 · U.D. 2.2.2</w:t>
      </w:r>
    </w:p>
    <w:p>
      <w:r>
        <w:t>30 ottobre 2026</w:t>
      </w:r>
    </w:p>
    <w:p>
      <w:pPr>
        <w:pStyle w:val="Heading2"/>
      </w:pPr>
      <w:r>
        <w:t>Come si leggono i riferimenti</w:t>
      </w:r>
    </w:p>
    <w:p>
      <w:r>
        <w:t>SOLAS XI-1/2 è il capitolo XI-1, regola 2 della SOLAS. A.1049(27) è la risoluzione n. 1049 dell'Assemblea IMO, 27ª sessione. MSC.525(106) è la risoluzione n. 525 del Comitato per la sicurezza marittima (MSC), 106ª sessione. MSC.1/Circ.1700 è una circolare MSC. IACS UR Z10.2 è il requisito uniforme n. Z10.2 dell'IACS. CSR Pt 1 Ch 13 è la Parte 1, Capitolo 13 delle Common Structural Rules.</w:t>
      </w:r>
    </w:p>
    <w:p>
      <w:pPr>
        <w:pStyle w:val="Heading2"/>
      </w:pPr>
      <w:r>
        <w:t>Enti, norme e documenti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1900"/>
        <w:gridCol w:w="3300"/>
        <w:gridCol w:w="4160"/>
      </w:tblGrid>
      <w:tr>
        <w:trPr>
          <w:tblHeader/>
          <w:cantSplit/>
        </w:trPr>
        <w:tc>
          <w:tcPr>
            <w:tcW w:type="dxa" w:w="1900"/>
            <w:shd w:val="clear" w:color="auto" w:fill="F2F2F2"/>
          </w:tcPr>
          <w:p>
            <w:r>
              <w:rPr>
                <w:b/>
              </w:rPr>
              <w:t>Sigla</w:t>
            </w:r>
          </w:p>
        </w:tc>
        <w:tc>
          <w:tcPr>
            <w:tcW w:type="dxa" w:w="3300"/>
            <w:shd w:val="clear" w:color="auto" w:fill="F2F2F2"/>
          </w:tcPr>
          <w:p>
            <w:r>
              <w:rPr>
                <w:b/>
              </w:rPr>
              <w:t>Nome esteso</w:t>
            </w:r>
          </w:p>
        </w:tc>
        <w:tc>
          <w:tcPr>
            <w:tcW w:type="dxa" w:w="4160"/>
            <w:shd w:val="clear" w:color="auto" w:fill="F2F2F2"/>
          </w:tcPr>
          <w:p>
            <w:r>
              <w:rPr>
                <w:b/>
              </w:rPr>
              <w:t>Che cosa è</w:t>
            </w:r>
          </w:p>
        </w:tc>
      </w:tr>
      <w:tr>
        <w:trPr>
          <w:cantSplit/>
        </w:trPr>
        <w:tc>
          <w:tcPr>
            <w:tcW w:type="dxa" w:w="1900"/>
          </w:tcPr>
          <w:p>
            <w:r>
              <w:t>IMO</w:t>
            </w:r>
          </w:p>
        </w:tc>
        <w:tc>
          <w:tcPr>
            <w:tcW w:type="dxa" w:w="3300"/>
          </w:tcPr>
          <w:p>
            <w:r>
              <w:t>International Maritime Organization</w:t>
            </w:r>
          </w:p>
        </w:tc>
        <w:tc>
          <w:tcPr>
            <w:tcW w:type="dxa" w:w="4160"/>
          </w:tcPr>
          <w:p>
            <w:r>
              <w:t>Agenzia ONU che emana le convenzioni marittime</w:t>
            </w:r>
          </w:p>
        </w:tc>
      </w:tr>
      <w:tr>
        <w:trPr>
          <w:cantSplit/>
        </w:trPr>
        <w:tc>
          <w:tcPr>
            <w:tcW w:type="dxa" w:w="1900"/>
          </w:tcPr>
          <w:p>
            <w:r>
              <w:t>MSC</w:t>
            </w:r>
          </w:p>
        </w:tc>
        <w:tc>
          <w:tcPr>
            <w:tcW w:type="dxa" w:w="3300"/>
          </w:tcPr>
          <w:p>
            <w:r>
              <w:t>Maritime Safety Committee</w:t>
            </w:r>
          </w:p>
        </w:tc>
        <w:tc>
          <w:tcPr>
            <w:tcW w:type="dxa" w:w="4160"/>
          </w:tcPr>
          <w:p>
            <w:r>
              <w:t>Comitato IMO per la sicurezza; adotta emendamenti a SOLAS e codici</w:t>
            </w:r>
          </w:p>
        </w:tc>
      </w:tr>
      <w:tr>
        <w:trPr>
          <w:cantSplit/>
        </w:trPr>
        <w:tc>
          <w:tcPr>
            <w:tcW w:type="dxa" w:w="1900"/>
          </w:tcPr>
          <w:p>
            <w:r>
              <w:t>A.</w:t>
            </w:r>
          </w:p>
        </w:tc>
        <w:tc>
          <w:tcPr>
            <w:tcW w:type="dxa" w:w="3300"/>
          </w:tcPr>
          <w:p>
            <w:r>
              <w:t>Assembly resolution</w:t>
            </w:r>
          </w:p>
        </w:tc>
        <w:tc>
          <w:tcPr>
            <w:tcW w:type="dxa" w:w="4160"/>
          </w:tcPr>
          <w:p>
            <w:r>
              <w:t>Risoluzione dell'Assemblea IMO (es. A.744(18), A.1049(27))</w:t>
            </w:r>
          </w:p>
        </w:tc>
      </w:tr>
      <w:tr>
        <w:trPr>
          <w:cantSplit/>
        </w:trPr>
        <w:tc>
          <w:tcPr>
            <w:tcW w:type="dxa" w:w="1900"/>
          </w:tcPr>
          <w:p>
            <w:r>
              <w:t>SOLAS</w:t>
            </w:r>
          </w:p>
        </w:tc>
        <w:tc>
          <w:tcPr>
            <w:tcW w:type="dxa" w:w="3300"/>
          </w:tcPr>
          <w:p>
            <w:r>
              <w:t>International Convention for the Safety of Life at Sea</w:t>
            </w:r>
          </w:p>
        </w:tc>
        <w:tc>
          <w:tcPr>
            <w:tcW w:type="dxa" w:w="4160"/>
          </w:tcPr>
          <w:p>
            <w:r>
              <w:t>La regola XI-1/2 rende obbligatorio l'ESP Code; il cap. XII contiene le misure per le portarinfuse</w:t>
            </w:r>
          </w:p>
        </w:tc>
      </w:tr>
      <w:tr>
        <w:trPr>
          <w:cantSplit/>
        </w:trPr>
        <w:tc>
          <w:tcPr>
            <w:tcW w:type="dxa" w:w="1900"/>
          </w:tcPr>
          <w:p>
            <w:r>
              <w:t>ESP</w:t>
            </w:r>
          </w:p>
        </w:tc>
        <w:tc>
          <w:tcPr>
            <w:tcW w:type="dxa" w:w="3300"/>
          </w:tcPr>
          <w:p>
            <w:r>
              <w:t>Enhanced Survey Programme</w:t>
            </w:r>
          </w:p>
        </w:tc>
        <w:tc>
          <w:tcPr>
            <w:tcW w:type="dxa" w:w="4160"/>
          </w:tcPr>
          <w:p>
            <w:r>
              <w:t>Programma di ispezioni rafforzate per portarinfuse e petroliere</w:t>
            </w:r>
          </w:p>
        </w:tc>
      </w:tr>
      <w:tr>
        <w:trPr>
          <w:cantSplit/>
        </w:trPr>
        <w:tc>
          <w:tcPr>
            <w:tcW w:type="dxa" w:w="1900"/>
          </w:tcPr>
          <w:p>
            <w:r>
              <w:t>2011 ESP Code</w:t>
            </w:r>
          </w:p>
        </w:tc>
        <w:tc>
          <w:tcPr>
            <w:tcW w:type="dxa" w:w="3300"/>
          </w:tcPr>
          <w:p>
            <w:r>
              <w:t>International Code on the Enhanced Programme of Inspections during Surveys of Bulk Carriers and Oil Tankers, 2011</w:t>
            </w:r>
          </w:p>
        </w:tc>
        <w:tc>
          <w:tcPr>
            <w:tcW w:type="dxa" w:w="4160"/>
          </w:tcPr>
          <w:p>
            <w:r>
              <w:t>Adottato con A.1049(27); Allegato A portarinfuse (Parte A scafo singolo, Parte B doppio fianco), Allegato B petroliere</w:t>
            </w:r>
          </w:p>
        </w:tc>
      </w:tr>
      <w:tr>
        <w:trPr>
          <w:cantSplit/>
        </w:trPr>
        <w:tc>
          <w:tcPr>
            <w:tcW w:type="dxa" w:w="1900"/>
          </w:tcPr>
          <w:p>
            <w:r>
              <w:t>IACS</w:t>
            </w:r>
          </w:p>
        </w:tc>
        <w:tc>
          <w:tcPr>
            <w:tcW w:type="dxa" w:w="3300"/>
          </w:tcPr>
          <w:p>
            <w:r>
              <w:t>International Association of Classification Societies</w:t>
            </w:r>
          </w:p>
        </w:tc>
        <w:tc>
          <w:tcPr>
            <w:tcW w:type="dxa" w:w="4160"/>
          </w:tcPr>
          <w:p>
            <w:r>
              <w:t>Associazione delle principali società di classifica</w:t>
            </w:r>
          </w:p>
        </w:tc>
      </w:tr>
      <w:tr>
        <w:trPr>
          <w:cantSplit/>
        </w:trPr>
        <w:tc>
          <w:tcPr>
            <w:tcW w:type="dxa" w:w="1900"/>
          </w:tcPr>
          <w:p>
            <w:r>
              <w:t>UR</w:t>
            </w:r>
          </w:p>
        </w:tc>
        <w:tc>
          <w:tcPr>
            <w:tcW w:type="dxa" w:w="3300"/>
          </w:tcPr>
          <w:p>
            <w:r>
              <w:t>Unified Requirement</w:t>
            </w:r>
          </w:p>
        </w:tc>
        <w:tc>
          <w:tcPr>
            <w:tcW w:type="dxa" w:w="4160"/>
          </w:tcPr>
          <w:p>
            <w:r>
              <w:t>Requisito uniforme IACS. Citati: Z10.2 (visite portarinfuse a scafo singolo), Z10.5 (a doppio fianco), S11 (robustezza longitudinale), S12 (fianco delle portarinfuse a scafo singolo), S18 (paratie corrugate), S21 (coperchi), S31 (rinnovo delle ossature di stiva)</w:t>
            </w:r>
          </w:p>
        </w:tc>
      </w:tr>
      <w:tr>
        <w:trPr>
          <w:cantSplit/>
        </w:trPr>
        <w:tc>
          <w:tcPr>
            <w:tcW w:type="dxa" w:w="1900"/>
          </w:tcPr>
          <w:p>
            <w:r>
              <w:t>CSR</w:t>
            </w:r>
          </w:p>
        </w:tc>
        <w:tc>
          <w:tcPr>
            <w:tcW w:type="dxa" w:w="3300"/>
          </w:tcPr>
          <w:p>
            <w:r>
              <w:t>Common Structural Rules</w:t>
            </w:r>
          </w:p>
        </w:tc>
        <w:tc>
          <w:tcPr>
            <w:tcW w:type="dxa" w:w="4160"/>
          </w:tcPr>
          <w:p>
            <w:r>
              <w:t>Regole strutturali comuni IACS; Pt 1 Ch 13 tratta le navi in esercizio e i criteri di rinnovo</w:t>
            </w:r>
          </w:p>
        </w:tc>
      </w:tr>
      <w:tr>
        <w:trPr>
          <w:cantSplit/>
        </w:trPr>
        <w:tc>
          <w:tcPr>
            <w:tcW w:type="dxa" w:w="1900"/>
          </w:tcPr>
          <w:p>
            <w:r>
              <w:t>RIT</w:t>
            </w:r>
          </w:p>
        </w:tc>
        <w:tc>
          <w:tcPr>
            <w:tcW w:type="dxa" w:w="3300"/>
          </w:tcPr>
          <w:p>
            <w:r>
              <w:t>Remote Inspection Techniques</w:t>
            </w:r>
          </w:p>
        </w:tc>
        <w:tc>
          <w:tcPr>
            <w:tcW w:type="dxa" w:w="4160"/>
          </w:tcPr>
          <w:p>
            <w:r>
              <w:t>Tecniche di ispezione a distanza (droni, robot, telecamere); ammesse nell'ESP dal 1/1/2028 (MSC.584(111))</w:t>
            </w:r>
          </w:p>
        </w:tc>
      </w:tr>
      <w:tr>
        <w:trPr>
          <w:cantSplit/>
        </w:trPr>
        <w:tc>
          <w:tcPr>
            <w:tcW w:type="dxa" w:w="1900"/>
          </w:tcPr>
          <w:p>
            <w:r>
              <w:t>RITS / SoC</w:t>
            </w:r>
          </w:p>
        </w:tc>
        <w:tc>
          <w:tcPr>
            <w:tcW w:type="dxa" w:w="3300"/>
          </w:tcPr>
          <w:p>
            <w:r>
              <w:t>RIT System / Statement of Capability</w:t>
            </w:r>
          </w:p>
        </w:tc>
        <w:tc>
          <w:tcPr>
            <w:tcW w:type="dxa" w:w="4160"/>
          </w:tcPr>
          <w:p>
            <w:r>
              <w:t>Sistema RIT certificato e dichiarazione delle sue capacità e limiti (MSC.1/Circ.1700)</w:t>
            </w:r>
          </w:p>
        </w:tc>
      </w:tr>
      <w:tr>
        <w:trPr>
          <w:cantSplit/>
        </w:trPr>
        <w:tc>
          <w:tcPr>
            <w:tcW w:type="dxa" w:w="1900"/>
          </w:tcPr>
          <w:p>
            <w:r>
              <w:t>ISM</w:t>
            </w:r>
          </w:p>
        </w:tc>
        <w:tc>
          <w:tcPr>
            <w:tcW w:type="dxa" w:w="3300"/>
          </w:tcPr>
          <w:p>
            <w:r>
              <w:t>International Safety Management Code</w:t>
            </w:r>
          </w:p>
        </w:tc>
        <w:tc>
          <w:tcPr>
            <w:tcW w:type="dxa" w:w="4160"/>
          </w:tcPr>
          <w:p>
            <w:r>
              <w:t>Sistema di gestione della sicurezza; canale per segnalare anomalie strutturali alla Compagnia</w:t>
            </w:r>
          </w:p>
        </w:tc>
      </w:tr>
      <w:tr>
        <w:trPr>
          <w:cantSplit/>
        </w:trPr>
        <w:tc>
          <w:tcPr>
            <w:tcW w:type="dxa" w:w="1900"/>
          </w:tcPr>
          <w:p>
            <w:r>
              <w:t>PSC</w:t>
            </w:r>
          </w:p>
        </w:tc>
        <w:tc>
          <w:tcPr>
            <w:tcW w:type="dxa" w:w="3300"/>
          </w:tcPr>
          <w:p>
            <w:r>
              <w:t>Port State Control</w:t>
            </w:r>
          </w:p>
        </w:tc>
        <w:tc>
          <w:tcPr>
            <w:tcW w:type="dxa" w:w="4160"/>
          </w:tcPr>
          <w:p>
            <w:r>
              <w:t>Controllo delle navi straniere da parte dello Stato del porto</w:t>
            </w:r>
          </w:p>
        </w:tc>
      </w:tr>
      <w:tr>
        <w:trPr>
          <w:cantSplit/>
        </w:trPr>
        <w:tc>
          <w:tcPr>
            <w:tcW w:type="dxa" w:w="1900"/>
          </w:tcPr>
          <w:p>
            <w:r>
              <w:t>U.D.</w:t>
            </w:r>
          </w:p>
        </w:tc>
        <w:tc>
          <w:tcPr>
            <w:tcW w:type="dxa" w:w="3300"/>
          </w:tcPr>
          <w:p>
            <w:r>
              <w:t>Unità didattica</w:t>
            </w:r>
          </w:p>
        </w:tc>
        <w:tc>
          <w:tcPr>
            <w:tcW w:type="dxa" w:w="4160"/>
          </w:tcPr>
          <w:p>
            <w:r>
              <w:t>Parte numerata del programma del corso</w:t>
            </w:r>
          </w:p>
        </w:tc>
      </w:tr>
      <w:tr>
        <w:trPr>
          <w:cantSplit/>
        </w:trPr>
        <w:tc>
          <w:tcPr>
            <w:tcW w:type="dxa" w:w="1900"/>
          </w:tcPr>
          <w:p>
            <w:r>
              <w:t>D.D.</w:t>
            </w:r>
          </w:p>
        </w:tc>
        <w:tc>
          <w:tcPr>
            <w:tcW w:type="dxa" w:w="3300"/>
          </w:tcPr>
          <w:p>
            <w:r>
              <w:t>Decreto Direttoriale</w:t>
            </w:r>
          </w:p>
        </w:tc>
        <w:tc>
          <w:tcPr>
            <w:tcW w:type="dxa" w:w="4160"/>
          </w:tcPr>
          <w:p>
            <w:r>
              <w:t>Qui D.D. 201/2024 (programma) e D.D. 76/2025 (esami)</w:t>
            </w:r>
          </w:p>
        </w:tc>
      </w:tr>
      <w:tr>
        <w:trPr>
          <w:cantSplit/>
        </w:trPr>
        <w:tc>
          <w:tcPr>
            <w:tcW w:type="dxa" w:w="1900"/>
          </w:tcPr>
          <w:p>
            <w:r>
              <w:t>CC BY-NC-SA 4.0</w:t>
            </w:r>
          </w:p>
        </w:tc>
        <w:tc>
          <w:tcPr>
            <w:tcW w:type="dxa" w:w="3300"/>
          </w:tcPr>
          <w:p>
            <w:r>
              <w:t>Creative Commons Attribuzione – Non commerciale – Condividi allo stesso modo 4.0</w:t>
            </w:r>
          </w:p>
        </w:tc>
        <w:tc>
          <w:tcPr>
            <w:tcW w:type="dxa" w:w="4160"/>
          </w:tcPr>
          <w:p>
            <w:r>
              <w:t>Licenza del materiale</w:t>
            </w:r>
          </w:p>
        </w:tc>
      </w:tr>
    </w:tbl>
    <w:p/>
    <w:p>
      <w:pPr>
        <w:pStyle w:val="Heading2"/>
      </w:pPr>
      <w:r>
        <w:t>Termini ESP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1900"/>
        <w:gridCol w:w="3300"/>
        <w:gridCol w:w="4160"/>
      </w:tblGrid>
      <w:tr>
        <w:trPr>
          <w:tblHeader/>
          <w:cantSplit/>
        </w:trPr>
        <w:tc>
          <w:tcPr>
            <w:tcW w:type="dxa" w:w="1900"/>
            <w:shd w:val="clear" w:color="auto" w:fill="F2F2F2"/>
          </w:tcPr>
          <w:p>
            <w:r>
              <w:rPr>
                <w:b/>
              </w:rPr>
              <w:t>Termine</w:t>
            </w:r>
          </w:p>
        </w:tc>
        <w:tc>
          <w:tcPr>
            <w:tcW w:type="dxa" w:w="3300"/>
            <w:shd w:val="clear" w:color="auto" w:fill="F2F2F2"/>
          </w:tcPr>
          <w:p>
            <w:r>
              <w:rPr>
                <w:b/>
              </w:rPr>
              <w:t>Inglese</w:t>
            </w:r>
          </w:p>
        </w:tc>
        <w:tc>
          <w:tcPr>
            <w:tcW w:type="dxa" w:w="4160"/>
            <w:shd w:val="clear" w:color="auto" w:fill="F2F2F2"/>
          </w:tcPr>
          <w:p>
            <w:r>
              <w:rPr>
                <w:b/>
              </w:rPr>
              <w:t>Significato</w:t>
            </w:r>
          </w:p>
        </w:tc>
      </w:tr>
      <w:tr>
        <w:trPr>
          <w:cantSplit/>
        </w:trPr>
        <w:tc>
          <w:tcPr>
            <w:tcW w:type="dxa" w:w="1900"/>
          </w:tcPr>
          <w:p>
            <w:r>
              <w:t>Esame generale</w:t>
            </w:r>
          </w:p>
        </w:tc>
        <w:tc>
          <w:tcPr>
            <w:tcW w:type="dxa" w:w="3300"/>
          </w:tcPr>
          <w:p>
            <w:r>
              <w:t>Overall survey</w:t>
            </w:r>
          </w:p>
        </w:tc>
        <w:tc>
          <w:tcPr>
            <w:tcW w:type="dxa" w:w="4160"/>
          </w:tcPr>
          <w:p>
            <w:r>
              <w:t>Esame dello stato complessivo; decide dove servono esami ravvicinati</w:t>
            </w:r>
          </w:p>
        </w:tc>
      </w:tr>
      <w:tr>
        <w:trPr>
          <w:cantSplit/>
        </w:trPr>
        <w:tc>
          <w:tcPr>
            <w:tcW w:type="dxa" w:w="1900"/>
          </w:tcPr>
          <w:p>
            <w:r>
              <w:t>Esame ravvicinato</w:t>
            </w:r>
          </w:p>
        </w:tc>
        <w:tc>
          <w:tcPr>
            <w:tcW w:type="dxa" w:w="3300"/>
          </w:tcPr>
          <w:p>
            <w:r>
              <w:t>Close-up survey</w:t>
            </w:r>
          </w:p>
        </w:tc>
        <w:tc>
          <w:tcPr>
            <w:tcW w:type="dxa" w:w="4160"/>
          </w:tcPr>
          <w:p>
            <w:r>
              <w:t>Dettagli strutturali nel raggio visivo ravvicinato, di norma a portata di mano</w:t>
            </w:r>
          </w:p>
        </w:tc>
      </w:tr>
      <w:tr>
        <w:trPr>
          <w:cantSplit/>
        </w:trPr>
        <w:tc>
          <w:tcPr>
            <w:tcW w:type="dxa" w:w="1900"/>
          </w:tcPr>
          <w:p>
            <w:r>
              <w:t>Spessimetria</w:t>
            </w:r>
          </w:p>
        </w:tc>
        <w:tc>
          <w:tcPr>
            <w:tcW w:type="dxa" w:w="3300"/>
          </w:tcPr>
          <w:p>
            <w:r>
              <w:t>Thickness measurement</w:t>
            </w:r>
          </w:p>
        </w:tc>
        <w:tc>
          <w:tcPr>
            <w:tcW w:type="dxa" w:w="4160"/>
          </w:tcPr>
          <w:p>
            <w:r>
              <w:t>Misure di spessore ad ultrasuoni, eseguite da ditta certificata alla presenza dell'ispettore</w:t>
            </w:r>
          </w:p>
        </w:tc>
      </w:tr>
      <w:tr>
        <w:trPr>
          <w:cantSplit/>
        </w:trPr>
        <w:tc>
          <w:tcPr>
            <w:tcW w:type="dxa" w:w="1900"/>
          </w:tcPr>
          <w:p>
            <w:r>
              <w:t>Corrosione sostanziale</w:t>
            </w:r>
          </w:p>
        </w:tc>
        <w:tc>
          <w:tcPr>
            <w:tcW w:type="dxa" w:w="3300"/>
          </w:tcPr>
          <w:p>
            <w:r>
              <w:t>Substantial corrosion</w:t>
            </w:r>
          </w:p>
        </w:tc>
        <w:tc>
          <w:tcPr>
            <w:tcW w:type="dxa" w:w="4160"/>
          </w:tcPr>
          <w:p>
            <w:r>
              <w:t>Oltre il 75 % del margine ammesso ma entro i limiti; per navi CSR spessore misurato entro 0,5 mm dallo spessore di rinnovo</w:t>
            </w:r>
          </w:p>
        </w:tc>
      </w:tr>
      <w:tr>
        <w:trPr>
          <w:cantSplit/>
        </w:trPr>
        <w:tc>
          <w:tcPr>
            <w:tcW w:type="dxa" w:w="1900"/>
          </w:tcPr>
          <w:p>
            <w:r>
              <w:t>Zona sospetta</w:t>
            </w:r>
          </w:p>
        </w:tc>
        <w:tc>
          <w:tcPr>
            <w:tcW w:type="dxa" w:w="3300"/>
          </w:tcPr>
          <w:p>
            <w:r>
              <w:t>Suspect area</w:t>
            </w:r>
          </w:p>
        </w:tc>
        <w:tc>
          <w:tcPr>
            <w:tcW w:type="dxa" w:w="4160"/>
          </w:tcPr>
          <w:p>
            <w:r>
              <w:t>Zona con corrosione sostanziale o ritenuta soggetta a rapido deterioramento</w:t>
            </w:r>
          </w:p>
        </w:tc>
      </w:tr>
      <w:tr>
        <w:trPr>
          <w:cantSplit/>
        </w:trPr>
        <w:tc>
          <w:tcPr>
            <w:tcW w:type="dxa" w:w="1900"/>
          </w:tcPr>
          <w:p>
            <w:r>
              <w:t>Zona strutturale critica</w:t>
            </w:r>
          </w:p>
        </w:tc>
        <w:tc>
          <w:tcPr>
            <w:tcW w:type="dxa" w:w="3300"/>
          </w:tcPr>
          <w:p>
            <w:r>
              <w:t>Critical structural area</w:t>
            </w:r>
          </w:p>
        </w:tc>
        <w:tc>
          <w:tcPr>
            <w:tcW w:type="dxa" w:w="4160"/>
          </w:tcPr>
          <w:p>
            <w:r>
              <w:t>Zona sensibile a cricche, instabilità o corrosione, individuata da calcoli o esperienza</w:t>
            </w:r>
          </w:p>
        </w:tc>
      </w:tr>
      <w:tr>
        <w:trPr>
          <w:cantSplit/>
        </w:trPr>
        <w:tc>
          <w:tcPr>
            <w:tcW w:type="dxa" w:w="1900"/>
          </w:tcPr>
          <w:p>
            <w:r>
              <w:t>Riparazione pronta e completa</w:t>
            </w:r>
          </w:p>
        </w:tc>
        <w:tc>
          <w:tcPr>
            <w:tcW w:type="dxa" w:w="3300"/>
          </w:tcPr>
          <w:p>
            <w:r>
              <w:t>Prompt and thorough repair</w:t>
            </w:r>
          </w:p>
        </w:tc>
        <w:tc>
          <w:tcPr>
            <w:tcW w:type="dxa" w:w="4160"/>
          </w:tcPr>
          <w:p>
            <w:r>
              <w:t>Riparazione definitiva eseguita durante la visita, senza prescrizioni di classe</w:t>
            </w:r>
          </w:p>
        </w:tc>
      </w:tr>
      <w:tr>
        <w:trPr>
          <w:cantSplit/>
        </w:trPr>
        <w:tc>
          <w:tcPr>
            <w:tcW w:type="dxa" w:w="1900"/>
          </w:tcPr>
          <w:p>
            <w:r>
              <w:t>Sezione trasversale</w:t>
            </w:r>
          </w:p>
        </w:tc>
        <w:tc>
          <w:tcPr>
            <w:tcW w:type="dxa" w:w="3300"/>
          </w:tcPr>
          <w:p>
            <w:r>
              <w:t>Transverse section</w:t>
            </w:r>
          </w:p>
        </w:tc>
        <w:tc>
          <w:tcPr>
            <w:tcW w:type="dxa" w:w="4160"/>
          </w:tcPr>
          <w:p>
            <w:r>
              <w:t>Insieme degli elementi longitudinali (fondo, cielo, fianco, ponte, cisterne) misurati in una sezione</w:t>
            </w:r>
          </w:p>
        </w:tc>
      </w:tr>
      <w:tr>
        <w:trPr>
          <w:cantSplit/>
        </w:trPr>
        <w:tc>
          <w:tcPr>
            <w:tcW w:type="dxa" w:w="1900"/>
          </w:tcPr>
          <w:p>
            <w:r>
              <w:t>Rivestimento GOOD / FAIR / POOR</w:t>
            </w:r>
          </w:p>
        </w:tc>
        <w:tc>
          <w:tcPr>
            <w:tcW w:type="dxa" w:w="3300"/>
          </w:tcPr>
          <w:p>
            <w:r>
              <w:t>Coating condition</w:t>
            </w:r>
          </w:p>
        </w:tc>
        <w:tc>
          <w:tcPr>
            <w:tcW w:type="dxa" w:w="4160"/>
          </w:tcPr>
          <w:p>
            <w:r>
              <w:t>GOOD: piccoli punti di ruggine; FAIR: cedimenti a bordi e saldature o ruggine leggera ≥ 20 %; POOR: cedimento generale ≥ 20 % o scaglie ≥ 10 %</w:t>
            </w:r>
          </w:p>
        </w:tc>
      </w:tr>
      <w:tr>
        <w:trPr>
          <w:cantSplit/>
        </w:trPr>
        <w:tc>
          <w:tcPr>
            <w:tcW w:type="dxa" w:w="1900"/>
          </w:tcPr>
          <w:p>
            <w:r>
              <w:t>Visita annuale / intermedia / di rinnovo</w:t>
            </w:r>
          </w:p>
        </w:tc>
        <w:tc>
          <w:tcPr>
            <w:tcW w:type="dxa" w:w="3300"/>
          </w:tcPr>
          <w:p>
            <w:r>
              <w:t>Annual / intermediate / renewal (special) survey</w:t>
            </w:r>
          </w:p>
        </w:tc>
        <w:tc>
          <w:tcPr>
            <w:tcW w:type="dxa" w:w="4160"/>
          </w:tcPr>
          <w:p>
            <w:r>
              <w:t>Ciclo quinquennale; il rinnovo è numerato per età: N. 1 (≤ 5 anni), N. 2, N. 3, N. 4 e seguenti</w:t>
            </w:r>
          </w:p>
        </w:tc>
      </w:tr>
      <w:tr>
        <w:trPr>
          <w:cantSplit/>
        </w:trPr>
        <w:tc>
          <w:tcPr>
            <w:tcW w:type="dxa" w:w="1900"/>
          </w:tcPr>
          <w:p>
            <w:r>
              <w:t>Programma di visita</w:t>
            </w:r>
          </w:p>
        </w:tc>
        <w:tc>
          <w:tcPr>
            <w:tcW w:type="dxa" w:w="3300"/>
          </w:tcPr>
          <w:p>
            <w:r>
              <w:t>Survey programme</w:t>
            </w:r>
          </w:p>
        </w:tc>
        <w:tc>
          <w:tcPr>
            <w:tcW w:type="dxa" w:w="4160"/>
          </w:tcPr>
          <w:p>
            <w:r>
              <w:t>Documento concordato tra armatore e società prima della visita</w:t>
            </w:r>
          </w:p>
        </w:tc>
      </w:tr>
      <w:tr>
        <w:trPr>
          <w:cantSplit/>
        </w:trPr>
        <w:tc>
          <w:tcPr>
            <w:tcW w:type="dxa" w:w="1900"/>
          </w:tcPr>
          <w:p>
            <w:r>
              <w:t>Questionario di pianificazione</w:t>
            </w:r>
          </w:p>
        </w:tc>
        <w:tc>
          <w:tcPr>
            <w:tcW w:type="dxa" w:w="3300"/>
          </w:tcPr>
          <w:p>
            <w:r>
              <w:t>Planning questionnaire</w:t>
            </w:r>
          </w:p>
        </w:tc>
        <w:tc>
          <w:tcPr>
            <w:tcW w:type="dxa" w:w="4160"/>
          </w:tcPr>
          <w:p>
            <w:r>
              <w:t>Dati compilati dall'armatore per preparare il programma</w:t>
            </w:r>
          </w:p>
        </w:tc>
      </w:tr>
      <w:tr>
        <w:trPr>
          <w:cantSplit/>
        </w:trPr>
        <w:tc>
          <w:tcPr>
            <w:tcW w:type="dxa" w:w="1900"/>
          </w:tcPr>
          <w:p>
            <w:r>
              <w:t>Riunione di pianificazione</w:t>
            </w:r>
          </w:p>
        </w:tc>
        <w:tc>
          <w:tcPr>
            <w:tcW w:type="dxa" w:w="3300"/>
          </w:tcPr>
          <w:p>
            <w:r>
              <w:t>Survey planning meeting</w:t>
            </w:r>
          </w:p>
        </w:tc>
        <w:tc>
          <w:tcPr>
            <w:tcW w:type="dxa" w:w="4160"/>
          </w:tcPr>
          <w:p>
            <w:r>
              <w:t>Riunione tra ispettori, armatore, Comandante e ditta di spessimetria</w:t>
            </w:r>
          </w:p>
        </w:tc>
      </w:tr>
      <w:tr>
        <w:trPr>
          <w:cantSplit/>
        </w:trPr>
        <w:tc>
          <w:tcPr>
            <w:tcW w:type="dxa" w:w="1900"/>
          </w:tcPr>
          <w:p>
            <w:r>
              <w:t>Fascicolo dei rapporti</w:t>
            </w:r>
          </w:p>
        </w:tc>
        <w:tc>
          <w:tcPr>
            <w:tcW w:type="dxa" w:w="3300"/>
          </w:tcPr>
          <w:p>
            <w:r>
              <w:t>Survey Report File</w:t>
            </w:r>
          </w:p>
        </w:tc>
        <w:tc>
          <w:tcPr>
            <w:tcW w:type="dxa" w:w="4160"/>
          </w:tcPr>
          <w:p>
            <w:r>
              <w:t>Rapporti delle visite, valutazione dello stato, spessimetrie; a bordo per tutta la vita della nave</w:t>
            </w:r>
          </w:p>
        </w:tc>
      </w:tr>
      <w:tr>
        <w:trPr>
          <w:cantSplit/>
        </w:trPr>
        <w:tc>
          <w:tcPr>
            <w:tcW w:type="dxa" w:w="1900"/>
          </w:tcPr>
          <w:p>
            <w:r>
              <w:t>Rapporto di valutazione dello stato</w:t>
            </w:r>
          </w:p>
        </w:tc>
        <w:tc>
          <w:tcPr>
            <w:tcW w:type="dxa" w:w="3300"/>
          </w:tcPr>
          <w:p>
            <w:r>
              <w:t>Condition evaluation report / executive hull summary</w:t>
            </w:r>
          </w:p>
        </w:tc>
        <w:tc>
          <w:tcPr>
            <w:tcW w:type="dxa" w:w="4160"/>
          </w:tcPr>
          <w:p>
            <w:r>
              <w:t>Sintesi dello stato dello scafo dopo la visita di rinnovo</w:t>
            </w:r>
          </w:p>
        </w:tc>
      </w:tr>
    </w:tbl>
    <w:p/>
    <w:p>
      <w:pPr>
        <w:pStyle w:val="Heading2"/>
      </w:pPr>
      <w:r>
        <w:t>Struttura della nave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1900"/>
        <w:gridCol w:w="3300"/>
        <w:gridCol w:w="4160"/>
      </w:tblGrid>
      <w:tr>
        <w:trPr>
          <w:tblHeader/>
          <w:cantSplit/>
        </w:trPr>
        <w:tc>
          <w:tcPr>
            <w:tcW w:type="dxa" w:w="1900"/>
            <w:shd w:val="clear" w:color="auto" w:fill="F2F2F2"/>
          </w:tcPr>
          <w:p>
            <w:r>
              <w:rPr>
                <w:b/>
              </w:rPr>
              <w:t>Termine</w:t>
            </w:r>
          </w:p>
        </w:tc>
        <w:tc>
          <w:tcPr>
            <w:tcW w:type="dxa" w:w="3300"/>
            <w:shd w:val="clear" w:color="auto" w:fill="F2F2F2"/>
          </w:tcPr>
          <w:p>
            <w:r>
              <w:rPr>
                <w:b/>
              </w:rPr>
              <w:t>Inglese</w:t>
            </w:r>
          </w:p>
        </w:tc>
        <w:tc>
          <w:tcPr>
            <w:tcW w:type="dxa" w:w="4160"/>
            <w:shd w:val="clear" w:color="auto" w:fill="F2F2F2"/>
          </w:tcPr>
          <w:p>
            <w:r>
              <w:rPr>
                <w:b/>
              </w:rPr>
              <w:t>Significato</w:t>
            </w:r>
          </w:p>
        </w:tc>
      </w:tr>
      <w:tr>
        <w:trPr>
          <w:cantSplit/>
        </w:trPr>
        <w:tc>
          <w:tcPr>
            <w:tcW w:type="dxa" w:w="1900"/>
          </w:tcPr>
          <w:p>
            <w:r>
              <w:t>Linea di base</w:t>
            </w:r>
          </w:p>
        </w:tc>
        <w:tc>
          <w:tcPr>
            <w:tcW w:type="dxa" w:w="3300"/>
          </w:tcPr>
          <w:p>
            <w:r>
              <w:t>Baseline</w:t>
            </w:r>
          </w:p>
        </w:tc>
        <w:tc>
          <w:tcPr>
            <w:tcW w:type="dxa" w:w="4160"/>
          </w:tcPr>
          <w:p>
            <w:r>
              <w:t>Riferimento orizzontale per le quote verticali</w:t>
            </w:r>
          </w:p>
        </w:tc>
      </w:tr>
      <w:tr>
        <w:trPr>
          <w:cantSplit/>
        </w:trPr>
        <w:tc>
          <w:tcPr>
            <w:tcW w:type="dxa" w:w="1900"/>
          </w:tcPr>
          <w:p>
            <w:r>
              <w:t>PP AV / PP AD</w:t>
            </w:r>
          </w:p>
        </w:tc>
        <w:tc>
          <w:tcPr>
            <w:tcW w:type="dxa" w:w="3300"/>
          </w:tcPr>
          <w:p>
            <w:r>
              <w:t>Forward / aft perpendicular</w:t>
            </w:r>
          </w:p>
        </w:tc>
        <w:tc>
          <w:tcPr>
            <w:tcW w:type="dxa" w:w="4160"/>
          </w:tcPr>
          <w:p>
            <w:r>
              <w:t>Perpendicolari avanti e addietro; la distanza è Lpp</w:t>
            </w:r>
          </w:p>
        </w:tc>
      </w:tr>
      <w:tr>
        <w:trPr>
          <w:cantSplit/>
        </w:trPr>
        <w:tc>
          <w:tcPr>
            <w:tcW w:type="dxa" w:w="1900"/>
          </w:tcPr>
          <w:p>
            <w:r>
              <w:t>Lpp</w:t>
            </w:r>
          </w:p>
        </w:tc>
        <w:tc>
          <w:tcPr>
            <w:tcW w:type="dxa" w:w="3300"/>
          </w:tcPr>
          <w:p>
            <w:r>
              <w:t>Length between perpendiculars</w:t>
            </w:r>
          </w:p>
        </w:tc>
        <w:tc>
          <w:tcPr>
            <w:tcW w:type="dxa" w:w="4160"/>
          </w:tcPr>
          <w:p>
            <w:r>
              <w:t>Lunghezza tra le perpendicolari</w:t>
            </w:r>
          </w:p>
        </w:tc>
      </w:tr>
      <w:tr>
        <w:trPr>
          <w:cantSplit/>
        </w:trPr>
        <w:tc>
          <w:tcPr>
            <w:tcW w:type="dxa" w:w="1900"/>
          </w:tcPr>
          <w:p>
            <w:r>
              <w:t>PD</w:t>
            </w:r>
          </w:p>
        </w:tc>
        <w:tc>
          <w:tcPr>
            <w:tcW w:type="dxa" w:w="3300"/>
          </w:tcPr>
          <w:p>
            <w:r>
              <w:t>Piano diametrale (centreline)</w:t>
            </w:r>
          </w:p>
        </w:tc>
        <w:tc>
          <w:tcPr>
            <w:tcW w:type="dxa" w:w="4160"/>
          </w:tcPr>
          <w:p>
            <w:r>
              <w:t>Piano verticale longitudinale di simmetria</w:t>
            </w:r>
          </w:p>
        </w:tc>
      </w:tr>
      <w:tr>
        <w:trPr>
          <w:cantSplit/>
        </w:trPr>
        <w:tc>
          <w:tcPr>
            <w:tcW w:type="dxa" w:w="1900"/>
          </w:tcPr>
          <w:p>
            <w:r>
              <w:t>LC</w:t>
            </w:r>
          </w:p>
        </w:tc>
        <w:tc>
          <w:tcPr>
            <w:tcW w:type="dxa" w:w="3300"/>
          </w:tcPr>
          <w:p>
            <w:r>
              <w:t>Linea di carico (waterline)</w:t>
            </w:r>
          </w:p>
        </w:tc>
        <w:tc>
          <w:tcPr>
            <w:tcW w:type="dxa" w:w="4160"/>
          </w:tcPr>
          <w:p>
            <w:r>
              <w:t>Linea di galleggiamento</w:t>
            </w:r>
          </w:p>
        </w:tc>
      </w:tr>
      <w:tr>
        <w:trPr>
          <w:cantSplit/>
        </w:trPr>
        <w:tc>
          <w:tcPr>
            <w:tcW w:type="dxa" w:w="1900"/>
          </w:tcPr>
          <w:p>
            <w:r>
              <w:t>Sezione maestra</w:t>
            </w:r>
          </w:p>
        </w:tc>
        <w:tc>
          <w:tcPr>
            <w:tcW w:type="dxa" w:w="3300"/>
          </w:tcPr>
          <w:p>
            <w:r>
              <w:t>Midship section</w:t>
            </w:r>
          </w:p>
        </w:tc>
        <w:tc>
          <w:tcPr>
            <w:tcW w:type="dxa" w:w="4160"/>
          </w:tcPr>
          <w:p>
            <w:r>
              <w:t>Sezione a metà Lpp; disegno strutturale di riferimento</w:t>
            </w:r>
          </w:p>
        </w:tc>
      </w:tr>
      <w:tr>
        <w:trPr>
          <w:cantSplit/>
        </w:trPr>
        <w:tc>
          <w:tcPr>
            <w:tcW w:type="dxa" w:w="1900"/>
          </w:tcPr>
          <w:p>
            <w:r>
              <w:t>Ossatura</w:t>
            </w:r>
          </w:p>
        </w:tc>
        <w:tc>
          <w:tcPr>
            <w:tcW w:type="dxa" w:w="3300"/>
          </w:tcPr>
          <w:p>
            <w:r>
              <w:t>Frame</w:t>
            </w:r>
          </w:p>
        </w:tc>
        <w:tc>
          <w:tcPr>
            <w:tcW w:type="dxa" w:w="4160"/>
          </w:tcPr>
          <w:p>
            <w:r>
              <w:t>Rinforzo trasversale ordinario; numerata con passo costante</w:t>
            </w:r>
          </w:p>
        </w:tc>
      </w:tr>
      <w:tr>
        <w:trPr>
          <w:cantSplit/>
        </w:trPr>
        <w:tc>
          <w:tcPr>
            <w:tcW w:type="dxa" w:w="1900"/>
          </w:tcPr>
          <w:p>
            <w:r>
              <w:t>Anello rinforzato</w:t>
            </w:r>
          </w:p>
        </w:tc>
        <w:tc>
          <w:tcPr>
            <w:tcW w:type="dxa" w:w="3300"/>
          </w:tcPr>
          <w:p>
            <w:r>
              <w:t>Web frame / transverse web</w:t>
            </w:r>
          </w:p>
        </w:tc>
        <w:tc>
          <w:tcPr>
            <w:tcW w:type="dxa" w:w="4160"/>
          </w:tcPr>
          <w:p>
            <w:r>
              <w:t>Rinforzo primario trasversale delle cisterne</w:t>
            </w:r>
          </w:p>
        </w:tc>
      </w:tr>
      <w:tr>
        <w:trPr>
          <w:cantSplit/>
        </w:trPr>
        <w:tc>
          <w:tcPr>
            <w:tcW w:type="dxa" w:w="1900"/>
          </w:tcPr>
          <w:p>
            <w:r>
              <w:t>Longitudinale</w:t>
            </w:r>
          </w:p>
        </w:tc>
        <w:tc>
          <w:tcPr>
            <w:tcW w:type="dxa" w:w="3300"/>
          </w:tcPr>
          <w:p>
            <w:r>
              <w:t>Longitudinal</w:t>
            </w:r>
          </w:p>
        </w:tc>
        <w:tc>
          <w:tcPr>
            <w:tcW w:type="dxa" w:w="4160"/>
          </w:tcPr>
          <w:p>
            <w:r>
              <w:t>Rinforzo ordinario longitudinale</w:t>
            </w:r>
          </w:p>
        </w:tc>
      </w:tr>
      <w:tr>
        <w:trPr>
          <w:cantSplit/>
        </w:trPr>
        <w:tc>
          <w:tcPr>
            <w:tcW w:type="dxa" w:w="1900"/>
          </w:tcPr>
          <w:p>
            <w:r>
              <w:t>Rinforzo ordinario / primario</w:t>
            </w:r>
          </w:p>
        </w:tc>
        <w:tc>
          <w:tcPr>
            <w:tcW w:type="dxa" w:w="3300"/>
          </w:tcPr>
          <w:p>
            <w:r>
              <w:t>Ordinary stiffener / primary supporting member</w:t>
            </w:r>
          </w:p>
        </w:tc>
        <w:tc>
          <w:tcPr>
            <w:tcW w:type="dxa" w:w="4160"/>
          </w:tcPr>
          <w:p>
            <w:r>
              <w:t>Livelli della gerarchia strutturale</w:t>
            </w:r>
          </w:p>
        </w:tc>
      </w:tr>
      <w:tr>
        <w:trPr>
          <w:cantSplit/>
        </w:trPr>
        <w:tc>
          <w:tcPr>
            <w:tcW w:type="dxa" w:w="1900"/>
          </w:tcPr>
          <w:p>
            <w:r>
              <w:t>Chiglia piatta</w:t>
            </w:r>
          </w:p>
        </w:tc>
        <w:tc>
          <w:tcPr>
            <w:tcW w:type="dxa" w:w="3300"/>
          </w:tcPr>
          <w:p>
            <w:r>
              <w:t>Flat keel / keel plate</w:t>
            </w:r>
          </w:p>
        </w:tc>
        <w:tc>
          <w:tcPr>
            <w:tcW w:type="dxa" w:w="4160"/>
          </w:tcPr>
          <w:p>
            <w:r>
              <w:t>Corso centrale del fondo</w:t>
            </w:r>
          </w:p>
        </w:tc>
      </w:tr>
      <w:tr>
        <w:trPr>
          <w:cantSplit/>
        </w:trPr>
        <w:tc>
          <w:tcPr>
            <w:tcW w:type="dxa" w:w="1900"/>
          </w:tcPr>
          <w:p>
            <w:r>
              <w:t>Torello</w:t>
            </w:r>
          </w:p>
        </w:tc>
        <w:tc>
          <w:tcPr>
            <w:tcW w:type="dxa" w:w="3300"/>
          </w:tcPr>
          <w:p>
            <w:r>
              <w:t>Garboard strake</w:t>
            </w:r>
          </w:p>
        </w:tc>
        <w:tc>
          <w:tcPr>
            <w:tcW w:type="dxa" w:w="4160"/>
          </w:tcPr>
          <w:p>
            <w:r>
              <w:t>Corso del fondo adiacente alla chiglia</w:t>
            </w:r>
          </w:p>
        </w:tc>
      </w:tr>
      <w:tr>
        <w:trPr>
          <w:cantSplit/>
        </w:trPr>
        <w:tc>
          <w:tcPr>
            <w:tcW w:type="dxa" w:w="1900"/>
          </w:tcPr>
          <w:p>
            <w:r>
              <w:t>Corso del ginocchio</w:t>
            </w:r>
          </w:p>
        </w:tc>
        <w:tc>
          <w:tcPr>
            <w:tcW w:type="dxa" w:w="3300"/>
          </w:tcPr>
          <w:p>
            <w:r>
              <w:t>Bilge strake</w:t>
            </w:r>
          </w:p>
        </w:tc>
        <w:tc>
          <w:tcPr>
            <w:tcW w:type="dxa" w:w="4160"/>
          </w:tcPr>
          <w:p>
            <w:r>
              <w:t>Corso curvo tra fondo e fianco</w:t>
            </w:r>
          </w:p>
        </w:tc>
      </w:tr>
      <w:tr>
        <w:trPr>
          <w:cantSplit/>
        </w:trPr>
        <w:tc>
          <w:tcPr>
            <w:tcW w:type="dxa" w:w="1900"/>
          </w:tcPr>
          <w:p>
            <w:r>
              <w:t>Corsi di bagnasciuga</w:t>
            </w:r>
          </w:p>
        </w:tc>
        <w:tc>
          <w:tcPr>
            <w:tcW w:type="dxa" w:w="3300"/>
          </w:tcPr>
          <w:p>
            <w:r>
              <w:t>Wind and water strakes</w:t>
            </w:r>
          </w:p>
        </w:tc>
        <w:tc>
          <w:tcPr>
            <w:tcW w:type="dxa" w:w="4160"/>
          </w:tcPr>
          <w:p>
            <w:r>
              <w:t>Corsi del fianco attorno alle linee di galleggiamento; zona di corrosione</w:t>
            </w:r>
          </w:p>
        </w:tc>
      </w:tr>
      <w:tr>
        <w:trPr>
          <w:cantSplit/>
        </w:trPr>
        <w:tc>
          <w:tcPr>
            <w:tcW w:type="dxa" w:w="1900"/>
          </w:tcPr>
          <w:p>
            <w:r>
              <w:t>Cinta</w:t>
            </w:r>
          </w:p>
        </w:tc>
        <w:tc>
          <w:tcPr>
            <w:tcW w:type="dxa" w:w="3300"/>
          </w:tcPr>
          <w:p>
            <w:r>
              <w:t>Sheer strake</w:t>
            </w:r>
          </w:p>
        </w:tc>
        <w:tc>
          <w:tcPr>
            <w:tcW w:type="dxa" w:w="4160"/>
          </w:tcPr>
          <w:p>
            <w:r>
              <w:t>Corso più alto del fianco</w:t>
            </w:r>
          </w:p>
        </w:tc>
      </w:tr>
      <w:tr>
        <w:trPr>
          <w:cantSplit/>
        </w:trPr>
        <w:tc>
          <w:tcPr>
            <w:tcW w:type="dxa" w:w="1900"/>
          </w:tcPr>
          <w:p>
            <w:r>
              <w:t>Trincarino</w:t>
            </w:r>
          </w:p>
        </w:tc>
        <w:tc>
          <w:tcPr>
            <w:tcW w:type="dxa" w:w="3300"/>
          </w:tcPr>
          <w:p>
            <w:r>
              <w:t>Deck stringer plate</w:t>
            </w:r>
          </w:p>
        </w:tc>
        <w:tc>
          <w:tcPr>
            <w:tcW w:type="dxa" w:w="4160"/>
          </w:tcPr>
          <w:p>
            <w:r>
              <w:t>Corso del ponte lungo il bordo</w:t>
            </w:r>
          </w:p>
        </w:tc>
      </w:tr>
      <w:tr>
        <w:trPr>
          <w:cantSplit/>
        </w:trPr>
        <w:tc>
          <w:tcPr>
            <w:tcW w:type="dxa" w:w="1900"/>
          </w:tcPr>
          <w:p>
            <w:r>
              <w:t>Paramezzale</w:t>
            </w:r>
          </w:p>
        </w:tc>
        <w:tc>
          <w:tcPr>
            <w:tcW w:type="dxa" w:w="3300"/>
          </w:tcPr>
          <w:p>
            <w:r>
              <w:t>Girder</w:t>
            </w:r>
          </w:p>
        </w:tc>
        <w:tc>
          <w:tcPr>
            <w:tcW w:type="dxa" w:w="4160"/>
          </w:tcPr>
          <w:p>
            <w:r>
              <w:t>Trave longitudinale del doppio fondo (centrale o laterale)</w:t>
            </w:r>
          </w:p>
        </w:tc>
      </w:tr>
      <w:tr>
        <w:trPr>
          <w:cantSplit/>
        </w:trPr>
        <w:tc>
          <w:tcPr>
            <w:tcW w:type="dxa" w:w="1900"/>
          </w:tcPr>
          <w:p>
            <w:r>
              <w:t>Anguilla</w:t>
            </w:r>
          </w:p>
        </w:tc>
        <w:tc>
          <w:tcPr>
            <w:tcW w:type="dxa" w:w="3300"/>
          </w:tcPr>
          <w:p>
            <w:r>
              <w:t>Deck girder</w:t>
            </w:r>
          </w:p>
        </w:tc>
        <w:tc>
          <w:tcPr>
            <w:tcW w:type="dxa" w:w="4160"/>
          </w:tcPr>
          <w:p>
            <w:r>
              <w:t>Trave longitudinale sotto il ponte</w:t>
            </w:r>
          </w:p>
        </w:tc>
      </w:tr>
      <w:tr>
        <w:trPr>
          <w:cantSplit/>
        </w:trPr>
        <w:tc>
          <w:tcPr>
            <w:tcW w:type="dxa" w:w="1900"/>
          </w:tcPr>
          <w:p>
            <w:r>
              <w:t>Madiere</w:t>
            </w:r>
          </w:p>
        </w:tc>
        <w:tc>
          <w:tcPr>
            <w:tcW w:type="dxa" w:w="3300"/>
          </w:tcPr>
          <w:p>
            <w:r>
              <w:t>Floor</w:t>
            </w:r>
          </w:p>
        </w:tc>
        <w:tc>
          <w:tcPr>
            <w:tcW w:type="dxa" w:w="4160"/>
          </w:tcPr>
          <w:p>
            <w:r>
              <w:t>Elemento trasversale del doppio fondo: pieno, stagno o aperto</w:t>
            </w:r>
          </w:p>
        </w:tc>
      </w:tr>
      <w:tr>
        <w:trPr>
          <w:cantSplit/>
        </w:trPr>
        <w:tc>
          <w:tcPr>
            <w:tcW w:type="dxa" w:w="1900"/>
          </w:tcPr>
          <w:p>
            <w:r>
              <w:t>Baglio</w:t>
            </w:r>
          </w:p>
        </w:tc>
        <w:tc>
          <w:tcPr>
            <w:tcW w:type="dxa" w:w="3300"/>
          </w:tcPr>
          <w:p>
            <w:r>
              <w:t>Beam</w:t>
            </w:r>
          </w:p>
        </w:tc>
        <w:tc>
          <w:tcPr>
            <w:tcW w:type="dxa" w:w="4160"/>
          </w:tcPr>
          <w:p>
            <w:r>
              <w:t>Elemento trasversale sotto il ponte</w:t>
            </w:r>
          </w:p>
        </w:tc>
      </w:tr>
      <w:tr>
        <w:trPr>
          <w:cantSplit/>
        </w:trPr>
        <w:tc>
          <w:tcPr>
            <w:tcW w:type="dxa" w:w="1900"/>
          </w:tcPr>
          <w:p>
            <w:r>
              <w:t>Bracciolo</w:t>
            </w:r>
          </w:p>
        </w:tc>
        <w:tc>
          <w:tcPr>
            <w:tcW w:type="dxa" w:w="3300"/>
          </w:tcPr>
          <w:p>
            <w:r>
              <w:t>Bracket</w:t>
            </w:r>
          </w:p>
        </w:tc>
        <w:tc>
          <w:tcPr>
            <w:tcW w:type="dxa" w:w="4160"/>
          </w:tcPr>
          <w:p>
            <w:r>
              <w:t>Lamiera di collegamento all'estremità di un rinforzo</w:t>
            </w:r>
          </w:p>
        </w:tc>
      </w:tr>
      <w:tr>
        <w:trPr>
          <w:cantSplit/>
        </w:trPr>
        <w:tc>
          <w:tcPr>
            <w:tcW w:type="dxa" w:w="1900"/>
          </w:tcPr>
          <w:p>
            <w:r>
              <w:t>DF / cielo del DF</w:t>
            </w:r>
          </w:p>
        </w:tc>
        <w:tc>
          <w:tcPr>
            <w:tcW w:type="dxa" w:w="3300"/>
          </w:tcPr>
          <w:p>
            <w:r>
              <w:t>Double bottom / inner bottom, tank top</w:t>
            </w:r>
          </w:p>
        </w:tc>
        <w:tc>
          <w:tcPr>
            <w:tcW w:type="dxa" w:w="4160"/>
          </w:tcPr>
          <w:p>
            <w:r>
              <w:t>Doppio fondo e suo cielo, piano di carico della stiva</w:t>
            </w:r>
          </w:p>
        </w:tc>
      </w:tr>
      <w:tr>
        <w:trPr>
          <w:cantSplit/>
        </w:trPr>
        <w:tc>
          <w:tcPr>
            <w:tcW w:type="dxa" w:w="1900"/>
          </w:tcPr>
          <w:p>
            <w:r>
              <w:t>Cisterna alta / a tramoggia</w:t>
            </w:r>
          </w:p>
        </w:tc>
        <w:tc>
          <w:tcPr>
            <w:tcW w:type="dxa" w:w="3300"/>
          </w:tcPr>
          <w:p>
            <w:r>
              <w:t>Topside tank / hopper tank</w:t>
            </w:r>
          </w:p>
        </w:tc>
        <w:tc>
          <w:tcPr>
            <w:tcW w:type="dxa" w:w="4160"/>
          </w:tcPr>
          <w:p>
            <w:r>
              <w:t>Cisterne di zavorra agli spigoli della stiva</w:t>
            </w:r>
          </w:p>
        </w:tc>
      </w:tr>
      <w:tr>
        <w:trPr>
          <w:cantSplit/>
        </w:trPr>
        <w:tc>
          <w:tcPr>
            <w:tcW w:type="dxa" w:w="1900"/>
          </w:tcPr>
          <w:p>
            <w:r>
              <w:t>Ossatura di stiva</w:t>
            </w:r>
          </w:p>
        </w:tc>
        <w:tc>
          <w:tcPr>
            <w:tcW w:type="dxa" w:w="3300"/>
          </w:tcPr>
          <w:p>
            <w:r>
              <w:t>Hold frame</w:t>
            </w:r>
          </w:p>
        </w:tc>
        <w:tc>
          <w:tcPr>
            <w:tcW w:type="dxa" w:w="4160"/>
          </w:tcPr>
          <w:p>
            <w:r>
              <w:t>Ossatura del fianco nella stiva delle navi a scafo singolo</w:t>
            </w:r>
          </w:p>
        </w:tc>
      </w:tr>
      <w:tr>
        <w:trPr>
          <w:cantSplit/>
        </w:trPr>
        <w:tc>
          <w:tcPr>
            <w:tcW w:type="dxa" w:w="1900"/>
          </w:tcPr>
          <w:p>
            <w:r>
              <w:t>Mastra</w:t>
            </w:r>
          </w:p>
        </w:tc>
        <w:tc>
          <w:tcPr>
            <w:tcW w:type="dxa" w:w="3300"/>
          </w:tcPr>
          <w:p>
            <w:r>
              <w:t>Hatch coaming</w:t>
            </w:r>
          </w:p>
        </w:tc>
        <w:tc>
          <w:tcPr>
            <w:tcW w:type="dxa" w:w="4160"/>
          </w:tcPr>
          <w:p>
            <w:r>
              <w:t>Bordo rialzato del boccaporto</w:t>
            </w:r>
          </w:p>
        </w:tc>
      </w:tr>
      <w:tr>
        <w:trPr>
          <w:cantSplit/>
        </w:trPr>
        <w:tc>
          <w:tcPr>
            <w:tcW w:type="dxa" w:w="1900"/>
          </w:tcPr>
          <w:p>
            <w:r>
              <w:t>Cross deck</w:t>
            </w:r>
          </w:p>
        </w:tc>
        <w:tc>
          <w:tcPr>
            <w:tcW w:type="dxa" w:w="3300"/>
          </w:tcPr>
          <w:p>
            <w:r>
              <w:t>Cross deck</w:t>
            </w:r>
          </w:p>
        </w:tc>
        <w:tc>
          <w:tcPr>
            <w:tcW w:type="dxa" w:w="4160"/>
          </w:tcPr>
          <w:p>
            <w:r>
              <w:t>Striscia di ponte tra due boccaporti</w:t>
            </w:r>
          </w:p>
        </w:tc>
      </w:tr>
      <w:tr>
        <w:trPr>
          <w:cantSplit/>
        </w:trPr>
        <w:tc>
          <w:tcPr>
            <w:tcW w:type="dxa" w:w="1900"/>
          </w:tcPr>
          <w:p>
            <w:r>
              <w:t>Zoccolo</w:t>
            </w:r>
          </w:p>
        </w:tc>
        <w:tc>
          <w:tcPr>
            <w:tcW w:type="dxa" w:w="3300"/>
          </w:tcPr>
          <w:p>
            <w:r>
              <w:t>Stool (lower / upper)</w:t>
            </w:r>
          </w:p>
        </w:tc>
        <w:tc>
          <w:tcPr>
            <w:tcW w:type="dxa" w:w="4160"/>
          </w:tcPr>
          <w:p>
            <w:r>
              <w:t>Base inferiore o superiore della paratia corrugata</w:t>
            </w:r>
          </w:p>
        </w:tc>
      </w:tr>
      <w:tr>
        <w:trPr>
          <w:cantSplit/>
        </w:trPr>
        <w:tc>
          <w:tcPr>
            <w:tcW w:type="dxa" w:w="1900"/>
          </w:tcPr>
          <w:p>
            <w:r>
              <w:t>Lamiere deflettrici</w:t>
            </w:r>
          </w:p>
        </w:tc>
        <w:tc>
          <w:tcPr>
            <w:tcW w:type="dxa" w:w="3300"/>
          </w:tcPr>
          <w:p>
            <w:r>
              <w:t>Shedder plates</w:t>
            </w:r>
          </w:p>
        </w:tc>
        <w:tc>
          <w:tcPr>
            <w:tcW w:type="dxa" w:w="4160"/>
          </w:tcPr>
          <w:p>
            <w:r>
              <w:t>Lamiere inclinate in testa allo zoccolo inferiore</w:t>
            </w:r>
          </w:p>
        </w:tc>
      </w:tr>
      <w:tr>
        <w:trPr>
          <w:cantSplit/>
        </w:trPr>
        <w:tc>
          <w:tcPr>
            <w:tcW w:type="dxa" w:w="1900"/>
          </w:tcPr>
          <w:p>
            <w:r>
              <w:t>Lamiere di raccordo</w:t>
            </w:r>
          </w:p>
        </w:tc>
        <w:tc>
          <w:tcPr>
            <w:tcW w:type="dxa" w:w="3300"/>
          </w:tcPr>
          <w:p>
            <w:r>
              <w:t>Gusset plates</w:t>
            </w:r>
          </w:p>
        </w:tc>
        <w:tc>
          <w:tcPr>
            <w:tcW w:type="dxa" w:w="4160"/>
          </w:tcPr>
          <w:p>
            <w:r>
              <w:t>Collegano corrugazioni e zoccolo</w:t>
            </w:r>
          </w:p>
        </w:tc>
      </w:tr>
      <w:tr>
        <w:trPr>
          <w:cantSplit/>
        </w:trPr>
        <w:tc>
          <w:tcPr>
            <w:tcW w:type="dxa" w:w="1900"/>
          </w:tcPr>
          <w:p>
            <w:r>
              <w:t>Gavone</w:t>
            </w:r>
          </w:p>
        </w:tc>
        <w:tc>
          <w:tcPr>
            <w:tcW w:type="dxa" w:w="3300"/>
          </w:tcPr>
          <w:p>
            <w:r>
              <w:t>Peak tank</w:t>
            </w:r>
          </w:p>
        </w:tc>
        <w:tc>
          <w:tcPr>
            <w:tcW w:type="dxa" w:w="4160"/>
          </w:tcPr>
          <w:p>
            <w:r>
              <w:t>Cisterna estrema di prora o di poppa</w:t>
            </w:r>
          </w:p>
        </w:tc>
      </w:tr>
      <w:tr>
        <w:trPr>
          <w:cantSplit/>
        </w:trPr>
        <w:tc>
          <w:tcPr>
            <w:tcW w:type="dxa" w:w="1900"/>
          </w:tcPr>
          <w:p>
            <w:r>
              <w:t>Paratia di collisione</w:t>
            </w:r>
          </w:p>
        </w:tc>
        <w:tc>
          <w:tcPr>
            <w:tcW w:type="dxa" w:w="3300"/>
          </w:tcPr>
          <w:p>
            <w:r>
              <w:t>Collision bulkhead</w:t>
            </w:r>
          </w:p>
        </w:tc>
        <w:tc>
          <w:tcPr>
            <w:tcW w:type="dxa" w:w="4160"/>
          </w:tcPr>
          <w:p>
            <w:r>
              <w:t>Prima paratia stagna a prora</w:t>
            </w:r>
          </w:p>
        </w:tc>
      </w:tr>
      <w:tr>
        <w:trPr>
          <w:cantSplit/>
        </w:trPr>
        <w:tc>
          <w:tcPr>
            <w:tcW w:type="dxa" w:w="1900"/>
          </w:tcPr>
          <w:p>
            <w:r>
              <w:t>Panting / slamming</w:t>
            </w:r>
          </w:p>
        </w:tc>
        <w:tc>
          <w:tcPr>
            <w:tcW w:type="dxa" w:w="3300"/>
          </w:tcPr>
          <w:p>
            <w:r>
              <w:t>Panting / slamming</w:t>
            </w:r>
          </w:p>
        </w:tc>
        <w:tc>
          <w:tcPr>
            <w:tcW w:type="dxa" w:w="4160"/>
          </w:tcPr>
          <w:p>
            <w:r>
              <w:t>Pressioni pulsanti sul fasciame prodiero / colpi del fondo prodiero sull'onda</w:t>
            </w:r>
          </w:p>
        </w:tc>
      </w:tr>
      <w:tr>
        <w:trPr>
          <w:cantSplit/>
        </w:trPr>
        <w:tc>
          <w:tcPr>
            <w:tcW w:type="dxa" w:w="1900"/>
          </w:tcPr>
          <w:p>
            <w:r>
              <w:t>Punto duro</w:t>
            </w:r>
          </w:p>
        </w:tc>
        <w:tc>
          <w:tcPr>
            <w:tcW w:type="dxa" w:w="3300"/>
          </w:tcPr>
          <w:p>
            <w:r>
              <w:t>Hard spot</w:t>
            </w:r>
          </w:p>
        </w:tc>
        <w:tc>
          <w:tcPr>
            <w:tcW w:type="dxa" w:w="4160"/>
          </w:tcPr>
          <w:p>
            <w:r>
              <w:t>Attacco rigido su lamiera flessibile; concentrazione di tensioni</w:t>
            </w:r>
          </w:p>
        </w:tc>
      </w:tr>
      <w:tr>
        <w:trPr>
          <w:cantSplit/>
        </w:trPr>
        <w:tc>
          <w:tcPr>
            <w:tcW w:type="dxa" w:w="1900"/>
          </w:tcPr>
          <w:p>
            <w:r>
              <w:t>Racking</w:t>
            </w:r>
          </w:p>
        </w:tc>
        <w:tc>
          <w:tcPr>
            <w:tcW w:type="dxa" w:w="3300"/>
          </w:tcPr>
          <w:p>
            <w:r>
              <w:t>Racking</w:t>
            </w:r>
          </w:p>
        </w:tc>
        <w:tc>
          <w:tcPr>
            <w:tcW w:type="dxa" w:w="4160"/>
          </w:tcPr>
          <w:p>
            <w:r>
              <w:t>Distorsione trasversale della sezione</w:t>
            </w:r>
          </w:p>
        </w:tc>
      </w:tr>
    </w:tbl>
    <w:p/>
    <w:p>
      <w:pPr>
        <w:pStyle w:val="Heading2"/>
      </w:pPr>
      <w:r>
        <w:t>Corrosione e fatica (U.D. 2.2.2)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1900"/>
        <w:gridCol w:w="3300"/>
        <w:gridCol w:w="4160"/>
      </w:tblGrid>
      <w:tr>
        <w:trPr>
          <w:tblHeader/>
          <w:cantSplit/>
        </w:trPr>
        <w:tc>
          <w:tcPr>
            <w:tcW w:type="dxa" w:w="1900"/>
            <w:shd w:val="clear" w:color="auto" w:fill="F2F2F2"/>
          </w:tcPr>
          <w:p>
            <w:r>
              <w:rPr>
                <w:b/>
              </w:rPr>
              <w:t>Termine</w:t>
            </w:r>
          </w:p>
        </w:tc>
        <w:tc>
          <w:tcPr>
            <w:tcW w:type="dxa" w:w="3300"/>
            <w:shd w:val="clear" w:color="auto" w:fill="F2F2F2"/>
          </w:tcPr>
          <w:p>
            <w:r>
              <w:rPr>
                <w:b/>
              </w:rPr>
              <w:t>Inglese</w:t>
            </w:r>
          </w:p>
        </w:tc>
        <w:tc>
          <w:tcPr>
            <w:tcW w:type="dxa" w:w="4160"/>
            <w:shd w:val="clear" w:color="auto" w:fill="F2F2F2"/>
          </w:tcPr>
          <w:p>
            <w:r>
              <w:rPr>
                <w:b/>
              </w:rPr>
              <w:t>Significato</w:t>
            </w:r>
          </w:p>
        </w:tc>
      </w:tr>
      <w:tr>
        <w:trPr>
          <w:cantSplit/>
        </w:trPr>
        <w:tc>
          <w:tcPr>
            <w:tcW w:type="dxa" w:w="1900"/>
          </w:tcPr>
          <w:p>
            <w:r>
              <w:t>Corrosione generale</w:t>
            </w:r>
          </w:p>
        </w:tc>
        <w:tc>
          <w:tcPr>
            <w:tcW w:type="dxa" w:w="3300"/>
          </w:tcPr>
          <w:p>
            <w:r>
              <w:t>General corrosion</w:t>
            </w:r>
          </w:p>
        </w:tc>
        <w:tc>
          <w:tcPr>
            <w:tcW w:type="dxa" w:w="4160"/>
          </w:tcPr>
          <w:p>
            <w:r>
              <w:t>Assottigliamento uniforme della lamiera</w:t>
            </w:r>
          </w:p>
        </w:tc>
      </w:tr>
      <w:tr>
        <w:trPr>
          <w:cantSplit/>
        </w:trPr>
        <w:tc>
          <w:tcPr>
            <w:tcW w:type="dxa" w:w="1900"/>
          </w:tcPr>
          <w:p>
            <w:r>
              <w:t>Pitting</w:t>
            </w:r>
          </w:p>
        </w:tc>
        <w:tc>
          <w:tcPr>
            <w:tcW w:type="dxa" w:w="3300"/>
          </w:tcPr>
          <w:p>
            <w:r>
              <w:t>Pitting corrosion</w:t>
            </w:r>
          </w:p>
        </w:tc>
        <w:tc>
          <w:tcPr>
            <w:tcW w:type="dxa" w:w="4160"/>
          </w:tcPr>
          <w:p>
            <w:r>
              <w:t>Crateri sparsi più profondi della corrosione circostante (UR Z10.2, 1.2.17)</w:t>
            </w:r>
          </w:p>
        </w:tc>
      </w:tr>
      <w:tr>
        <w:trPr>
          <w:cantSplit/>
        </w:trPr>
        <w:tc>
          <w:tcPr>
            <w:tcW w:type="dxa" w:w="1900"/>
          </w:tcPr>
          <w:p>
            <w:r>
              <w:t>Corrosione ai bordi</w:t>
            </w:r>
          </w:p>
        </w:tc>
        <w:tc>
          <w:tcPr>
            <w:tcW w:type="dxa" w:w="3300"/>
          </w:tcPr>
          <w:p>
            <w:r>
              <w:t>Edge corrosion</w:t>
            </w:r>
          </w:p>
        </w:tc>
        <w:tc>
          <w:tcPr>
            <w:tcW w:type="dxa" w:w="4160"/>
          </w:tcPr>
          <w:p>
            <w:r>
              <w:t>Corrosione locale ai bordi liberi di lamiere, rinforzi e aperture (UR Z10.2, 1.2.18)</w:t>
            </w:r>
          </w:p>
        </w:tc>
      </w:tr>
      <w:tr>
        <w:trPr>
          <w:cantSplit/>
        </w:trPr>
        <w:tc>
          <w:tcPr>
            <w:tcW w:type="dxa" w:w="1900"/>
          </w:tcPr>
          <w:p>
            <w:r>
              <w:t>Solco di corrosione</w:t>
            </w:r>
          </w:p>
        </w:tc>
        <w:tc>
          <w:tcPr>
            <w:tcW w:type="dxa" w:w="3300"/>
          </w:tcPr>
          <w:p>
            <w:r>
              <w:t>Grooving corrosion</w:t>
            </w:r>
          </w:p>
        </w:tc>
        <w:tc>
          <w:tcPr>
            <w:tcW w:type="dxa" w:w="4160"/>
          </w:tcPr>
          <w:p>
            <w:r>
              <w:t>Perdita locale lungo le saldature e ai giunti (UR Z10.2, 1.2.19)</w:t>
            </w:r>
          </w:p>
        </w:tc>
      </w:tr>
      <w:tr>
        <w:trPr>
          <w:cantSplit/>
        </w:trPr>
        <w:tc>
          <w:tcPr>
            <w:tcW w:type="dxa" w:w="1900"/>
          </w:tcPr>
          <w:p>
            <w:r>
              <w:t>Corrosione sostanziale</w:t>
            </w:r>
          </w:p>
        </w:tc>
        <w:tc>
          <w:tcPr>
            <w:tcW w:type="dxa" w:w="3300"/>
          </w:tcPr>
          <w:p>
            <w:r>
              <w:t>Substantial corrosion</w:t>
            </w:r>
          </w:p>
        </w:tc>
        <w:tc>
          <w:tcPr>
            <w:tcW w:type="dxa" w:w="4160"/>
          </w:tcPr>
          <w:p>
            <w:r>
              <w:t>Navi CSR: spessore misurato tra t rinnovo e t rinnovo + 0,5 mm; altre: oltre il 75 % del margine</w:t>
            </w:r>
          </w:p>
        </w:tc>
      </w:tr>
      <w:tr>
        <w:trPr>
          <w:cantSplit/>
        </w:trPr>
        <w:tc>
          <w:tcPr>
            <w:tcW w:type="dxa" w:w="1900"/>
          </w:tcPr>
          <w:p>
            <w:r>
              <w:t>Margine di corrosione per lato</w:t>
            </w:r>
          </w:p>
        </w:tc>
        <w:tc>
          <w:tcPr>
            <w:tcW w:type="dxa" w:w="3300"/>
          </w:tcPr>
          <w:p>
            <w:r>
              <w:t>t c1, t c2</w:t>
            </w:r>
          </w:p>
        </w:tc>
        <w:tc>
          <w:tcPr>
            <w:tcW w:type="dxa" w:w="4160"/>
          </w:tcPr>
          <w:p>
            <w:r>
              <w:t>Valore CSR per ciascun lato di un elemento (Pt 1 Ch 3 Sec 3, Table 1)</w:t>
            </w:r>
          </w:p>
        </w:tc>
      </w:tr>
      <w:tr>
        <w:trPr>
          <w:cantSplit/>
        </w:trPr>
        <w:tc>
          <w:tcPr>
            <w:tcW w:type="dxa" w:w="1900"/>
          </w:tcPr>
          <w:p>
            <w:r>
              <w:t>Rivestimento protettivo</w:t>
            </w:r>
          </w:p>
        </w:tc>
        <w:tc>
          <w:tcPr>
            <w:tcW w:type="dxa" w:w="3300"/>
          </w:tcPr>
          <w:p>
            <w:r>
              <w:t>Hard protective coating</w:t>
            </w:r>
          </w:p>
        </w:tc>
        <w:tc>
          <w:tcPr>
            <w:tcW w:type="dxa" w:w="4160"/>
          </w:tcPr>
          <w:p>
            <w:r>
              <w:t>Rivestimento epossidico o equivalente; in stiva secondo UR Z9, in zavorra secondo PSPC</w:t>
            </w:r>
          </w:p>
        </w:tc>
      </w:tr>
      <w:tr>
        <w:trPr>
          <w:cantSplit/>
        </w:trPr>
        <w:tc>
          <w:tcPr>
            <w:tcW w:type="dxa" w:w="1900"/>
          </w:tcPr>
          <w:p>
            <w:r>
              <w:t>Anodo sacrificale</w:t>
            </w:r>
          </w:p>
        </w:tc>
        <w:tc>
          <w:tcPr>
            <w:tcW w:type="dxa" w:w="3300"/>
          </w:tcPr>
          <w:p>
            <w:r>
              <w:t>Sacrificial anode</w:t>
            </w:r>
          </w:p>
        </w:tc>
        <w:tc>
          <w:tcPr>
            <w:tcW w:type="dxa" w:w="4160"/>
          </w:tcPr>
          <w:p>
            <w:r>
              <w:t>Blocco di zinco o alluminio che si consuma al posto dell'acciaio</w:t>
            </w:r>
          </w:p>
        </w:tc>
      </w:tr>
      <w:tr>
        <w:trPr>
          <w:cantSplit/>
        </w:trPr>
        <w:tc>
          <w:tcPr>
            <w:tcW w:type="dxa" w:w="1900"/>
          </w:tcPr>
          <w:p>
            <w:r>
              <w:t>Condensa di stiva</w:t>
            </w:r>
          </w:p>
        </w:tc>
        <w:tc>
          <w:tcPr>
            <w:tcW w:type="dxa" w:w="3300"/>
          </w:tcPr>
          <w:p>
            <w:r>
              <w:t>Hold sweat</w:t>
            </w:r>
          </w:p>
        </w:tc>
        <w:tc>
          <w:tcPr>
            <w:tcW w:type="dxa" w:w="4160"/>
          </w:tcPr>
          <w:p>
            <w:r>
              <w:t>Acqua che si forma sulle lamiere fredde da aria calda e umida</w:t>
            </w:r>
          </w:p>
        </w:tc>
      </w:tr>
      <w:tr>
        <w:trPr>
          <w:cantSplit/>
        </w:trPr>
        <w:tc>
          <w:tcPr>
            <w:tcW w:type="dxa" w:w="1900"/>
          </w:tcPr>
          <w:p>
            <w:r>
              <w:t>Fatica</w:t>
            </w:r>
          </w:p>
        </w:tc>
        <w:tc>
          <w:tcPr>
            <w:tcW w:type="dxa" w:w="3300"/>
          </w:tcPr>
          <w:p>
            <w:r>
              <w:t>Fatigue</w:t>
            </w:r>
          </w:p>
        </w:tc>
        <w:tc>
          <w:tcPr>
            <w:tcW w:type="dxa" w:w="4160"/>
          </w:tcPr>
          <w:p>
            <w:r>
              <w:t>Cedimento per accumulo di cicli di tensione inferiori allo snervamento</w:t>
            </w:r>
          </w:p>
        </w:tc>
      </w:tr>
      <w:tr>
        <w:trPr>
          <w:cantSplit/>
        </w:trPr>
        <w:tc>
          <w:tcPr>
            <w:tcW w:type="dxa" w:w="1900"/>
          </w:tcPr>
          <w:p>
            <w:r>
              <w:t>Curva S-N</w:t>
            </w:r>
          </w:p>
        </w:tc>
        <w:tc>
          <w:tcPr>
            <w:tcW w:type="dxa" w:w="3300"/>
          </w:tcPr>
          <w:p>
            <w:r>
              <w:t>S-N curve</w:t>
            </w:r>
          </w:p>
        </w:tc>
        <w:tc>
          <w:tcPr>
            <w:tcW w:type="dxa" w:w="4160"/>
          </w:tcPr>
          <w:p>
            <w:r>
              <w:t>Relazione tra escursione di tensione Δσ e numero di cicli a rottura</w:t>
            </w:r>
          </w:p>
        </w:tc>
      </w:tr>
      <w:tr>
        <w:trPr>
          <w:cantSplit/>
        </w:trPr>
        <w:tc>
          <w:tcPr>
            <w:tcW w:type="dxa" w:w="1900"/>
          </w:tcPr>
          <w:p>
            <w:r>
              <w:t>Escursione di tensione</w:t>
            </w:r>
          </w:p>
        </w:tc>
        <w:tc>
          <w:tcPr>
            <w:tcW w:type="dxa" w:w="3300"/>
          </w:tcPr>
          <w:p>
            <w:r>
              <w:t>Stress range Δσ</w:t>
            </w:r>
          </w:p>
        </w:tc>
        <w:tc>
          <w:tcPr>
            <w:tcW w:type="dxa" w:w="4160"/>
          </w:tcPr>
          <w:p>
            <w:r>
              <w:t>Differenza tra tensione massima e minima in un ciclo</w:t>
            </w:r>
          </w:p>
        </w:tc>
      </w:tr>
      <w:tr>
        <w:trPr>
          <w:cantSplit/>
        </w:trPr>
        <w:tc>
          <w:tcPr>
            <w:tcW w:type="dxa" w:w="1900"/>
          </w:tcPr>
          <w:p>
            <w:r>
              <w:t>Punto caldo</w:t>
            </w:r>
          </w:p>
        </w:tc>
        <w:tc>
          <w:tcPr>
            <w:tcW w:type="dxa" w:w="3300"/>
          </w:tcPr>
          <w:p>
            <w:r>
              <w:t>Hot spot</w:t>
            </w:r>
          </w:p>
        </w:tc>
        <w:tc>
          <w:tcPr>
            <w:tcW w:type="dxa" w:w="4160"/>
          </w:tcPr>
          <w:p>
            <w:r>
              <w:t>Punto in cui può nascere una cricca: piede o radice di saldatura, bordo libero</w:t>
            </w:r>
          </w:p>
        </w:tc>
      </w:tr>
      <w:tr>
        <w:trPr>
          <w:cantSplit/>
        </w:trPr>
        <w:tc>
          <w:tcPr>
            <w:tcW w:type="dxa" w:w="1900"/>
          </w:tcPr>
          <w:p>
            <w:r>
              <w:t>Vita di progetto a fatica</w:t>
            </w:r>
          </w:p>
        </w:tc>
        <w:tc>
          <w:tcPr>
            <w:tcW w:type="dxa" w:w="3300"/>
          </w:tcPr>
          <w:p>
            <w:r>
              <w:t>Design fatigue life</w:t>
            </w:r>
          </w:p>
        </w:tc>
        <w:tc>
          <w:tcPr>
            <w:tcW w:type="dxa" w:w="4160"/>
          </w:tcPr>
          <w:p>
            <w:r>
              <w:t>Almeno 25 anni in Nord Atlantico (CSR Pt 1 Ch 9)</w:t>
            </w:r>
          </w:p>
        </w:tc>
      </w:tr>
      <w:tr>
        <w:trPr>
          <w:cantSplit/>
        </w:trPr>
        <w:tc>
          <w:tcPr>
            <w:tcW w:type="dxa" w:w="1900"/>
          </w:tcPr>
          <w:p>
            <w:r>
              <w:t>Spigolo della tramoggia</w:t>
            </w:r>
          </w:p>
        </w:tc>
        <w:tc>
          <w:tcPr>
            <w:tcW w:type="dxa" w:w="3300"/>
          </w:tcPr>
          <w:p>
            <w:r>
              <w:t>Hopper knuckle</w:t>
            </w:r>
          </w:p>
        </w:tc>
        <w:tc>
          <w:tcPr>
            <w:tcW w:type="dxa" w:w="4160"/>
          </w:tcPr>
          <w:p>
            <w:r>
              <w:t>Giunzione tra lamiera inclinata della tramoggia e doppio fondo</w:t>
            </w:r>
          </w:p>
        </w:tc>
      </w:tr>
      <w:tr>
        <w:trPr>
          <w:cantSplit/>
        </w:trPr>
        <w:tc>
          <w:tcPr>
            <w:tcW w:type="dxa" w:w="1900"/>
          </w:tcPr>
          <w:p>
            <w:r>
              <w:t>Massa della benna</w:t>
            </w:r>
          </w:p>
        </w:tc>
        <w:tc>
          <w:tcPr>
            <w:tcW w:type="dxa" w:w="3300"/>
          </w:tcPr>
          <w:p>
            <w:r>
              <w:t>GRAB [X]</w:t>
            </w:r>
          </w:p>
        </w:tc>
        <w:tc>
          <w:tcPr>
            <w:tcW w:type="dxa" w:w="4160"/>
          </w:tcPr>
          <w:p>
            <w:r>
              <w:t>Notazione di classe con la massa della benna vuota per cui è progettato il cielo</w:t>
            </w:r>
          </w:p>
        </w:tc>
      </w:tr>
    </w:tbl>
    <w:p/>
    <w:p>
      <w:pPr>
        <w:pStyle w:val="Heading2"/>
      </w:pPr>
      <w:r>
        <w:t>Materiali e spessori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1900"/>
        <w:gridCol w:w="3300"/>
        <w:gridCol w:w="4160"/>
      </w:tblGrid>
      <w:tr>
        <w:trPr>
          <w:tblHeader/>
          <w:cantSplit/>
        </w:trPr>
        <w:tc>
          <w:tcPr>
            <w:tcW w:type="dxa" w:w="1900"/>
            <w:shd w:val="clear" w:color="auto" w:fill="F2F2F2"/>
          </w:tcPr>
          <w:p>
            <w:r>
              <w:rPr>
                <w:b/>
              </w:rPr>
              <w:t>Simbolo</w:t>
            </w:r>
          </w:p>
        </w:tc>
        <w:tc>
          <w:tcPr>
            <w:tcW w:type="dxa" w:w="3300"/>
            <w:shd w:val="clear" w:color="auto" w:fill="F2F2F2"/>
          </w:tcPr>
          <w:p>
            <w:r>
              <w:rPr>
                <w:b/>
              </w:rPr>
              <w:t>Nome</w:t>
            </w:r>
          </w:p>
        </w:tc>
        <w:tc>
          <w:tcPr>
            <w:tcW w:type="dxa" w:w="4160"/>
            <w:shd w:val="clear" w:color="auto" w:fill="F2F2F2"/>
          </w:tcPr>
          <w:p>
            <w:r>
              <w:rPr>
                <w:b/>
              </w:rPr>
              <w:t>Significato</w:t>
            </w:r>
          </w:p>
        </w:tc>
      </w:tr>
      <w:tr>
        <w:trPr>
          <w:cantSplit/>
        </w:trPr>
        <w:tc>
          <w:tcPr>
            <w:tcW w:type="dxa" w:w="1900"/>
          </w:tcPr>
          <w:p>
            <w:r>
              <w:t>A, B, D, E</w:t>
            </w:r>
          </w:p>
        </w:tc>
        <w:tc>
          <w:tcPr>
            <w:tcW w:type="dxa" w:w="3300"/>
          </w:tcPr>
          <w:p>
            <w:r>
              <w:t>Gradi di acciaio normale</w:t>
            </w:r>
          </w:p>
        </w:tc>
        <w:tc>
          <w:tcPr>
            <w:tcW w:type="dxa" w:w="4160"/>
          </w:tcPr>
          <w:p>
            <w:r>
              <w:t>Snervamento minimo 235 N/mm²; la lettera indica la tenacità</w:t>
            </w:r>
          </w:p>
        </w:tc>
      </w:tr>
      <w:tr>
        <w:trPr>
          <w:cantSplit/>
        </w:trPr>
        <w:tc>
          <w:tcPr>
            <w:tcW w:type="dxa" w:w="1900"/>
          </w:tcPr>
          <w:p>
            <w:r>
              <w:t>AH, DH, EH, FH 32/36/40</w:t>
            </w:r>
          </w:p>
        </w:tc>
        <w:tc>
          <w:tcPr>
            <w:tcW w:type="dxa" w:w="3300"/>
          </w:tcPr>
          <w:p>
            <w:r>
              <w:t>Acciai ad alta resistenza</w:t>
            </w:r>
          </w:p>
        </w:tc>
        <w:tc>
          <w:tcPr>
            <w:tcW w:type="dxa" w:w="4160"/>
          </w:tcPr>
          <w:p>
            <w:r>
              <w:t>Snervamento minimo 315, 355, 390 N/mm²</w:t>
            </w:r>
          </w:p>
        </w:tc>
      </w:tr>
      <w:tr>
        <w:trPr>
          <w:cantSplit/>
        </w:trPr>
        <w:tc>
          <w:tcPr>
            <w:tcW w:type="dxa" w:w="1900"/>
          </w:tcPr>
          <w:p>
            <w:r>
              <w:t>ReH</w:t>
            </w:r>
          </w:p>
        </w:tc>
        <w:tc>
          <w:tcPr>
            <w:tcW w:type="dxa" w:w="3300"/>
          </w:tcPr>
          <w:p>
            <w:r>
              <w:t>Snervamento minimo</w:t>
            </w:r>
          </w:p>
        </w:tc>
        <w:tc>
          <w:tcPr>
            <w:tcW w:type="dxa" w:w="4160"/>
          </w:tcPr>
          <w:p>
            <w:r>
              <w:t>Tensione di snervamento minima specificata, N/mm²</w:t>
            </w:r>
          </w:p>
        </w:tc>
      </w:tr>
      <w:tr>
        <w:trPr>
          <w:cantSplit/>
        </w:trPr>
        <w:tc>
          <w:tcPr>
            <w:tcW w:type="dxa" w:w="1900"/>
          </w:tcPr>
          <w:p>
            <w:r>
              <w:t>k</w:t>
            </w:r>
          </w:p>
        </w:tc>
        <w:tc>
          <w:tcPr>
            <w:tcW w:type="dxa" w:w="3300"/>
          </w:tcPr>
          <w:p>
            <w:r>
              <w:t>Fattore del materiale</w:t>
            </w:r>
          </w:p>
        </w:tc>
        <w:tc>
          <w:tcPr>
            <w:tcW w:type="dxa" w:w="4160"/>
          </w:tcPr>
          <w:p>
            <w:r>
              <w:t>1,00; 0,78; 0,72; 0,68. Tensioni ammesse UR S11: 175/k (flessione), 110/k (taglio) N/mm²</w:t>
            </w:r>
          </w:p>
        </w:tc>
      </w:tr>
      <w:tr>
        <w:trPr>
          <w:cantSplit/>
        </w:trPr>
        <w:tc>
          <w:tcPr>
            <w:tcW w:type="dxa" w:w="1900"/>
          </w:tcPr>
          <w:p>
            <w:r>
              <w:t>t c</w:t>
            </w:r>
          </w:p>
        </w:tc>
        <w:tc>
          <w:tcPr>
            <w:tcW w:type="dxa" w:w="3300"/>
          </w:tcPr>
          <w:p>
            <w:r>
              <w:t>Margine di corrosione</w:t>
            </w:r>
          </w:p>
        </w:tc>
        <w:tc>
          <w:tcPr>
            <w:tcW w:type="dxa" w:w="4160"/>
          </w:tcPr>
          <w:p>
            <w:r>
              <w:t>Spessore aggiunto al netto per la corrosione prevista</w:t>
            </w:r>
          </w:p>
        </w:tc>
      </w:tr>
      <w:tr>
        <w:trPr>
          <w:cantSplit/>
        </w:trPr>
        <w:tc>
          <w:tcPr>
            <w:tcW w:type="dxa" w:w="1900"/>
          </w:tcPr>
          <w:p>
            <w:r>
              <w:t>t netto</w:t>
            </w:r>
          </w:p>
        </w:tc>
        <w:tc>
          <w:tcPr>
            <w:tcW w:type="dxa" w:w="3300"/>
          </w:tcPr>
          <w:p>
            <w:r>
              <w:t>Spessore netto</w:t>
            </w:r>
          </w:p>
        </w:tc>
        <w:tc>
          <w:tcPr>
            <w:tcW w:type="dxa" w:w="4160"/>
          </w:tcPr>
          <w:p>
            <w:r>
              <w:t>Spessore usato nelle verifiche CSR</w:t>
            </w:r>
          </w:p>
        </w:tc>
      </w:tr>
      <w:tr>
        <w:trPr>
          <w:cantSplit/>
        </w:trPr>
        <w:tc>
          <w:tcPr>
            <w:tcW w:type="dxa" w:w="1900"/>
          </w:tcPr>
          <w:p>
            <w:r>
              <w:t>t rinnovo</w:t>
            </w:r>
          </w:p>
        </w:tc>
        <w:tc>
          <w:tcPr>
            <w:tcW w:type="dxa" w:w="3300"/>
          </w:tcPr>
          <w:p>
            <w:r>
              <w:t>Spessore di rinnovo</w:t>
            </w:r>
          </w:p>
        </w:tc>
        <w:tc>
          <w:tcPr>
            <w:tcW w:type="dxa" w:w="4160"/>
          </w:tcPr>
          <w:p>
            <w:r>
              <w:t>Sotto questo valore la lamiera va rinnovata (CSR)</w:t>
            </w:r>
          </w:p>
        </w:tc>
      </w:tr>
    </w:tbl>
    <w:p/>
    <w:p>
      <w:pPr>
        <w:pStyle w:val="Heading2"/>
      </w:pPr>
      <w:r>
        <w:t>Simboli delle formule</w:t>
      </w:r>
    </w:p>
    <w:p>
      <w:r>
        <w:t>Simboli usati nelle slide 36–44.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1900"/>
        <w:gridCol w:w="3300"/>
        <w:gridCol w:w="4160"/>
      </w:tblGrid>
      <w:tr>
        <w:trPr>
          <w:tblHeader/>
          <w:cantSplit/>
        </w:trPr>
        <w:tc>
          <w:tcPr>
            <w:tcW w:type="dxa" w:w="1900"/>
            <w:shd w:val="clear" w:color="auto" w:fill="F2F2F2"/>
          </w:tcPr>
          <w:p>
            <w:r>
              <w:rPr>
                <w:b/>
              </w:rPr>
              <w:t>Simbolo</w:t>
            </w:r>
          </w:p>
        </w:tc>
        <w:tc>
          <w:tcPr>
            <w:tcW w:type="dxa" w:w="3300"/>
            <w:shd w:val="clear" w:color="auto" w:fill="F2F2F2"/>
          </w:tcPr>
          <w:p>
            <w:r>
              <w:rPr>
                <w:b/>
              </w:rPr>
              <w:t>Nome</w:t>
            </w:r>
          </w:p>
        </w:tc>
        <w:tc>
          <w:tcPr>
            <w:tcW w:type="dxa" w:w="4160"/>
            <w:shd w:val="clear" w:color="auto" w:fill="F2F2F2"/>
          </w:tcPr>
          <w:p>
            <w:r>
              <w:rPr>
                <w:b/>
              </w:rPr>
              <w:t>Significato</w:t>
            </w:r>
          </w:p>
        </w:tc>
      </w:tr>
      <w:tr>
        <w:trPr>
          <w:cantSplit/>
        </w:trPr>
        <w:tc>
          <w:tcPr>
            <w:tcW w:type="dxa" w:w="1900"/>
          </w:tcPr>
          <w:p>
            <w:r>
              <w:t>SF</w:t>
            </w:r>
          </w:p>
        </w:tc>
        <w:tc>
          <w:tcPr>
            <w:tcW w:type="dxa" w:w="3300"/>
          </w:tcPr>
          <w:p>
            <w:r>
              <w:t>Shear force (sforzo di taglio)</w:t>
            </w:r>
          </w:p>
        </w:tc>
        <w:tc>
          <w:tcPr>
            <w:tcW w:type="dxa" w:w="4160"/>
          </w:tcPr>
          <w:p>
            <w:r>
              <w:t>Risultante verticale nella sezione; in t o kN (1 t ≈ 9,81 kN). In questa lezione SF non è il fattore di stivaggio</w:t>
            </w:r>
          </w:p>
        </w:tc>
      </w:tr>
      <w:tr>
        <w:trPr>
          <w:cantSplit/>
        </w:trPr>
        <w:tc>
          <w:tcPr>
            <w:tcW w:type="dxa" w:w="1900"/>
          </w:tcPr>
          <w:p>
            <w:r>
              <w:t>BM</w:t>
            </w:r>
          </w:p>
        </w:tc>
        <w:tc>
          <w:tcPr>
            <w:tcW w:type="dxa" w:w="3300"/>
          </w:tcPr>
          <w:p>
            <w:r>
              <w:t>Bending moment (momento flettente)</w:t>
            </w:r>
          </w:p>
        </w:tc>
        <w:tc>
          <w:tcPr>
            <w:tcW w:type="dxa" w:w="4160"/>
          </w:tcPr>
          <w:p>
            <w:r>
              <w:t>In t·m o kN·m</w:t>
            </w:r>
          </w:p>
        </w:tc>
      </w:tr>
      <w:tr>
        <w:trPr>
          <w:cantSplit/>
        </w:trPr>
        <w:tc>
          <w:tcPr>
            <w:tcW w:type="dxa" w:w="1900"/>
          </w:tcPr>
          <w:p>
            <w:r>
              <w:t>τ</w:t>
            </w:r>
          </w:p>
        </w:tc>
        <w:tc>
          <w:tcPr>
            <w:tcW w:type="dxa" w:w="3300"/>
          </w:tcPr>
          <w:p>
            <w:r>
              <w:t>Tau</w:t>
            </w:r>
          </w:p>
        </w:tc>
        <w:tc>
          <w:tcPr>
            <w:tcW w:type="dxa" w:w="4160"/>
          </w:tcPr>
          <w:p>
            <w:r>
              <w:t>Tensione tangenziale, N/mm²: τ = SF·Q/(I·t)</w:t>
            </w:r>
          </w:p>
        </w:tc>
      </w:tr>
      <w:tr>
        <w:trPr>
          <w:cantSplit/>
        </w:trPr>
        <w:tc>
          <w:tcPr>
            <w:tcW w:type="dxa" w:w="1900"/>
          </w:tcPr>
          <w:p>
            <w:r>
              <w:t>q</w:t>
            </w:r>
          </w:p>
        </w:tc>
        <w:tc>
          <w:tcPr>
            <w:tcW w:type="dxa" w:w="3300"/>
          </w:tcPr>
          <w:p>
            <w:r>
              <w:t>Flusso di taglio (shear flow)</w:t>
            </w:r>
          </w:p>
        </w:tc>
        <w:tc>
          <w:tcPr>
            <w:tcW w:type="dxa" w:w="4160"/>
          </w:tcPr>
          <w:p>
            <w:r>
              <w:t>q = τ·t = SF·Q/I, in kN/m</w:t>
            </w:r>
          </w:p>
        </w:tc>
      </w:tr>
      <w:tr>
        <w:trPr>
          <w:cantSplit/>
        </w:trPr>
        <w:tc>
          <w:tcPr>
            <w:tcW w:type="dxa" w:w="1900"/>
          </w:tcPr>
          <w:p>
            <w:r>
              <w:t>Q</w:t>
            </w:r>
          </w:p>
        </w:tc>
        <w:tc>
          <w:tcPr>
            <w:tcW w:type="dxa" w:w="3300"/>
          </w:tcPr>
          <w:p>
            <w:r>
              <w:t>Momento statico</w:t>
            </w:r>
          </w:p>
        </w:tc>
        <w:tc>
          <w:tcPr>
            <w:tcW w:type="dxa" w:w="4160"/>
          </w:tcPr>
          <w:p>
            <w:r>
              <w:t>Somma di area × distanza dall'asse neutro della parte tagliata, m³</w:t>
            </w:r>
          </w:p>
        </w:tc>
      </w:tr>
      <w:tr>
        <w:trPr>
          <w:cantSplit/>
        </w:trPr>
        <w:tc>
          <w:tcPr>
            <w:tcW w:type="dxa" w:w="1900"/>
          </w:tcPr>
          <w:p>
            <w:r>
              <w:t>I</w:t>
            </w:r>
          </w:p>
        </w:tc>
        <w:tc>
          <w:tcPr>
            <w:tcW w:type="dxa" w:w="3300"/>
          </w:tcPr>
          <w:p>
            <w:r>
              <w:t>Momento d'inerzia</w:t>
            </w:r>
          </w:p>
        </w:tc>
        <w:tc>
          <w:tcPr>
            <w:tcW w:type="dxa" w:w="4160"/>
          </w:tcPr>
          <w:p>
            <w:r>
              <w:t>Della sezione rispetto all'asse neutro, m⁴</w:t>
            </w:r>
          </w:p>
        </w:tc>
      </w:tr>
      <w:tr>
        <w:trPr>
          <w:cantSplit/>
        </w:trPr>
        <w:tc>
          <w:tcPr>
            <w:tcW w:type="dxa" w:w="1900"/>
          </w:tcPr>
          <w:p>
            <w:r>
              <w:t>i₀</w:t>
            </w:r>
          </w:p>
        </w:tc>
        <w:tc>
          <w:tcPr>
            <w:tcW w:type="dxa" w:w="3300"/>
          </w:tcPr>
          <w:p>
            <w:r>
              <w:t>Momento d'inerzia proprio</w:t>
            </w:r>
          </w:p>
        </w:tc>
        <w:tc>
          <w:tcPr>
            <w:tcW w:type="dxa" w:w="4160"/>
          </w:tcPr>
          <w:p>
            <w:r>
              <w:t>Di un pezzo rispetto al proprio baricentro</w:t>
            </w:r>
          </w:p>
        </w:tc>
      </w:tr>
      <w:tr>
        <w:trPr>
          <w:cantSplit/>
        </w:trPr>
        <w:tc>
          <w:tcPr>
            <w:tcW w:type="dxa" w:w="1900"/>
          </w:tcPr>
          <w:p>
            <w:r>
              <w:t>AN</w:t>
            </w:r>
          </w:p>
        </w:tc>
        <w:tc>
          <w:tcPr>
            <w:tcW w:type="dxa" w:w="3300"/>
          </w:tcPr>
          <w:p>
            <w:r>
              <w:t>Asse neutro</w:t>
            </w:r>
          </w:p>
        </w:tc>
        <w:tc>
          <w:tcPr>
            <w:tcW w:type="dxa" w:w="4160"/>
          </w:tcPr>
          <w:p>
            <w:r>
              <w:t>Linea della sezione dove σ di flessione è nulla</w:t>
            </w:r>
          </w:p>
        </w:tc>
      </w:tr>
      <w:tr>
        <w:trPr>
          <w:cantSplit/>
        </w:trPr>
        <w:tc>
          <w:tcPr>
            <w:tcW w:type="dxa" w:w="1900"/>
          </w:tcPr>
          <w:p>
            <w:r>
              <w:t>Z</w:t>
            </w:r>
          </w:p>
        </w:tc>
        <w:tc>
          <w:tcPr>
            <w:tcW w:type="dxa" w:w="3300"/>
          </w:tcPr>
          <w:p>
            <w:r>
              <w:t>Modulo di resistenza</w:t>
            </w:r>
          </w:p>
        </w:tc>
        <w:tc>
          <w:tcPr>
            <w:tcW w:type="dxa" w:w="4160"/>
          </w:tcPr>
          <w:p>
            <w:r>
              <w:t>Z = I / distanza dall'asse neutro; σ = M/Z</w:t>
            </w:r>
          </w:p>
        </w:tc>
      </w:tr>
      <w:tr>
        <w:trPr>
          <w:cantSplit/>
        </w:trPr>
        <w:tc>
          <w:tcPr>
            <w:tcW w:type="dxa" w:w="1900"/>
          </w:tcPr>
          <w:p>
            <w:r>
              <w:t>σ</w:t>
            </w:r>
          </w:p>
        </w:tc>
        <w:tc>
          <w:tcPr>
            <w:tcW w:type="dxa" w:w="3300"/>
          </w:tcPr>
          <w:p>
            <w:r>
              <w:t>Sigma</w:t>
            </w:r>
          </w:p>
        </w:tc>
        <w:tc>
          <w:tcPr>
            <w:tcW w:type="dxa" w:w="4160"/>
          </w:tcPr>
          <w:p>
            <w:r>
              <w:t>Tensione normale, N/mm²</w:t>
            </w:r>
          </w:p>
        </w:tc>
      </w:tr>
      <w:tr>
        <w:trPr>
          <w:cantSplit/>
        </w:trPr>
        <w:tc>
          <w:tcPr>
            <w:tcW w:type="dxa" w:w="1900"/>
          </w:tcPr>
          <w:p>
            <w:r>
              <w:t>σ eq</w:t>
            </w:r>
          </w:p>
        </w:tc>
        <w:tc>
          <w:tcPr>
            <w:tcW w:type="dxa" w:w="3300"/>
          </w:tcPr>
          <w:p>
            <w:r>
              <w:t>Tensione equivalente di von Mises</w:t>
            </w:r>
          </w:p>
        </w:tc>
        <w:tc>
          <w:tcPr>
            <w:tcW w:type="dxa" w:w="4160"/>
          </w:tcPr>
          <w:p>
            <w:r>
              <w:t>√(σ² + 3τ²)</w:t>
            </w:r>
          </w:p>
        </w:tc>
      </w:tr>
      <w:tr>
        <w:trPr>
          <w:cantSplit/>
        </w:trPr>
        <w:tc>
          <w:tcPr>
            <w:tcW w:type="dxa" w:w="1900"/>
          </w:tcPr>
          <w:p>
            <w:r>
              <w:t>B, D, t</w:t>
            </w:r>
          </w:p>
        </w:tc>
        <w:tc>
          <w:tcPr>
            <w:tcW w:type="dxa" w:w="3300"/>
          </w:tcPr>
          <w:p>
            <w:r>
              <w:t>Larghezza, altezza, spessore</w:t>
            </w:r>
          </w:p>
        </w:tc>
        <w:tc>
          <w:tcPr>
            <w:tcW w:type="dxa" w:w="4160"/>
          </w:tcPr>
          <w:p>
            <w:r>
              <w:t>Dati della sezione didattica (32 m, 18 m)</w:t>
            </w:r>
          </w:p>
        </w:tc>
      </w:tr>
      <w:tr>
        <w:trPr>
          <w:cantSplit/>
        </w:trPr>
        <w:tc>
          <w:tcPr>
            <w:tcW w:type="dxa" w:w="1900"/>
          </w:tcPr>
          <w:p>
            <w:r>
              <w:t>s, ℓ</w:t>
            </w:r>
          </w:p>
        </w:tc>
        <w:tc>
          <w:tcPr>
            <w:tcW w:type="dxa" w:w="3300"/>
          </w:tcPr>
          <w:p>
            <w:r>
              <w:t>Passo, luce</w:t>
            </w:r>
          </w:p>
        </w:tc>
        <w:tc>
          <w:tcPr>
            <w:tcW w:type="dxa" w:w="4160"/>
          </w:tcPr>
          <w:p>
            <w:r>
              <w:t>Passo dei rinforzi ordinari; luce tra i rinforzi primari</w:t>
            </w:r>
          </w:p>
        </w:tc>
      </w:tr>
    </w:tbl>
    <w:p/>
    <w:p>
      <w:pPr>
        <w:pStyle w:val="Heading2"/>
      </w:pPr>
      <w:r>
        <w:t>Unità di misura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1900"/>
        <w:gridCol w:w="3300"/>
        <w:gridCol w:w="4160"/>
      </w:tblGrid>
      <w:tr>
        <w:trPr>
          <w:tblHeader/>
          <w:cantSplit/>
        </w:trPr>
        <w:tc>
          <w:tcPr>
            <w:tcW w:type="dxa" w:w="1900"/>
            <w:shd w:val="clear" w:color="auto" w:fill="F2F2F2"/>
          </w:tcPr>
          <w:p>
            <w:r>
              <w:rPr>
                <w:b/>
              </w:rPr>
              <w:t>Simbolo</w:t>
            </w:r>
          </w:p>
        </w:tc>
        <w:tc>
          <w:tcPr>
            <w:tcW w:type="dxa" w:w="3300"/>
            <w:shd w:val="clear" w:color="auto" w:fill="F2F2F2"/>
          </w:tcPr>
          <w:p>
            <w:r>
              <w:rPr>
                <w:b/>
              </w:rPr>
              <w:t>Nome</w:t>
            </w:r>
          </w:p>
        </w:tc>
        <w:tc>
          <w:tcPr>
            <w:tcW w:type="dxa" w:w="4160"/>
            <w:shd w:val="clear" w:color="auto" w:fill="F2F2F2"/>
          </w:tcPr>
          <w:p>
            <w:r>
              <w:rPr>
                <w:b/>
              </w:rPr>
              <w:t>Nota d'uso</w:t>
            </w:r>
          </w:p>
        </w:tc>
      </w:tr>
      <w:tr>
        <w:trPr>
          <w:cantSplit/>
        </w:trPr>
        <w:tc>
          <w:tcPr>
            <w:tcW w:type="dxa" w:w="1900"/>
          </w:tcPr>
          <w:p>
            <w:r>
              <w:t>kN</w:t>
            </w:r>
          </w:p>
        </w:tc>
        <w:tc>
          <w:tcPr>
            <w:tcW w:type="dxa" w:w="3300"/>
          </w:tcPr>
          <w:p>
            <w:r>
              <w:t>kilonewton</w:t>
            </w:r>
          </w:p>
        </w:tc>
        <w:tc>
          <w:tcPr>
            <w:tcW w:type="dxa" w:w="4160"/>
          </w:tcPr>
          <w:p>
            <w:r>
              <w:t>Forze e sforzo di taglio</w:t>
            </w:r>
          </w:p>
        </w:tc>
      </w:tr>
      <w:tr>
        <w:trPr>
          <w:cantSplit/>
        </w:trPr>
        <w:tc>
          <w:tcPr>
            <w:tcW w:type="dxa" w:w="1900"/>
          </w:tcPr>
          <w:p>
            <w:r>
              <w:t>kN/m</w:t>
            </w:r>
          </w:p>
        </w:tc>
        <w:tc>
          <w:tcPr>
            <w:tcW w:type="dxa" w:w="3300"/>
          </w:tcPr>
          <w:p>
            <w:r>
              <w:t>kilonewton al metro</w:t>
            </w:r>
          </w:p>
        </w:tc>
        <w:tc>
          <w:tcPr>
            <w:tcW w:type="dxa" w:w="4160"/>
          </w:tcPr>
          <w:p>
            <w:r>
              <w:t>Flusso di taglio</w:t>
            </w:r>
          </w:p>
        </w:tc>
      </w:tr>
      <w:tr>
        <w:trPr>
          <w:cantSplit/>
        </w:trPr>
        <w:tc>
          <w:tcPr>
            <w:tcW w:type="dxa" w:w="1900"/>
          </w:tcPr>
          <w:p>
            <w:r>
              <w:t>N/mm²</w:t>
            </w:r>
          </w:p>
        </w:tc>
        <w:tc>
          <w:tcPr>
            <w:tcW w:type="dxa" w:w="3300"/>
          </w:tcPr>
          <w:p>
            <w:r>
              <w:t>newton al millimetro quadro</w:t>
            </w:r>
          </w:p>
        </w:tc>
        <w:tc>
          <w:tcPr>
            <w:tcW w:type="dxa" w:w="4160"/>
          </w:tcPr>
          <w:p>
            <w:r>
              <w:t>Tensioni (1 N/mm² = 1 MPa = 1 000 kN/m²)</w:t>
            </w:r>
          </w:p>
        </w:tc>
      </w:tr>
      <w:tr>
        <w:trPr>
          <w:cantSplit/>
        </w:trPr>
        <w:tc>
          <w:tcPr>
            <w:tcW w:type="dxa" w:w="1900"/>
          </w:tcPr>
          <w:p>
            <w:r>
              <w:t>m², m³, m⁴</w:t>
            </w:r>
          </w:p>
        </w:tc>
        <w:tc>
          <w:tcPr>
            <w:tcW w:type="dxa" w:w="3300"/>
          </w:tcPr>
          <w:p>
            <w:r>
              <w:t>aree, momenti statici, momenti d'inerzia</w:t>
            </w:r>
          </w:p>
        </w:tc>
        <w:tc>
          <w:tcPr>
            <w:tcW w:type="dxa" w:w="4160"/>
          </w:tcPr>
          <w:p>
            <w:r>
              <w:t>Proprietà della sezione</w:t>
            </w:r>
          </w:p>
        </w:tc>
      </w:tr>
      <w:tr>
        <w:trPr>
          <w:cantSplit/>
        </w:trPr>
        <w:tc>
          <w:tcPr>
            <w:tcW w:type="dxa" w:w="1900"/>
          </w:tcPr>
          <w:p>
            <w:r>
              <w:t>tpl</w:t>
            </w:r>
          </w:p>
        </w:tc>
        <w:tc>
          <w:tcPr>
            <w:tcW w:type="dxa" w:w="3300"/>
          </w:tcPr>
          <w:p>
            <w:r>
              <w:t>tonnellate di portata lorda</w:t>
            </w:r>
          </w:p>
        </w:tc>
        <w:tc>
          <w:tcPr>
            <w:tcW w:type="dxa" w:w="4160"/>
          </w:tcPr>
          <w:p>
            <w:r>
              <w:t>Deadweight; soglia di 100 000 tpl in alcune close-up survey</w:t>
            </w:r>
          </w:p>
        </w:tc>
      </w:tr>
    </w:tbl>
    <w:p/>
    <w:p>
      <w:r>
        <w:rPr>
          <w:b/>
        </w:rPr>
        <w:t xml:space="preserve">Avvertenza. </w:t>
      </w:r>
      <w:r>
        <w:t>I valori numerici delle slide sono esempi didattici, salvo quelli tratti dal 2011 ESP Code e dai suoi emendamenti (MSC.525(106), MSC.553(108), MSC.584(111)), da IACS UR Z10.2 e UR S11 e dalle CSR, indicati nelle note. Fanno fede il testo vigente delle norme, il programma di visita, il Loading Manual approvato e i piani della nave.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E6B73"/>
        <w:sz w:val="16"/>
      </w:rPr>
      <w:t>© 2026 ing. Pietro Lauro 6497A-GE. Quest'opera è distribuita con licenza CC BY-NC-SA 4.0 (https://creativecommons.org/licenses/by-nc-sa/4.0/deed.it).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F2A3D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F2A3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