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Glossario di sigle e acronimi</w:t>
      </w:r>
    </w:p>
    <w:p>
      <w:pPr>
        <w:pStyle w:val="Heading2"/>
      </w:pPr>
      <w:r>
        <w:t>Ripasso U.D. 2.1.7 e 2.2.1 — SOLAS e portarinfuse: ripasso, novità e norme allo studio</w:t>
      </w:r>
    </w:p>
    <w:p>
      <w:r>
        <w:t>Accademia Italiana della Marina Mercantile · Corso Direttivo Coperta 63 · Ripasso U.D. 2.1.7 e 2.2.1</w:t>
      </w:r>
    </w:p>
    <w:p>
      <w:r>
        <w:t>23 ottobre 2026 · fonti aggiornate al 29 ottobre 2026</w:t>
      </w:r>
    </w:p>
    <w:p>
      <w:pPr>
        <w:pStyle w:val="Heading2"/>
      </w:pPr>
      <w:r>
        <w:t>Come si leggono i riferimenti</w:t>
      </w:r>
    </w:p>
    <w:p>
      <w:r>
        <w:t>U.D. sta per unità didattica. IACS UR S11 è la Unified Requirement n. S11 dell'IACS (requisiti uniformi delle società di classifica). IACS Rec. 46 è la Recommendation n. 46. CSR Pt 1 Ch 1 Sec 5 è la Parte 1, Capitolo 1, Sezione 5 delle Common Structural Rules. SOLAS XII/11 è il capitolo XII, regola 11 della SOLAS. STCW A-II/2 è la sezione del Codice STCW per Comandanti e Primi Ufficiali. Il simbolo § indica un paragrafo (Rec. 46 §5.3 = paragrafo 5.3).</w:t>
      </w:r>
    </w:p>
    <w:p>
      <w:pPr>
        <w:pStyle w:val="Heading2"/>
      </w:pPr>
      <w:r>
        <w:t>Enti, convenzioni e regole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900"/>
        <w:gridCol w:w="3300"/>
        <w:gridCol w:w="4160"/>
      </w:tblGrid>
      <w:tr>
        <w:trPr>
          <w:tblHeader/>
          <w:cantSplit/>
        </w:trPr>
        <w:tc>
          <w:tcPr>
            <w:tcW w:type="dxa" w:w="1900"/>
            <w:shd w:val="clear" w:color="auto" w:fill="F2F2F2"/>
          </w:tcPr>
          <w:p>
            <w:r>
              <w:rPr>
                <w:b/>
              </w:rPr>
              <w:t>Sigla</w:t>
            </w:r>
          </w:p>
        </w:tc>
        <w:tc>
          <w:tcPr>
            <w:tcW w:type="dxa" w:w="3300"/>
            <w:shd w:val="clear" w:color="auto" w:fill="F2F2F2"/>
          </w:tcPr>
          <w:p>
            <w:r>
              <w:rPr>
                <w:b/>
              </w:rPr>
              <w:t>Nome esteso</w:t>
            </w:r>
          </w:p>
        </w:tc>
        <w:tc>
          <w:tcPr>
            <w:tcW w:type="dxa" w:w="4160"/>
            <w:shd w:val="clear" w:color="auto" w:fill="F2F2F2"/>
          </w:tcPr>
          <w:p>
            <w:r>
              <w:rPr>
                <w:b/>
              </w:rPr>
              <w:t>Che cosa è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IMO</w:t>
            </w:r>
          </w:p>
        </w:tc>
        <w:tc>
          <w:tcPr>
            <w:tcW w:type="dxa" w:w="3300"/>
          </w:tcPr>
          <w:p>
            <w:r>
              <w:t>International Maritime Organization</w:t>
            </w:r>
          </w:p>
        </w:tc>
        <w:tc>
          <w:tcPr>
            <w:tcW w:type="dxa" w:w="4160"/>
          </w:tcPr>
          <w:p>
            <w:r>
              <w:t>Agenzia ONU che emana le convenzioni marittime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IACS</w:t>
            </w:r>
          </w:p>
        </w:tc>
        <w:tc>
          <w:tcPr>
            <w:tcW w:type="dxa" w:w="3300"/>
          </w:tcPr>
          <w:p>
            <w:r>
              <w:t>International Association of Classification Societies</w:t>
            </w:r>
          </w:p>
        </w:tc>
        <w:tc>
          <w:tcPr>
            <w:tcW w:type="dxa" w:w="4160"/>
          </w:tcPr>
          <w:p>
            <w:r>
              <w:t>Associazione delle principali società di classifica; emana UR, raccomandazioni e CSR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UR</w:t>
            </w:r>
          </w:p>
        </w:tc>
        <w:tc>
          <w:tcPr>
            <w:tcW w:type="dxa" w:w="3300"/>
          </w:tcPr>
          <w:p>
            <w:r>
              <w:t>Unified Requirement</w:t>
            </w:r>
          </w:p>
        </w:tc>
        <w:tc>
          <w:tcPr>
            <w:tcW w:type="dxa" w:w="4160"/>
          </w:tcPr>
          <w:p>
            <w:r>
              <w:t>Requisito uniforme IACS, recepito nei regolamenti di ogni società. Citati: S1A (manuale e strumento, navi non CSR), S11 (robustezza longitudinale), S17 (robustezza con stiva allagata), S18 (paratie corrugate con stiva allagata), S21 (coperchi dei boccaporti)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Rec.</w:t>
            </w:r>
          </w:p>
        </w:tc>
        <w:tc>
          <w:tcPr>
            <w:tcW w:type="dxa" w:w="3300"/>
          </w:tcPr>
          <w:p>
            <w:r>
              <w:t>Recommendation</w:t>
            </w:r>
          </w:p>
        </w:tc>
        <w:tc>
          <w:tcPr>
            <w:tcW w:type="dxa" w:w="4160"/>
          </w:tcPr>
          <w:p>
            <w:r>
              <w:t>Raccomandazione IACS, non vincolante; la n. 46 riguarda carico e scarico delle portarinfuse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CSR</w:t>
            </w:r>
          </w:p>
        </w:tc>
        <w:tc>
          <w:tcPr>
            <w:tcW w:type="dxa" w:w="3300"/>
          </w:tcPr>
          <w:p>
            <w:r>
              <w:t>Common Structural Rules</w:t>
            </w:r>
          </w:p>
        </w:tc>
        <w:tc>
          <w:tcPr>
            <w:tcW w:type="dxa" w:w="4160"/>
          </w:tcPr>
          <w:p>
            <w:r>
              <w:t>Regole strutturali comuni IACS per portarinfuse e petroliere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CSR-BC</w:t>
            </w:r>
          </w:p>
        </w:tc>
        <w:tc>
          <w:tcPr>
            <w:tcW w:type="dxa" w:w="3300"/>
          </w:tcPr>
          <w:p>
            <w:r>
              <w:t>Common Structural Rules for Bulk Carriers</w:t>
            </w:r>
          </w:p>
        </w:tc>
        <w:tc>
          <w:tcPr>
            <w:tcW w:type="dxa" w:w="4160"/>
          </w:tcPr>
          <w:p>
            <w:r>
              <w:t>Prima edizione delle CSR, solo portarinfuse; le notazioni BC-A/B/C nascono qui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Pt / Ch / Sec</w:t>
            </w:r>
          </w:p>
        </w:tc>
        <w:tc>
          <w:tcPr>
            <w:tcW w:type="dxa" w:w="3300"/>
          </w:tcPr>
          <w:p>
            <w:r>
              <w:t>Part / Chapter / Section</w:t>
            </w:r>
          </w:p>
        </w:tc>
        <w:tc>
          <w:tcPr>
            <w:tcW w:type="dxa" w:w="4160"/>
          </w:tcPr>
          <w:p>
            <w:r>
              <w:t>Parte, capitolo e sezione delle CSR (es. Pt 1 Ch 1 Sec 5)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SOLAS</w:t>
            </w:r>
          </w:p>
        </w:tc>
        <w:tc>
          <w:tcPr>
            <w:tcW w:type="dxa" w:w="3300"/>
          </w:tcPr>
          <w:p>
            <w:r>
              <w:t>International Convention for the Safety of Life at Sea</w:t>
            </w:r>
          </w:p>
        </w:tc>
        <w:tc>
          <w:tcPr>
            <w:tcW w:type="dxa" w:w="4160"/>
          </w:tcPr>
          <w:p>
            <w:r>
              <w:t>Il cap. XII contiene le misure aggiuntive per le portarinfuse; la regola 11 lo strumento di carico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STCW</w:t>
            </w:r>
          </w:p>
        </w:tc>
        <w:tc>
          <w:tcPr>
            <w:tcW w:type="dxa" w:w="3300"/>
          </w:tcPr>
          <w:p>
            <w:r>
              <w:t>Standards of Training, Certification and Watchkeeping</w:t>
            </w:r>
          </w:p>
        </w:tc>
        <w:tc>
          <w:tcPr>
            <w:tcW w:type="dxa" w:w="4160"/>
          </w:tcPr>
          <w:p>
            <w:r>
              <w:t>Convenzione sulla formazione; la tabella A-II/2 contiene la competenza di questa unità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D.D.</w:t>
            </w:r>
          </w:p>
        </w:tc>
        <w:tc>
          <w:tcPr>
            <w:tcW w:type="dxa" w:w="3300"/>
          </w:tcPr>
          <w:p>
            <w:r>
              <w:t>Decreto Direttoriale</w:t>
            </w:r>
          </w:p>
        </w:tc>
        <w:tc>
          <w:tcPr>
            <w:tcW w:type="dxa" w:w="4160"/>
          </w:tcPr>
          <w:p>
            <w:r>
              <w:t>Atto del Ministero; qui D.D. 201/2024 (programma) e D.D. 76/2025 (esami)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U.D.</w:t>
            </w:r>
          </w:p>
        </w:tc>
        <w:tc>
          <w:tcPr>
            <w:tcW w:type="dxa" w:w="3300"/>
          </w:tcPr>
          <w:p>
            <w:r>
              <w:t>Unità didattica</w:t>
            </w:r>
          </w:p>
        </w:tc>
        <w:tc>
          <w:tcPr>
            <w:tcW w:type="dxa" w:w="4160"/>
          </w:tcPr>
          <w:p>
            <w:r>
              <w:t>Parte numerata del programma del corso (qui 2.2.1)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ISM</w:t>
            </w:r>
          </w:p>
        </w:tc>
        <w:tc>
          <w:tcPr>
            <w:tcW w:type="dxa" w:w="3300"/>
          </w:tcPr>
          <w:p>
            <w:r>
              <w:t>International Safety Management Code</w:t>
            </w:r>
          </w:p>
        </w:tc>
        <w:tc>
          <w:tcPr>
            <w:tcW w:type="dxa" w:w="4160"/>
          </w:tcPr>
          <w:p>
            <w:r>
              <w:t>Sistema di gestione della sicurezza; il par. 5.2 sancisce l'autorità del Comandante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CC BY-NC-SA 4.0</w:t>
            </w:r>
          </w:p>
        </w:tc>
        <w:tc>
          <w:tcPr>
            <w:tcW w:type="dxa" w:w="3300"/>
          </w:tcPr>
          <w:p>
            <w:r>
              <w:t>Creative Commons Attribuzione – Non commerciale – Condividi allo stesso modo 4.0</w:t>
            </w:r>
          </w:p>
        </w:tc>
        <w:tc>
          <w:tcPr>
            <w:tcW w:type="dxa" w:w="4160"/>
          </w:tcPr>
          <w:p>
            <w:r>
              <w:t>Licenza del materiale: si condivide e modifica citando l'autore, senza scopi commerciali, con la stessa licenza</w:t>
            </w:r>
          </w:p>
        </w:tc>
      </w:tr>
    </w:tbl>
    <w:p/>
    <w:p>
      <w:pPr>
        <w:pStyle w:val="Heading2"/>
      </w:pPr>
      <w:r>
        <w:t>Unità didattiche collegate</w:t>
      </w:r>
    </w:p>
    <w:p>
      <w:r>
        <w:t>Sigle citate nella slide 3 per indicare argomenti trattati in altre unità.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900"/>
        <w:gridCol w:w="3300"/>
        <w:gridCol w:w="4160"/>
      </w:tblGrid>
      <w:tr>
        <w:trPr>
          <w:tblHeader/>
          <w:cantSplit/>
        </w:trPr>
        <w:tc>
          <w:tcPr>
            <w:tcW w:type="dxa" w:w="1900"/>
            <w:shd w:val="clear" w:color="auto" w:fill="F2F2F2"/>
          </w:tcPr>
          <w:p>
            <w:r>
              <w:rPr>
                <w:b/>
              </w:rPr>
              <w:t>Sigla</w:t>
            </w:r>
          </w:p>
        </w:tc>
        <w:tc>
          <w:tcPr>
            <w:tcW w:type="dxa" w:w="3300"/>
            <w:shd w:val="clear" w:color="auto" w:fill="F2F2F2"/>
          </w:tcPr>
          <w:p>
            <w:r>
              <w:rPr>
                <w:b/>
              </w:rPr>
              <w:t>Nome esteso</w:t>
            </w:r>
          </w:p>
        </w:tc>
        <w:tc>
          <w:tcPr>
            <w:tcW w:type="dxa" w:w="4160"/>
            <w:shd w:val="clear" w:color="auto" w:fill="F2F2F2"/>
          </w:tcPr>
          <w:p>
            <w:r>
              <w:rPr>
                <w:b/>
              </w:rPr>
              <w:t>Dove si tratta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BLU</w:t>
            </w:r>
          </w:p>
        </w:tc>
        <w:tc>
          <w:tcPr>
            <w:tcW w:type="dxa" w:w="3300"/>
          </w:tcPr>
          <w:p>
            <w:r>
              <w:t>Bulk Loading and Unloading Code</w:t>
            </w:r>
          </w:p>
        </w:tc>
        <w:tc>
          <w:tcPr>
            <w:tcW w:type="dxa" w:w="4160"/>
          </w:tcPr>
          <w:p>
            <w:r>
              <w:t>Carico e scarico sicuro e dialogo nave–terminale: U.D. 2.1.8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IMSBC</w:t>
            </w:r>
          </w:p>
        </w:tc>
        <w:tc>
          <w:tcPr>
            <w:tcW w:type="dxa" w:w="3300"/>
          </w:tcPr>
          <w:p>
            <w:r>
              <w:t>International Maritime Solid Bulk Cargoes Code</w:t>
            </w:r>
          </w:p>
        </w:tc>
        <w:tc>
          <w:tcPr>
            <w:tcW w:type="dxa" w:w="4160"/>
          </w:tcPr>
          <w:p>
            <w:r>
              <w:t>Carichi solidi alla rinfusa: U.D. 2.1.9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IMDG</w:t>
            </w:r>
          </w:p>
        </w:tc>
        <w:tc>
          <w:tcPr>
            <w:tcW w:type="dxa" w:w="3300"/>
          </w:tcPr>
          <w:p>
            <w:r>
              <w:t>International Maritime Dangerous Goods Code</w:t>
            </w:r>
          </w:p>
        </w:tc>
        <w:tc>
          <w:tcPr>
            <w:tcW w:type="dxa" w:w="4160"/>
          </w:tcPr>
          <w:p>
            <w:r>
              <w:t>Merci pericolose in colli: U.D. 2.1.9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ADB</w:t>
            </w:r>
          </w:p>
        </w:tc>
        <w:tc>
          <w:tcPr>
            <w:tcW w:type="dxa" w:w="3300"/>
          </w:tcPr>
          <w:p>
            <w:r>
              <w:t>Apparecchiatura automatica raccolta dati</w:t>
            </w:r>
          </w:p>
        </w:tc>
        <w:tc>
          <w:tcPr>
            <w:tcW w:type="dxa" w:w="4160"/>
          </w:tcPr>
          <w:p>
            <w:r>
              <w:t>Voce del programma ministeriale: U.D. 2.1.3</w:t>
            </w:r>
          </w:p>
        </w:tc>
      </w:tr>
    </w:tbl>
    <w:p/>
    <w:p>
      <w:pPr>
        <w:pStyle w:val="Heading2"/>
      </w:pPr>
      <w:r>
        <w:t>Robustezza e sforzi</w:t>
      </w:r>
    </w:p>
    <w:p>
      <w:r>
        <w:t>Attenzione: in questa unità SF significa sforzo di taglio (shear force), non fattore di stivaggio (stowage factor).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900"/>
        <w:gridCol w:w="3300"/>
        <w:gridCol w:w="4160"/>
      </w:tblGrid>
      <w:tr>
        <w:trPr>
          <w:tblHeader/>
          <w:cantSplit/>
        </w:trPr>
        <w:tc>
          <w:tcPr>
            <w:tcW w:type="dxa" w:w="1900"/>
            <w:shd w:val="clear" w:color="auto" w:fill="F2F2F2"/>
          </w:tcPr>
          <w:p>
            <w:r>
              <w:rPr>
                <w:b/>
              </w:rPr>
              <w:t>Sigla</w:t>
            </w:r>
          </w:p>
        </w:tc>
        <w:tc>
          <w:tcPr>
            <w:tcW w:type="dxa" w:w="3300"/>
            <w:shd w:val="clear" w:color="auto" w:fill="F2F2F2"/>
          </w:tcPr>
          <w:p>
            <w:r>
              <w:rPr>
                <w:b/>
              </w:rPr>
              <w:t>Nome esteso</w:t>
            </w:r>
          </w:p>
        </w:tc>
        <w:tc>
          <w:tcPr>
            <w:tcW w:type="dxa" w:w="4160"/>
            <w:shd w:val="clear" w:color="auto" w:fill="F2F2F2"/>
          </w:tcPr>
          <w:p>
            <w:r>
              <w:rPr>
                <w:b/>
              </w:rPr>
              <w:t>Significato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SF</w:t>
            </w:r>
          </w:p>
        </w:tc>
        <w:tc>
          <w:tcPr>
            <w:tcW w:type="dxa" w:w="3300"/>
          </w:tcPr>
          <w:p>
            <w:r>
              <w:t>Shear Force (sforzo di taglio)</w:t>
            </w:r>
          </w:p>
        </w:tc>
        <w:tc>
          <w:tcPr>
            <w:tcW w:type="dxa" w:w="4160"/>
          </w:tcPr>
          <w:p>
            <w:r>
              <w:t>Forza che tende a far scorrere una sezione dello scafo rispetto alla vicina; somma dei carichi netti fino alla sezione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BM</w:t>
            </w:r>
          </w:p>
        </w:tc>
        <w:tc>
          <w:tcPr>
            <w:tcW w:type="dxa" w:w="3300"/>
          </w:tcPr>
          <w:p>
            <w:r>
              <w:t>Bending Moment (momento flettente)</w:t>
            </w:r>
          </w:p>
        </w:tc>
        <w:tc>
          <w:tcPr>
            <w:tcW w:type="dxa" w:w="4160"/>
          </w:tcPr>
          <w:p>
            <w:r>
              <w:t>Momento che flette lo scafo come una trave; somma delle aree della curva di SF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SWSF / SWBM</w:t>
            </w:r>
          </w:p>
        </w:tc>
        <w:tc>
          <w:tcPr>
            <w:tcW w:type="dxa" w:w="3300"/>
          </w:tcPr>
          <w:p>
            <w:r>
              <w:t>Still Water Shear Force / Bending Moment</w:t>
            </w:r>
          </w:p>
        </w:tc>
        <w:tc>
          <w:tcPr>
            <w:tcW w:type="dxa" w:w="4160"/>
          </w:tcPr>
          <w:p>
            <w:r>
              <w:t>Taglio e momento in acqua calma: quelli calcolati a bordo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Mw</w:t>
            </w:r>
          </w:p>
        </w:tc>
        <w:tc>
          <w:tcPr>
            <w:tcW w:type="dxa" w:w="3300"/>
          </w:tcPr>
          <w:p>
            <w:r>
              <w:t>Wave bending moment (momento d'onda)</w:t>
            </w:r>
          </w:p>
        </w:tc>
        <w:tc>
          <w:tcPr>
            <w:tcW w:type="dxa" w:w="4160"/>
          </w:tcPr>
          <w:p>
            <w:r>
              <w:t>Momento dovuto all'onda di progetto; già considerato nei limiti di navigazione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Z</w:t>
            </w:r>
          </w:p>
        </w:tc>
        <w:tc>
          <w:tcPr>
            <w:tcW w:type="dxa" w:w="3300"/>
          </w:tcPr>
          <w:p>
            <w:r>
              <w:t>Section modulus (modulo di resistenza)</w:t>
            </w:r>
          </w:p>
        </w:tc>
        <w:tc>
          <w:tcPr>
            <w:tcW w:type="dxa" w:w="4160"/>
          </w:tcPr>
          <w:p>
            <w:r>
              <w:t>Caratteristica della sezione: tensione = M / Z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k</w:t>
            </w:r>
          </w:p>
        </w:tc>
        <w:tc>
          <w:tcPr>
            <w:tcW w:type="dxa" w:w="3300"/>
          </w:tcPr>
          <w:p>
            <w:r>
              <w:t>Fattore del materiale</w:t>
            </w:r>
          </w:p>
        </w:tc>
        <w:tc>
          <w:tcPr>
            <w:tcW w:type="dxa" w:w="4160"/>
          </w:tcPr>
          <w:p>
            <w:r>
              <w:t>1 per acciaio normale, minore di 1 per acciaio ad alta resistenza; tensione ammessa 175/k N/mm²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Hogging</w:t>
            </w:r>
          </w:p>
        </w:tc>
        <w:tc>
          <w:tcPr>
            <w:tcW w:type="dxa" w:w="3300"/>
          </w:tcPr>
          <w:p>
            <w:r>
              <w:t>Inarcamento</w:t>
            </w:r>
          </w:p>
        </w:tc>
        <w:tc>
          <w:tcPr>
            <w:tcW w:type="dxa" w:w="4160"/>
          </w:tcPr>
          <w:p>
            <w:r>
              <w:t>Centro nave più alto delle estremità: ponte teso, fondo compresso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Sagging</w:t>
            </w:r>
          </w:p>
        </w:tc>
        <w:tc>
          <w:tcPr>
            <w:tcW w:type="dxa" w:w="3300"/>
          </w:tcPr>
          <w:p>
            <w:r>
              <w:t>Insellamento</w:t>
            </w:r>
          </w:p>
        </w:tc>
        <w:tc>
          <w:tcPr>
            <w:tcW w:type="dxa" w:w="4160"/>
          </w:tcPr>
          <w:p>
            <w:r>
              <w:t>Centro nave più basso delle estremità: ponte compresso, fondo teso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Buckling</w:t>
            </w:r>
          </w:p>
        </w:tc>
        <w:tc>
          <w:tcPr>
            <w:tcW w:type="dxa" w:w="3300"/>
          </w:tcPr>
          <w:p>
            <w:r>
              <w:t>Instabilità</w:t>
            </w:r>
          </w:p>
        </w:tc>
        <w:tc>
          <w:tcPr>
            <w:tcW w:type="dxa" w:w="4160"/>
          </w:tcPr>
          <w:p>
            <w:r>
              <w:t>Cedimento di un pannello compresso prima dello snervamento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Read-out point</w:t>
            </w:r>
          </w:p>
        </w:tc>
        <w:tc>
          <w:tcPr>
            <w:tcW w:type="dxa" w:w="3300"/>
          </w:tcPr>
          <w:p>
            <w:r>
              <w:t>Punto di lettura</w:t>
            </w:r>
          </w:p>
        </w:tc>
        <w:tc>
          <w:tcPr>
            <w:tcW w:type="dxa" w:w="4160"/>
          </w:tcPr>
          <w:p>
            <w:r>
              <w:t>Sezione in cui lo strumento calcola SF e BM, di solito a una paratia trasversale</w:t>
            </w:r>
          </w:p>
        </w:tc>
      </w:tr>
    </w:tbl>
    <w:p/>
    <w:p>
      <w:pPr>
        <w:pStyle w:val="Heading2"/>
      </w:pPr>
      <w:r>
        <w:t>Simboli delle formule</w:t>
      </w:r>
    </w:p>
    <w:p>
      <w:r>
        <w:t>Simboli della U.D. 2.2.1 richiamati nel ripasso (IACS UR S11 Rev.10, 2020).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900"/>
        <w:gridCol w:w="3300"/>
        <w:gridCol w:w="4160"/>
      </w:tblGrid>
      <w:tr>
        <w:trPr>
          <w:tblHeader/>
          <w:cantSplit/>
        </w:trPr>
        <w:tc>
          <w:tcPr>
            <w:tcW w:type="dxa" w:w="1900"/>
            <w:shd w:val="clear" w:color="auto" w:fill="F2F2F2"/>
          </w:tcPr>
          <w:p>
            <w:r>
              <w:rPr>
                <w:b/>
              </w:rPr>
              <w:t>Simbolo</w:t>
            </w:r>
          </w:p>
        </w:tc>
        <w:tc>
          <w:tcPr>
            <w:tcW w:type="dxa" w:w="3300"/>
            <w:shd w:val="clear" w:color="auto" w:fill="F2F2F2"/>
          </w:tcPr>
          <w:p>
            <w:r>
              <w:rPr>
                <w:b/>
              </w:rPr>
              <w:t>Nome</w:t>
            </w:r>
          </w:p>
        </w:tc>
        <w:tc>
          <w:tcPr>
            <w:tcW w:type="dxa" w:w="4160"/>
            <w:shd w:val="clear" w:color="auto" w:fill="F2F2F2"/>
          </w:tcPr>
          <w:p>
            <w:r>
              <w:rPr>
                <w:b/>
              </w:rPr>
              <w:t>Significato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L</w:t>
            </w:r>
          </w:p>
        </w:tc>
        <w:tc>
          <w:tcPr>
            <w:tcW w:type="dxa" w:w="3300"/>
          </w:tcPr>
          <w:p>
            <w:r>
              <w:t>Lunghezza</w:t>
            </w:r>
          </w:p>
        </w:tc>
        <w:tc>
          <w:tcPr>
            <w:tcW w:type="dxa" w:w="4160"/>
          </w:tcPr>
          <w:p>
            <w:r>
              <w:t>Lunghezza della nave secondo le regole, in metri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B</w:t>
            </w:r>
          </w:p>
        </w:tc>
        <w:tc>
          <w:tcPr>
            <w:tcW w:type="dxa" w:w="3300"/>
          </w:tcPr>
          <w:p>
            <w:r>
              <w:t>Larghezza</w:t>
            </w:r>
          </w:p>
        </w:tc>
        <w:tc>
          <w:tcPr>
            <w:tcW w:type="dxa" w:w="4160"/>
          </w:tcPr>
          <w:p>
            <w:r>
              <w:t>Larghezza massima fuori ossatura, in metri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Cb</w:t>
            </w:r>
          </w:p>
        </w:tc>
        <w:tc>
          <w:tcPr>
            <w:tcW w:type="dxa" w:w="3300"/>
          </w:tcPr>
          <w:p>
            <w:r>
              <w:t>Coefficiente di blocco</w:t>
            </w:r>
          </w:p>
        </w:tc>
        <w:tc>
          <w:tcPr>
            <w:tcW w:type="dxa" w:w="4160"/>
          </w:tcPr>
          <w:p>
            <w:r>
              <w:t>Rapporto tra volume di carena e parallelepipedo L × B × immersione; non meno di 0,6 nella formula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C</w:t>
            </w:r>
          </w:p>
        </w:tc>
        <w:tc>
          <w:tcPr>
            <w:tcW w:type="dxa" w:w="3300"/>
          </w:tcPr>
          <w:p>
            <w:r>
              <w:t>Coefficiente d'onda</w:t>
            </w:r>
          </w:p>
        </w:tc>
        <w:tc>
          <w:tcPr>
            <w:tcW w:type="dxa" w:w="4160"/>
          </w:tcPr>
          <w:p>
            <w:r>
              <w:t>Dipende da L; vale 10,75 tra 300 e 350 m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M</w:t>
            </w:r>
          </w:p>
        </w:tc>
        <w:tc>
          <w:tcPr>
            <w:tcW w:type="dxa" w:w="3300"/>
          </w:tcPr>
          <w:p>
            <w:r>
              <w:t>Fattore di distribuzione</w:t>
            </w:r>
          </w:p>
        </w:tc>
        <w:tc>
          <w:tcPr>
            <w:tcW w:type="dxa" w:w="4160"/>
          </w:tcPr>
          <w:p>
            <w:r>
              <w:t>Riduce il momento d'onda verso le estremità della nave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σ</w:t>
            </w:r>
          </w:p>
        </w:tc>
        <w:tc>
          <w:tcPr>
            <w:tcW w:type="dxa" w:w="3300"/>
          </w:tcPr>
          <w:p>
            <w:r>
              <w:t>Sigma</w:t>
            </w:r>
          </w:p>
        </w:tc>
        <w:tc>
          <w:tcPr>
            <w:tcW w:type="dxa" w:w="4160"/>
          </w:tcPr>
          <w:p>
            <w:r>
              <w:t>Tensione normale di flessione, in N/mm²</w:t>
            </w:r>
          </w:p>
        </w:tc>
      </w:tr>
    </w:tbl>
    <w:p/>
    <w:p>
      <w:pPr>
        <w:pStyle w:val="Heading2"/>
      </w:pPr>
      <w:r>
        <w:t>Struttura della portarinfuse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900"/>
        <w:gridCol w:w="3300"/>
        <w:gridCol w:w="4160"/>
      </w:tblGrid>
      <w:tr>
        <w:trPr>
          <w:tblHeader/>
          <w:cantSplit/>
        </w:trPr>
        <w:tc>
          <w:tcPr>
            <w:tcW w:type="dxa" w:w="1900"/>
            <w:shd w:val="clear" w:color="auto" w:fill="F2F2F2"/>
          </w:tcPr>
          <w:p>
            <w:r>
              <w:rPr>
                <w:b/>
              </w:rPr>
              <w:t>Termine</w:t>
            </w:r>
          </w:p>
        </w:tc>
        <w:tc>
          <w:tcPr>
            <w:tcW w:type="dxa" w:w="3300"/>
            <w:shd w:val="clear" w:color="auto" w:fill="F2F2F2"/>
          </w:tcPr>
          <w:p>
            <w:r>
              <w:rPr>
                <w:b/>
              </w:rPr>
              <w:t>Inglese</w:t>
            </w:r>
          </w:p>
        </w:tc>
        <w:tc>
          <w:tcPr>
            <w:tcW w:type="dxa" w:w="4160"/>
            <w:shd w:val="clear" w:color="auto" w:fill="F2F2F2"/>
          </w:tcPr>
          <w:p>
            <w:r>
              <w:rPr>
                <w:b/>
              </w:rPr>
              <w:t>Significato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DF</w:t>
            </w:r>
          </w:p>
        </w:tc>
        <w:tc>
          <w:tcPr>
            <w:tcW w:type="dxa" w:w="3300"/>
          </w:tcPr>
          <w:p>
            <w:r>
              <w:t>Doppio fondo (double bottom)</w:t>
            </w:r>
          </w:p>
        </w:tc>
        <w:tc>
          <w:tcPr>
            <w:tcW w:type="dxa" w:w="4160"/>
          </w:tcPr>
          <w:p>
            <w:r>
              <w:t>Spazio tra fondo e cielo del doppio fondo, usato per zavorra e combustibile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Cielo del doppio fondo</w:t>
            </w:r>
          </w:p>
        </w:tc>
        <w:tc>
          <w:tcPr>
            <w:tcW w:type="dxa" w:w="3300"/>
          </w:tcPr>
          <w:p>
            <w:r>
              <w:t>Tank top / inner bottom</w:t>
            </w:r>
          </w:p>
        </w:tc>
        <w:tc>
          <w:tcPr>
            <w:tcW w:type="dxa" w:w="4160"/>
          </w:tcPr>
          <w:p>
            <w:r>
              <w:t>Piano di carico della stiva; limite in t/m²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Cisterna a tramoggia</w:t>
            </w:r>
          </w:p>
        </w:tc>
        <w:tc>
          <w:tcPr>
            <w:tcW w:type="dxa" w:w="3300"/>
          </w:tcPr>
          <w:p>
            <w:r>
              <w:t>Hopper tank</w:t>
            </w:r>
          </w:p>
        </w:tc>
        <w:tc>
          <w:tcPr>
            <w:tcW w:type="dxa" w:w="4160"/>
          </w:tcPr>
          <w:p>
            <w:r>
              <w:t>Cisterna inclinata in basso ai lati della stiva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Cisterna alta</w:t>
            </w:r>
          </w:p>
        </w:tc>
        <w:tc>
          <w:tcPr>
            <w:tcW w:type="dxa" w:w="3300"/>
          </w:tcPr>
          <w:p>
            <w:r>
              <w:t>Topside tank</w:t>
            </w:r>
          </w:p>
        </w:tc>
        <w:tc>
          <w:tcPr>
            <w:tcW w:type="dxa" w:w="4160"/>
          </w:tcPr>
          <w:p>
            <w:r>
              <w:t>Cisterna inclinata sotto il ponte ai lati del boccaporto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Cross deck</w:t>
            </w:r>
          </w:p>
        </w:tc>
        <w:tc>
          <w:tcPr>
            <w:tcW w:type="dxa" w:w="3300"/>
          </w:tcPr>
          <w:p>
            <w:r>
              <w:t>Cross deck</w:t>
            </w:r>
          </w:p>
        </w:tc>
        <w:tc>
          <w:tcPr>
            <w:tcW w:type="dxa" w:w="4160"/>
          </w:tcPr>
          <w:p>
            <w:r>
              <w:t>Striscia di ponte trasversale tra due boccaporti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Mastra</w:t>
            </w:r>
          </w:p>
        </w:tc>
        <w:tc>
          <w:tcPr>
            <w:tcW w:type="dxa" w:w="3300"/>
          </w:tcPr>
          <w:p>
            <w:r>
              <w:t>Hatch coaming</w:t>
            </w:r>
          </w:p>
        </w:tc>
        <w:tc>
          <w:tcPr>
            <w:tcW w:type="dxa" w:w="4160"/>
          </w:tcPr>
          <w:p>
            <w:r>
              <w:t>Bordo rialzato del boccaporto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Paratia corrugata</w:t>
            </w:r>
          </w:p>
        </w:tc>
        <w:tc>
          <w:tcPr>
            <w:tcW w:type="dxa" w:w="3300"/>
          </w:tcPr>
          <w:p>
            <w:r>
              <w:t>Corrugated bulkhead</w:t>
            </w:r>
          </w:p>
        </w:tc>
        <w:tc>
          <w:tcPr>
            <w:tcW w:type="dxa" w:w="4160"/>
          </w:tcPr>
          <w:p>
            <w:r>
              <w:t>Paratia trasversale a onde verticali tra due stive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Ossatura di stiva</w:t>
            </w:r>
          </w:p>
        </w:tc>
        <w:tc>
          <w:tcPr>
            <w:tcW w:type="dxa" w:w="3300"/>
          </w:tcPr>
          <w:p>
            <w:r>
              <w:t>Hold frame</w:t>
            </w:r>
          </w:p>
        </w:tc>
        <w:tc>
          <w:tcPr>
            <w:tcW w:type="dxa" w:w="4160"/>
          </w:tcPr>
          <w:p>
            <w:r>
              <w:t>Ossatura trasversale del fianco nella stiva</w:t>
            </w:r>
          </w:p>
        </w:tc>
      </w:tr>
    </w:tbl>
    <w:p/>
    <w:p>
      <w:pPr>
        <w:pStyle w:val="Heading2"/>
      </w:pPr>
      <w:r>
        <w:t>Notazioni e documenti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900"/>
        <w:gridCol w:w="3300"/>
        <w:gridCol w:w="4160"/>
      </w:tblGrid>
      <w:tr>
        <w:trPr>
          <w:tblHeader/>
          <w:cantSplit/>
        </w:trPr>
        <w:tc>
          <w:tcPr>
            <w:tcW w:type="dxa" w:w="1900"/>
            <w:shd w:val="clear" w:color="auto" w:fill="F2F2F2"/>
          </w:tcPr>
          <w:p>
            <w:r>
              <w:rPr>
                <w:b/>
              </w:rPr>
              <w:t>Sigla / termine</w:t>
            </w:r>
          </w:p>
        </w:tc>
        <w:tc>
          <w:tcPr>
            <w:tcW w:type="dxa" w:w="3300"/>
            <w:shd w:val="clear" w:color="auto" w:fill="F2F2F2"/>
          </w:tcPr>
          <w:p>
            <w:r>
              <w:rPr>
                <w:b/>
              </w:rPr>
              <w:t>Nome esteso</w:t>
            </w:r>
          </w:p>
        </w:tc>
        <w:tc>
          <w:tcPr>
            <w:tcW w:type="dxa" w:w="4160"/>
            <w:shd w:val="clear" w:color="auto" w:fill="F2F2F2"/>
          </w:tcPr>
          <w:p>
            <w:r>
              <w:rPr>
                <w:b/>
              </w:rPr>
              <w:t>Significato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BC-A</w:t>
            </w:r>
          </w:p>
        </w:tc>
        <w:tc>
          <w:tcPr>
            <w:tcW w:type="dxa" w:w="3300"/>
          </w:tcPr>
          <w:p>
            <w:r>
              <w:t>Bulk Carrier A</w:t>
            </w:r>
          </w:p>
        </w:tc>
        <w:tc>
          <w:tcPr>
            <w:tcW w:type="dxa" w:w="4160"/>
          </w:tcPr>
          <w:p>
            <w:r>
              <w:t>Carichi ≥ 1,0 t/m³ anche con stive indicate vuote alla massima immersione; comprende BC-B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BC-B</w:t>
            </w:r>
          </w:p>
        </w:tc>
        <w:tc>
          <w:tcPr>
            <w:tcW w:type="dxa" w:w="3300"/>
          </w:tcPr>
          <w:p>
            <w:r>
              <w:t>Bulk Carrier B</w:t>
            </w:r>
          </w:p>
        </w:tc>
        <w:tc>
          <w:tcPr>
            <w:tcW w:type="dxa" w:w="4160"/>
          </w:tcPr>
          <w:p>
            <w:r>
              <w:t>Carichi ≥ 1,0 t/m³ con tutte le stive caricate; comprende BC-C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BC-C</w:t>
            </w:r>
          </w:p>
        </w:tc>
        <w:tc>
          <w:tcPr>
            <w:tcW w:type="dxa" w:w="3300"/>
          </w:tcPr>
          <w:p>
            <w:r>
              <w:t>Bulk Carrier C</w:t>
            </w:r>
          </w:p>
        </w:tc>
        <w:tc>
          <w:tcPr>
            <w:tcW w:type="dxa" w:w="4160"/>
          </w:tcPr>
          <w:p>
            <w:r>
              <w:t>Carichi di densità inferiore a 1,0 t/m³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no MP</w:t>
            </w:r>
          </w:p>
        </w:tc>
        <w:tc>
          <w:tcPr>
            <w:tcW w:type="dxa" w:w="3300"/>
          </w:tcPr>
          <w:p>
            <w:r>
              <w:t>No Multi-Port</w:t>
            </w:r>
          </w:p>
        </w:tc>
        <w:tc>
          <w:tcPr>
            <w:tcW w:type="dxa" w:w="4160"/>
          </w:tcPr>
          <w:p>
            <w:r>
              <w:t>Nave non progettata per caricare o scaricare in più porti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MP</w:t>
            </w:r>
          </w:p>
        </w:tc>
        <w:tc>
          <w:tcPr>
            <w:tcW w:type="dxa" w:w="3300"/>
          </w:tcPr>
          <w:p>
            <w:r>
              <w:t>Multi-Port</w:t>
            </w:r>
          </w:p>
        </w:tc>
        <w:tc>
          <w:tcPr>
            <w:tcW w:type="dxa" w:w="4160"/>
          </w:tcPr>
          <w:p>
            <w:r>
              <w:t>Carico o scarico in più porti; vedi no MP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GRAB [X]</w:t>
            </w:r>
          </w:p>
        </w:tc>
        <w:tc>
          <w:tcPr>
            <w:tcW w:type="dxa" w:w="3300"/>
          </w:tcPr>
          <w:p>
            <w:r>
              <w:t>Notazione benna</w:t>
            </w:r>
          </w:p>
        </w:tc>
        <w:tc>
          <w:tcPr>
            <w:tcW w:type="dxa" w:w="4160"/>
          </w:tcPr>
          <w:p>
            <w:r>
              <w:t>Massa della benna vuota di progetto, X tonnellate; obbligatoria per BC-A e BC-B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Loading Manual</w:t>
            </w:r>
          </w:p>
        </w:tc>
        <w:tc>
          <w:tcPr>
            <w:tcW w:type="dxa" w:w="3300"/>
          </w:tcPr>
          <w:p>
            <w:r>
              <w:t>Manuale di carico</w:t>
            </w:r>
          </w:p>
        </w:tc>
        <w:tc>
          <w:tcPr>
            <w:tcW w:type="dxa" w:w="4160"/>
          </w:tcPr>
          <w:p>
            <w:r>
              <w:t>Documento approvato della nave: condizioni, limiti di SF e BM, masse per stiva, t/m², ritmo di zavorra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Loading Instrument</w:t>
            </w:r>
          </w:p>
        </w:tc>
        <w:tc>
          <w:tcPr>
            <w:tcW w:type="dxa" w:w="3300"/>
          </w:tcPr>
          <w:p>
            <w:r>
              <w:t>Strumento di carico</w:t>
            </w:r>
          </w:p>
        </w:tc>
        <w:tc>
          <w:tcPr>
            <w:tcW w:type="dxa" w:w="4160"/>
          </w:tcPr>
          <w:p>
            <w:r>
              <w:t>Calcolatore approvato che verifica SF, BM e masse per stiva a ogni passo (SOLAS XII/11)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Hold mass curves</w:t>
            </w:r>
          </w:p>
        </w:tc>
        <w:tc>
          <w:tcPr>
            <w:tcW w:type="dxa" w:w="3300"/>
          </w:tcPr>
          <w:p>
            <w:r>
              <w:t>Curve di massa delle stive</w:t>
            </w:r>
          </w:p>
        </w:tc>
        <w:tc>
          <w:tcPr>
            <w:tcW w:type="dxa" w:w="4160"/>
          </w:tcPr>
          <w:p>
            <w:r>
              <w:t>Massa massima e minima di carico + doppio fondo per stiva, in funzione del pescaggio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Pour</w:t>
            </w:r>
          </w:p>
        </w:tc>
        <w:tc>
          <w:tcPr>
            <w:tcW w:type="dxa" w:w="3300"/>
          </w:tcPr>
          <w:p>
            <w:r>
              <w:t>Colata</w:t>
            </w:r>
          </w:p>
        </w:tc>
        <w:tc>
          <w:tcPr>
            <w:tcW w:type="dxa" w:w="4160"/>
          </w:tcPr>
          <w:p>
            <w:r>
              <w:t>Quantità caricata in una stiva in un passo del piano</w:t>
            </w:r>
          </w:p>
        </w:tc>
      </w:tr>
    </w:tbl>
    <w:p/>
    <w:p>
      <w:pPr>
        <w:pStyle w:val="Heading2"/>
      </w:pPr>
      <w:r>
        <w:t>Sigle nuove della lezione di ripasso</w:t>
      </w:r>
    </w:p>
    <w:p>
      <w:r>
        <w:t>Sigle che compaiono nelle slide del ripasso e non nel glossario della U.D. 2.2.1.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900"/>
        <w:gridCol w:w="3300"/>
        <w:gridCol w:w="4160"/>
      </w:tblGrid>
      <w:tr>
        <w:trPr>
          <w:tblHeader/>
          <w:cantSplit/>
        </w:trPr>
        <w:tc>
          <w:tcPr>
            <w:tcW w:type="dxa" w:w="1900"/>
            <w:shd w:val="clear" w:color="auto" w:fill="F2F2F2"/>
          </w:tcPr>
          <w:p>
            <w:r>
              <w:rPr>
                <w:b/>
              </w:rPr>
              <w:t>Sigla</w:t>
            </w:r>
          </w:p>
        </w:tc>
        <w:tc>
          <w:tcPr>
            <w:tcW w:type="dxa" w:w="3300"/>
            <w:shd w:val="clear" w:color="auto" w:fill="F2F2F2"/>
          </w:tcPr>
          <w:p>
            <w:r>
              <w:rPr>
                <w:b/>
              </w:rPr>
              <w:t>Nome esteso</w:t>
            </w:r>
          </w:p>
        </w:tc>
        <w:tc>
          <w:tcPr>
            <w:tcW w:type="dxa" w:w="4160"/>
            <w:shd w:val="clear" w:color="auto" w:fill="F2F2F2"/>
          </w:tcPr>
          <w:p>
            <w:r>
              <w:rPr>
                <w:b/>
              </w:rPr>
              <w:t>Significato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MSC</w:t>
            </w:r>
          </w:p>
        </w:tc>
        <w:tc>
          <w:tcPr>
            <w:tcW w:type="dxa" w:w="3300"/>
          </w:tcPr>
          <w:p>
            <w:r>
              <w:t>Maritime Safety Committee</w:t>
            </w:r>
          </w:p>
        </w:tc>
        <w:tc>
          <w:tcPr>
            <w:tcW w:type="dxa" w:w="4160"/>
          </w:tcPr>
          <w:p>
            <w:r>
              <w:t>Comitato IMO che adotta gli emendamenti SOLAS e dei codici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CCC</w:t>
            </w:r>
          </w:p>
        </w:tc>
        <w:tc>
          <w:tcPr>
            <w:tcW w:type="dxa" w:w="3300"/>
          </w:tcPr>
          <w:p>
            <w:r>
              <w:t>Sub-Committee on Carriage of Cargoes and Containers</w:t>
            </w:r>
          </w:p>
        </w:tc>
        <w:tc>
          <w:tcPr>
            <w:tcW w:type="dxa" w:w="4160"/>
          </w:tcPr>
          <w:p>
            <w:r>
              <w:t>Sottocomitato IMO per carichi e contenitori (IMSBC, fumigazione)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E&amp;T</w:t>
            </w:r>
          </w:p>
        </w:tc>
        <w:tc>
          <w:tcPr>
            <w:tcW w:type="dxa" w:w="3300"/>
          </w:tcPr>
          <w:p>
            <w:r>
              <w:t>Editorial and Technical Group</w:t>
            </w:r>
          </w:p>
        </w:tc>
        <w:tc>
          <w:tcPr>
            <w:tcW w:type="dxa" w:w="4160"/>
          </w:tcPr>
          <w:p>
            <w:r>
              <w:t>Gruppo IMO che redige gli emendamenti al Codice IMSBC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III</w:t>
            </w:r>
          </w:p>
        </w:tc>
        <w:tc>
          <w:tcPr>
            <w:tcW w:type="dxa" w:w="3300"/>
          </w:tcPr>
          <w:p>
            <w:r>
              <w:t>Sub-Committee on Implementation of IMO Instruments</w:t>
            </w:r>
          </w:p>
        </w:tc>
        <w:tc>
          <w:tcPr>
            <w:tcW w:type="dxa" w:w="4160"/>
          </w:tcPr>
          <w:p>
            <w:r>
              <w:t>Sottocomitato IMO per l'attuazione delle norme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GBS</w:t>
            </w:r>
          </w:p>
        </w:tc>
        <w:tc>
          <w:tcPr>
            <w:tcW w:type="dxa" w:w="3300"/>
          </w:tcPr>
          <w:p>
            <w:r>
              <w:t>Goal-Based Standards</w:t>
            </w:r>
          </w:p>
        </w:tc>
        <w:tc>
          <w:tcPr>
            <w:tcW w:type="dxa" w:w="4160"/>
          </w:tcPr>
          <w:p>
            <w:r>
              <w:t>Standard di costruzione basati su obiettivi (SOLAS II-1/3-10)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SCF</w:t>
            </w:r>
          </w:p>
        </w:tc>
        <w:tc>
          <w:tcPr>
            <w:tcW w:type="dxa" w:w="3300"/>
          </w:tcPr>
          <w:p>
            <w:r>
              <w:t>Ship Construction File</w:t>
            </w:r>
          </w:p>
        </w:tc>
        <w:tc>
          <w:tcPr>
            <w:tcW w:type="dxa" w:w="4160"/>
          </w:tcPr>
          <w:p>
            <w:r>
              <w:t>Fascicolo di costruzione richiesto dalle GBS, tenuto a bordo e/o a terra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ESP</w:t>
            </w:r>
          </w:p>
        </w:tc>
        <w:tc>
          <w:tcPr>
            <w:tcW w:type="dxa" w:w="3300"/>
          </w:tcPr>
          <w:p>
            <w:r>
              <w:t>Enhanced Survey Programme</w:t>
            </w:r>
          </w:p>
        </w:tc>
        <w:tc>
          <w:tcPr>
            <w:tcW w:type="dxa" w:w="4160"/>
          </w:tcPr>
          <w:p>
            <w:r>
              <w:t>Programma di visite rafforzate (SOLAS XI-1/2, Codice ESP 2011)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RIT</w:t>
            </w:r>
          </w:p>
        </w:tc>
        <w:tc>
          <w:tcPr>
            <w:tcW w:type="dxa" w:w="3300"/>
          </w:tcPr>
          <w:p>
            <w:r>
              <w:t>Remote Inspection Techniques</w:t>
            </w:r>
          </w:p>
        </w:tc>
        <w:tc>
          <w:tcPr>
            <w:tcW w:type="dxa" w:w="4160"/>
          </w:tcPr>
          <w:p>
            <w:r>
              <w:t>Droni, robot, telecamere per le visite ravvicinate; nel Codice ESP dal 2028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PSPC</w:t>
            </w:r>
          </w:p>
        </w:tc>
        <w:tc>
          <w:tcPr>
            <w:tcW w:type="dxa" w:w="3300"/>
          </w:tcPr>
          <w:p>
            <w:r>
              <w:t>Performance Standard for Protective Coatings</w:t>
            </w:r>
          </w:p>
        </w:tc>
        <w:tc>
          <w:tcPr>
            <w:tcW w:type="dxa" w:w="4160"/>
          </w:tcPr>
          <w:p>
            <w:r>
              <w:t>Standard di pittura di zavorra e doppio fianco (SOLAS II-1/3-2)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VDR</w:t>
            </w:r>
          </w:p>
        </w:tc>
        <w:tc>
          <w:tcPr>
            <w:tcW w:type="dxa" w:w="3300"/>
          </w:tcPr>
          <w:p>
            <w:r>
              <w:t>Voyage Data Recorder</w:t>
            </w:r>
          </w:p>
        </w:tc>
        <w:tc>
          <w:tcPr>
            <w:tcW w:type="dxa" w:w="4160"/>
          </w:tcPr>
          <w:p>
            <w:r>
              <w:t>Registratore dei dati di viaggio; dal 2026 registra anche il rollio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SWL</w:t>
            </w:r>
          </w:p>
        </w:tc>
        <w:tc>
          <w:tcPr>
            <w:tcW w:type="dxa" w:w="3300"/>
          </w:tcPr>
          <w:p>
            <w:r>
              <w:t>Safe Working Load</w:t>
            </w:r>
          </w:p>
        </w:tc>
        <w:tc>
          <w:tcPr>
            <w:tcW w:type="dxa" w:w="4160"/>
          </w:tcPr>
          <w:p>
            <w:r>
              <w:t>Carico di lavoro sicuro di un apparecchio di sollevamento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SAFCON</w:t>
            </w:r>
          </w:p>
        </w:tc>
        <w:tc>
          <w:tcPr>
            <w:tcW w:type="dxa" w:w="3300"/>
          </w:tcPr>
          <w:p>
            <w:r>
              <w:t>Safety Construction Certificate</w:t>
            </w:r>
          </w:p>
        </w:tc>
        <w:tc>
          <w:tcPr>
            <w:tcW w:type="dxa" w:w="4160"/>
          </w:tcPr>
          <w:p>
            <w:r>
              <w:t>Certificato di sicurezza costruzioni; il rinnovo è la scadenza per II-1/3-13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LSA</w:t>
            </w:r>
          </w:p>
        </w:tc>
        <w:tc>
          <w:tcPr>
            <w:tcW w:type="dxa" w:w="3300"/>
          </w:tcPr>
          <w:p>
            <w:r>
              <w:t>Life-Saving Appliances Code</w:t>
            </w:r>
          </w:p>
        </w:tc>
        <w:tc>
          <w:tcPr>
            <w:tcW w:type="dxa" w:w="4160"/>
          </w:tcPr>
          <w:p>
            <w:r>
              <w:t>Codice dei mezzi di salvataggio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MHB</w:t>
            </w:r>
          </w:p>
        </w:tc>
        <w:tc>
          <w:tcPr>
            <w:tcW w:type="dxa" w:w="3300"/>
          </w:tcPr>
          <w:p>
            <w:r>
              <w:t>Materials Hazardous only in Bulk</w:t>
            </w:r>
          </w:p>
        </w:tc>
        <w:tc>
          <w:tcPr>
            <w:tcW w:type="dxa" w:w="4160"/>
          </w:tcPr>
          <w:p>
            <w:r>
              <w:t>Carichi pericolosi solo alla rinfusa (IMSBC, gruppo B)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DRI</w:t>
            </w:r>
          </w:p>
        </w:tc>
        <w:tc>
          <w:tcPr>
            <w:tcW w:type="dxa" w:w="3300"/>
          </w:tcPr>
          <w:p>
            <w:r>
              <w:t>Direct Reduced Iron</w:t>
            </w:r>
          </w:p>
        </w:tc>
        <w:tc>
          <w:tcPr>
            <w:tcW w:type="dxa" w:w="4160"/>
          </w:tcPr>
          <w:p>
            <w:r>
              <w:t>Ferro a riduzione diretta, carico IMSBC ad alto rischio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TML</w:t>
            </w:r>
          </w:p>
        </w:tc>
        <w:tc>
          <w:tcPr>
            <w:tcW w:type="dxa" w:w="3300"/>
          </w:tcPr>
          <w:p>
            <w:r>
              <w:t>Transportable Moisture Limit</w:t>
            </w:r>
          </w:p>
        </w:tc>
        <w:tc>
          <w:tcPr>
            <w:tcW w:type="dxa" w:w="4160"/>
          </w:tcPr>
          <w:p>
            <w:r>
              <w:t>Umidità massima trasportabile dei carichi di gruppo A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GISIS</w:t>
            </w:r>
          </w:p>
        </w:tc>
        <w:tc>
          <w:tcPr>
            <w:tcW w:type="dxa" w:w="3300"/>
          </w:tcPr>
          <w:p>
            <w:r>
              <w:t>Global Integrated Shipping Information System</w:t>
            </w:r>
          </w:p>
        </w:tc>
        <w:tc>
          <w:tcPr>
            <w:tcW w:type="dxa" w:w="4160"/>
          </w:tcPr>
          <w:p>
            <w:r>
              <w:t>Banca dati pubblica IMO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PFAS</w:t>
            </w:r>
          </w:p>
        </w:tc>
        <w:tc>
          <w:tcPr>
            <w:tcW w:type="dxa" w:w="3300"/>
          </w:tcPr>
          <w:p>
            <w:r>
              <w:t>Sostanze per- e polifluoroalchiliche</w:t>
            </w:r>
          </w:p>
        </w:tc>
        <w:tc>
          <w:tcPr>
            <w:tcW w:type="dxa" w:w="4160"/>
          </w:tcPr>
          <w:p>
            <w:r>
              <w:t>Inquinanti persistenti; suoli contaminati in esame per l'IMSBC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LFL / OEL</w:t>
            </w:r>
          </w:p>
        </w:tc>
        <w:tc>
          <w:tcPr>
            <w:tcW w:type="dxa" w:w="3300"/>
          </w:tcPr>
          <w:p>
            <w:r>
              <w:t>Lower Flammable Limit / Occupational Exposure Limit</w:t>
            </w:r>
          </w:p>
        </w:tc>
        <w:tc>
          <w:tcPr>
            <w:tcW w:type="dxa" w:w="4160"/>
          </w:tcPr>
          <w:p>
            <w:r>
              <w:t>Soglie per l'ingresso negli spazi chiusi (MSC.581(110))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PSC</w:t>
            </w:r>
          </w:p>
        </w:tc>
        <w:tc>
          <w:tcPr>
            <w:tcW w:type="dxa" w:w="3300"/>
          </w:tcPr>
          <w:p>
            <w:r>
              <w:t>Port State Control</w:t>
            </w:r>
          </w:p>
        </w:tc>
        <w:tc>
          <w:tcPr>
            <w:tcW w:type="dxa" w:w="4160"/>
          </w:tcPr>
          <w:p>
            <w:r>
              <w:t>Controllo dello Stato del porto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B</w:t>
            </w:r>
          </w:p>
        </w:tc>
        <w:tc>
          <w:tcPr>
            <w:tcW w:type="dxa" w:w="3300"/>
          </w:tcPr>
          <w:p>
            <w:r>
              <w:t>Breadth</w:t>
            </w:r>
          </w:p>
        </w:tc>
        <w:tc>
          <w:tcPr>
            <w:tcW w:type="dxa" w:w="4160"/>
          </w:tcPr>
          <w:p>
            <w:r>
              <w:t>Larghezza della nave secondo la Load Lines (XII/1.10); B/5 in XII/4.2 e 5.2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μ</w:t>
            </w:r>
          </w:p>
        </w:tc>
        <w:tc>
          <w:tcPr>
            <w:tcW w:type="dxa" w:w="3300"/>
          </w:tcPr>
          <w:p>
            <w:r>
              <w:t>Permeabilità</w:t>
            </w:r>
          </w:p>
        </w:tc>
        <w:tc>
          <w:tcPr>
            <w:tcW w:type="dxa" w:w="4160"/>
          </w:tcPr>
          <w:p>
            <w:r>
              <w:t>Frazione di volume occupabile dall'acqua: 0,9 stiva carica, 0,95 vuota (XII/4.4)</w:t>
            </w:r>
          </w:p>
        </w:tc>
      </w:tr>
    </w:tbl>
    <w:p/>
    <w:p>
      <w:pPr>
        <w:pStyle w:val="Heading2"/>
      </w:pPr>
      <w:r>
        <w:t>Unità di misura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900"/>
        <w:gridCol w:w="3300"/>
        <w:gridCol w:w="4160"/>
      </w:tblGrid>
      <w:tr>
        <w:trPr>
          <w:tblHeader/>
          <w:cantSplit/>
        </w:trPr>
        <w:tc>
          <w:tcPr>
            <w:tcW w:type="dxa" w:w="1900"/>
            <w:shd w:val="clear" w:color="auto" w:fill="F2F2F2"/>
          </w:tcPr>
          <w:p>
            <w:r>
              <w:rPr>
                <w:b/>
              </w:rPr>
              <w:t>Simbolo</w:t>
            </w:r>
          </w:p>
        </w:tc>
        <w:tc>
          <w:tcPr>
            <w:tcW w:type="dxa" w:w="3300"/>
            <w:shd w:val="clear" w:color="auto" w:fill="F2F2F2"/>
          </w:tcPr>
          <w:p>
            <w:r>
              <w:rPr>
                <w:b/>
              </w:rPr>
              <w:t>Nome</w:t>
            </w:r>
          </w:p>
        </w:tc>
        <w:tc>
          <w:tcPr>
            <w:tcW w:type="dxa" w:w="4160"/>
            <w:shd w:val="clear" w:color="auto" w:fill="F2F2F2"/>
          </w:tcPr>
          <w:p>
            <w:r>
              <w:rPr>
                <w:b/>
              </w:rPr>
              <w:t>Nota d'uso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t</w:t>
            </w:r>
          </w:p>
        </w:tc>
        <w:tc>
          <w:tcPr>
            <w:tcW w:type="dxa" w:w="3300"/>
          </w:tcPr>
          <w:p>
            <w:r>
              <w:t>tonnellata</w:t>
            </w:r>
          </w:p>
        </w:tc>
        <w:tc>
          <w:tcPr>
            <w:tcW w:type="dxa" w:w="4160"/>
          </w:tcPr>
          <w:p>
            <w:r>
              <w:t>Masse e sforzo di taglio (nei manuali anche kN)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t·m</w:t>
            </w:r>
          </w:p>
        </w:tc>
        <w:tc>
          <w:tcPr>
            <w:tcW w:type="dxa" w:w="3300"/>
          </w:tcPr>
          <w:p>
            <w:r>
              <w:t>tonnellata per metro</w:t>
            </w:r>
          </w:p>
        </w:tc>
        <w:tc>
          <w:tcPr>
            <w:tcW w:type="dxa" w:w="4160"/>
          </w:tcPr>
          <w:p>
            <w:r>
              <w:t>Momento flettente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kN·m</w:t>
            </w:r>
          </w:p>
        </w:tc>
        <w:tc>
          <w:tcPr>
            <w:tcW w:type="dxa" w:w="3300"/>
          </w:tcPr>
          <w:p>
            <w:r>
              <w:t>kilonewton per metro</w:t>
            </w:r>
          </w:p>
        </w:tc>
        <w:tc>
          <w:tcPr>
            <w:tcW w:type="dxa" w:w="4160"/>
          </w:tcPr>
          <w:p>
            <w:r>
              <w:t>Momento flettente nelle regole IACS (1 t·m ≈ 9,81 kN·m)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t/h</w:t>
            </w:r>
          </w:p>
        </w:tc>
        <w:tc>
          <w:tcPr>
            <w:tcW w:type="dxa" w:w="3300"/>
          </w:tcPr>
          <w:p>
            <w:r>
              <w:t>tonnellate all'ora</w:t>
            </w:r>
          </w:p>
        </w:tc>
        <w:tc>
          <w:tcPr>
            <w:tcW w:type="dxa" w:w="4160"/>
          </w:tcPr>
          <w:p>
            <w:r>
              <w:t>Ritmo di carico del terminale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kg/m³</w:t>
            </w:r>
          </w:p>
        </w:tc>
        <w:tc>
          <w:tcPr>
            <w:tcW w:type="dxa" w:w="3300"/>
          </w:tcPr>
          <w:p>
            <w:r>
              <w:t>chilogrammi al metro cubo</w:t>
            </w:r>
          </w:p>
        </w:tc>
        <w:tc>
          <w:tcPr>
            <w:tcW w:type="dxa" w:w="4160"/>
          </w:tcPr>
          <w:p>
            <w:r>
              <w:t>Densità del carico nella SOLAS (1 780 kg/m³ = 1,78 t/m³)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t/m</w:t>
            </w:r>
          </w:p>
        </w:tc>
        <w:tc>
          <w:tcPr>
            <w:tcW w:type="dxa" w:w="3300"/>
          </w:tcPr>
          <w:p>
            <w:r>
              <w:t>tonnellate al metro</w:t>
            </w:r>
          </w:p>
        </w:tc>
        <w:tc>
          <w:tcPr>
            <w:tcW w:type="dxa" w:w="4160"/>
          </w:tcPr>
          <w:p>
            <w:r>
              <w:t>Curve di peso, spinta e carico netto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t/m²</w:t>
            </w:r>
          </w:p>
        </w:tc>
        <w:tc>
          <w:tcPr>
            <w:tcW w:type="dxa" w:w="3300"/>
          </w:tcPr>
          <w:p>
            <w:r>
              <w:t>tonnellate al metro quadro</w:t>
            </w:r>
          </w:p>
        </w:tc>
        <w:tc>
          <w:tcPr>
            <w:tcW w:type="dxa" w:w="4160"/>
          </w:tcPr>
          <w:p>
            <w:r>
              <w:t>Carico su cielo del doppio fondo, ponte e coperchi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t/m³</w:t>
            </w:r>
          </w:p>
        </w:tc>
        <w:tc>
          <w:tcPr>
            <w:tcW w:type="dxa" w:w="3300"/>
          </w:tcPr>
          <w:p>
            <w:r>
              <w:t>tonnellate al metro cubo</w:t>
            </w:r>
          </w:p>
        </w:tc>
        <w:tc>
          <w:tcPr>
            <w:tcW w:type="dxa" w:w="4160"/>
          </w:tcPr>
          <w:p>
            <w:r>
              <w:t>Densità del carico (notazioni BC-A/B/C)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>N/mm²</w:t>
            </w:r>
          </w:p>
        </w:tc>
        <w:tc>
          <w:tcPr>
            <w:tcW w:type="dxa" w:w="3300"/>
          </w:tcPr>
          <w:p>
            <w:r>
              <w:t>newton al millimetro quadro</w:t>
            </w:r>
          </w:p>
        </w:tc>
        <w:tc>
          <w:tcPr>
            <w:tcW w:type="dxa" w:w="4160"/>
          </w:tcPr>
          <w:p>
            <w:r>
              <w:t>Tensione nell'acciaio</w:t>
            </w:r>
          </w:p>
        </w:tc>
      </w:tr>
    </w:tbl>
    <w:p/>
    <w:p>
      <w:r>
        <w:rPr>
          <w:b/>
        </w:rPr>
        <w:t xml:space="preserve">Avvertenza. </w:t>
      </w:r>
      <w:r>
        <w:t>I valori numerici degli esercizi sono esempi didattici. I testi SOLAS citati sono tratti dalla SOLAS consolidata 2017 (Comando Generale del Corpo delle Capitanerie di Porto) e sono © IMO; le novità successive al 2017 e le norme allo studio sono aggiornate a ottobre 2026 sulle fonti indicate nelle note. Fanno fede il Loading Manual approvato della nave e l'edizione vigente delle norme. Revisioni usate: IACS UR S1A Rev.6 (2010), S17 Rev.10 (2019), S21 Rev.6 (2023), S11 Rev.10 (2020), Rec. 46 Rev.2 (2020); CSR BC &amp; OT edizione 1 luglio 2025.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E6B73"/>
        <w:sz w:val="16"/>
      </w:rPr>
      <w:t>© 2026 ing. Pietro Lauro 6497A-GE. Quest'opera è distribuita con licenza CC BY-NC-SA 4.0 (https://creativecommons.org/licenses/by-nc-sa/4.0/deed.it).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2A3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2A3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