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Glossario di sigle e acronimi</w:t>
      </w:r>
    </w:p>
    <w:p>
      <w:pPr>
        <w:pStyle w:val="Heading2"/>
      </w:pPr>
      <w:r>
        <w:t>U.D. 2.1.7 — Conoscenza delle limitazioni operative e costruttive delle navi portarinfuse solide</w:t>
      </w:r>
    </w:p>
    <w:p>
      <w:r>
        <w:t>Accademia Italiana della Marina Mercantile · Corso Direttivo Coperta 63</w:t>
      </w:r>
    </w:p>
    <w:p>
      <w:r>
        <w:t>16 ottobre 2026</w:t>
      </w:r>
    </w:p>
    <w:p>
      <w:pPr>
        <w:pStyle w:val="Heading2"/>
      </w:pPr>
      <w:r>
        <w:t>Come si leggono i riferimenti normativi</w:t>
      </w:r>
    </w:p>
    <w:p>
      <w:r>
        <w:t>Le slide citano le regole con una notazione abbreviata. SOLAS XII/12 significa capitolo XII, regola 12; SOLAS II-1/3-10 significa capitolo II-1, regola 3-10. MSC.287(87) è la risoluzione n. 287 del comitato MSC, adottata alla sua 87ª sessione. Res. A.1049(27) è la risoluzione n. 1049 dell'Assemblea IMO, adottata alla 27ª sessione. I numeri romani dei capitoli (II, IX, XII) sono quelli di SOLAS.</w:t>
      </w:r>
    </w:p>
    <w:p>
      <w:pPr>
        <w:pStyle w:val="Heading2"/>
      </w:pPr>
      <w:r>
        <w:t>Enti e organizzazioni</w:t>
      </w:r>
    </w:p>
    <w:p>
      <w:r>
        <w:t>Chi scrive le regole e chi le fa applicare: l'IMO fissa le regole internazionali, le società di classifica (riunite nell'IACS) controllano che lo scafo le rispetti.</w:t>
      </w:r>
    </w:p>
    <w:tbl>
      <w:tblPr>
        <w:tblStyle w:val="TableGrid"/>
        <w:tblW w:type="auto" w:w="0"/>
        <w:tblLook w:firstColumn="1" w:firstRow="1" w:lastColumn="0" w:lastRow="0" w:noHBand="0" w:noVBand="1" w:val="04A0"/>
      </w:tblPr>
      <w:tblGrid>
        <w:gridCol w:w="3120"/>
        <w:gridCol w:w="3120"/>
        <w:gridCol w:w="3120"/>
      </w:tblGrid>
      <w:tr>
        <w:trPr>
          <w:tblHeader/>
        </w:trPr>
        <w:tc>
          <w:tcPr>
            <w:tcW w:type="dxa" w:w="1900"/>
            <w:shd w:val="clear" w:color="auto" w:fill="F2F2F2"/>
          </w:tcPr>
          <w:p>
            <w:r>
              <w:t>Sigla</w:t>
            </w:r>
          </w:p>
        </w:tc>
        <w:tc>
          <w:tcPr>
            <w:tcW w:type="dxa" w:w="3300"/>
            <w:shd w:val="clear" w:color="auto" w:fill="F2F2F2"/>
          </w:tcPr>
          <w:p>
            <w:r>
              <w:t>Nome esteso</w:t>
            </w:r>
          </w:p>
        </w:tc>
        <w:tc>
          <w:tcPr>
            <w:tcW w:type="dxa" w:w="4160"/>
            <w:shd w:val="clear" w:color="auto" w:fill="F2F2F2"/>
          </w:tcPr>
          <w:p>
            <w:r>
              <w:t>Che cosa è</w:t>
            </w:r>
          </w:p>
        </w:tc>
      </w:tr>
      <w:tr>
        <w:tc>
          <w:tcPr>
            <w:tcW w:type="dxa" w:w="1900"/>
          </w:tcPr>
          <w:p>
            <w:r>
              <w:t>IMO</w:t>
            </w:r>
          </w:p>
        </w:tc>
        <w:tc>
          <w:tcPr>
            <w:tcW w:type="dxa" w:w="3300"/>
          </w:tcPr>
          <w:p>
            <w:r>
              <w:t>International Maritime Organization</w:t>
            </w:r>
          </w:p>
        </w:tc>
        <w:tc>
          <w:tcPr>
            <w:tcW w:type="dxa" w:w="4160"/>
          </w:tcPr>
          <w:p>
            <w:r>
              <w:t>Agenzia ONU che emana le convenzioni marittime</w:t>
            </w:r>
          </w:p>
        </w:tc>
      </w:tr>
      <w:tr>
        <w:tc>
          <w:tcPr>
            <w:tcW w:type="dxa" w:w="1900"/>
          </w:tcPr>
          <w:p>
            <w:r>
              <w:t>MSC</w:t>
            </w:r>
          </w:p>
        </w:tc>
        <w:tc>
          <w:tcPr>
            <w:tcW w:type="dxa" w:w="3300"/>
          </w:tcPr>
          <w:p>
            <w:r>
              <w:t>Maritime Safety Committee</w:t>
            </w:r>
          </w:p>
        </w:tc>
        <w:tc>
          <w:tcPr>
            <w:tcW w:type="dxa" w:w="4160"/>
          </w:tcPr>
          <w:p>
            <w:r>
              <w:t>Comitato IMO per la sicurezza marittima: adotta le modifiche a SOLAS e le risoluzioni tecniche</w:t>
            </w:r>
          </w:p>
        </w:tc>
      </w:tr>
      <w:tr>
        <w:tc>
          <w:tcPr>
            <w:tcW w:type="dxa" w:w="1900"/>
          </w:tcPr>
          <w:p>
            <w:r>
              <w:t>IACS</w:t>
            </w:r>
          </w:p>
        </w:tc>
        <w:tc>
          <w:tcPr>
            <w:tcW w:type="dxa" w:w="3300"/>
          </w:tcPr>
          <w:p>
            <w:r>
              <w:t>International Association of Classification Societies</w:t>
            </w:r>
          </w:p>
        </w:tc>
        <w:tc>
          <w:tcPr>
            <w:tcW w:type="dxa" w:w="4160"/>
          </w:tcPr>
          <w:p>
            <w:r>
              <w:t>Associazione delle principali società di classifica; emana le CSR</w:t>
            </w:r>
          </w:p>
        </w:tc>
      </w:tr>
      <w:tr>
        <w:tc>
          <w:tcPr>
            <w:tcW w:type="dxa" w:w="1900"/>
          </w:tcPr>
          <w:p>
            <w:r>
              <w:t>RINA</w:t>
            </w:r>
          </w:p>
        </w:tc>
        <w:tc>
          <w:tcPr>
            <w:tcW w:type="dxa" w:w="3300"/>
          </w:tcPr>
          <w:p>
            <w:r>
              <w:t>Registro Italiano Navale</w:t>
            </w:r>
          </w:p>
        </w:tc>
        <w:tc>
          <w:tcPr>
            <w:tcW w:type="dxa" w:w="4160"/>
          </w:tcPr>
          <w:p>
            <w:r>
              <w:t>Società di classifica italiana, associata alla IACS</w:t>
            </w:r>
          </w:p>
        </w:tc>
      </w:tr>
      <w:tr>
        <w:tc>
          <w:tcPr>
            <w:tcW w:type="dxa" w:w="1900"/>
          </w:tcPr>
          <w:p>
            <w:r>
              <w:t>MAIB</w:t>
            </w:r>
          </w:p>
        </w:tc>
        <w:tc>
          <w:tcPr>
            <w:tcW w:type="dxa" w:w="3300"/>
          </w:tcPr>
          <w:p>
            <w:r>
              <w:t>Marine Accident Investigation Branch</w:t>
            </w:r>
          </w:p>
        </w:tc>
        <w:tc>
          <w:tcPr>
            <w:tcW w:type="dxa" w:w="4160"/>
          </w:tcPr>
          <w:p>
            <w:r>
              <w:t>Ente britannico di inchiesta sui sinistri marittimi; i suoi rapporti sono fonte per i casi di studio</w:t>
            </w:r>
          </w:p>
        </w:tc>
      </w:tr>
      <w:tr>
        <w:tc>
          <w:tcPr>
            <w:tcW w:type="dxa" w:w="1900"/>
          </w:tcPr>
          <w:p>
            <w:r>
              <w:t>D.D.</w:t>
            </w:r>
          </w:p>
        </w:tc>
        <w:tc>
          <w:tcPr>
            <w:tcW w:type="dxa" w:w="3300"/>
          </w:tcPr>
          <w:p>
            <w:r>
              <w:t>Decreto Direttoriale</w:t>
            </w:r>
          </w:p>
        </w:tc>
        <w:tc>
          <w:tcPr>
            <w:tcW w:type="dxa" w:w="4160"/>
          </w:tcPr>
          <w:p>
            <w:r>
              <w:t>Atto del Ministero (MIT) che fissa i programmi e le regole degli esami; qui D.D. 201/2024 e D.D. 76/2025</w:t>
            </w:r>
          </w:p>
        </w:tc>
      </w:tr>
      <w:tr>
        <w:tc>
          <w:tcPr>
            <w:tcW w:type="dxa" w:w="1900"/>
          </w:tcPr>
          <w:p>
            <w:r>
              <w:t>Ud</w:t>
            </w:r>
          </w:p>
        </w:tc>
        <w:tc>
          <w:tcPr>
            <w:tcW w:type="dxa" w:w="3300"/>
          </w:tcPr>
          <w:p>
            <w:r>
              <w:t>Unità didattica</w:t>
            </w:r>
          </w:p>
        </w:tc>
        <w:tc>
          <w:tcPr>
            <w:tcW w:type="dxa" w:w="4160"/>
          </w:tcPr>
          <w:p>
            <w:r>
              <w:t>Parte del programma di corso, numerata (qui 2.1.7)</w:t>
            </w:r>
          </w:p>
        </w:tc>
      </w:tr>
    </w:tbl>
    <w:p>
      <w:pPr>
        <w:pStyle w:val="Heading2"/>
      </w:pPr>
      <w:r>
        <w:t>Convenzioni, codici e regole</w:t>
      </w:r>
    </w:p>
    <w:p>
      <w:r>
        <w:t>Le tre voci del programma della 2.1.7 sono i limiti operativi e strutturali, il capitolo XII di SOLAS e le CSR. Le altre sigle di questa tabella sono richiami alle unità vicine.</w:t>
      </w:r>
    </w:p>
    <w:tbl>
      <w:tblPr>
        <w:tblStyle w:val="TableGrid"/>
        <w:tblW w:type="auto" w:w="0"/>
        <w:tblLook w:firstColumn="1" w:firstRow="1" w:lastColumn="0" w:lastRow="0" w:noHBand="0" w:noVBand="1" w:val="04A0"/>
      </w:tblPr>
      <w:tblGrid>
        <w:gridCol w:w="3120"/>
        <w:gridCol w:w="3120"/>
        <w:gridCol w:w="3120"/>
      </w:tblGrid>
      <w:tr>
        <w:trPr>
          <w:tblHeader/>
        </w:trPr>
        <w:tc>
          <w:tcPr>
            <w:tcW w:type="dxa" w:w="1900"/>
            <w:shd w:val="clear" w:color="auto" w:fill="F2F2F2"/>
          </w:tcPr>
          <w:p>
            <w:r>
              <w:t>Sigla</w:t>
            </w:r>
          </w:p>
        </w:tc>
        <w:tc>
          <w:tcPr>
            <w:tcW w:type="dxa" w:w="3300"/>
            <w:shd w:val="clear" w:color="auto" w:fill="F2F2F2"/>
          </w:tcPr>
          <w:p>
            <w:r>
              <w:t>Nome esteso</w:t>
            </w:r>
          </w:p>
        </w:tc>
        <w:tc>
          <w:tcPr>
            <w:tcW w:type="dxa" w:w="4160"/>
            <w:shd w:val="clear" w:color="auto" w:fill="F2F2F2"/>
          </w:tcPr>
          <w:p>
            <w:r>
              <w:t>Che cosa regola</w:t>
            </w:r>
          </w:p>
        </w:tc>
      </w:tr>
      <w:tr>
        <w:tc>
          <w:tcPr>
            <w:tcW w:type="dxa" w:w="1900"/>
          </w:tcPr>
          <w:p>
            <w:r>
              <w:t>SOLAS</w:t>
            </w:r>
          </w:p>
        </w:tc>
        <w:tc>
          <w:tcPr>
            <w:tcW w:type="dxa" w:w="3300"/>
          </w:tcPr>
          <w:p>
            <w:r>
              <w:t>International Convention for the Safety of Life at Sea</w:t>
            </w:r>
          </w:p>
        </w:tc>
        <w:tc>
          <w:tcPr>
            <w:tcW w:type="dxa" w:w="4160"/>
          </w:tcPr>
          <w:p>
            <w:r>
              <w:t>Sicurezza della nave. Il cap. XII contiene le misure aggiuntive per le portarinfuse; il cap. IX la gestione della sicurezza; il cap. II-1 la costruzione</w:t>
            </w:r>
          </w:p>
        </w:tc>
      </w:tr>
      <w:tr>
        <w:tc>
          <w:tcPr>
            <w:tcW w:type="dxa" w:w="1900"/>
          </w:tcPr>
          <w:p>
            <w:r>
              <w:t>ICLL</w:t>
            </w:r>
          </w:p>
        </w:tc>
        <w:tc>
          <w:tcPr>
            <w:tcW w:type="dxa" w:w="3300"/>
          </w:tcPr>
          <w:p>
            <w:r>
              <w:t>International Convention on Load Lines</w:t>
            </w:r>
          </w:p>
        </w:tc>
        <w:tc>
          <w:tcPr>
            <w:tcW w:type="dxa" w:w="4160"/>
          </w:tcPr>
          <w:p>
            <w:r>
              <w:t>Bordo libero e altezza minima delle mastre dei boccaporti</w:t>
            </w:r>
          </w:p>
        </w:tc>
      </w:tr>
      <w:tr>
        <w:tc>
          <w:tcPr>
            <w:tcW w:type="dxa" w:w="1900"/>
          </w:tcPr>
          <w:p>
            <w:r>
              <w:t>CSR</w:t>
            </w:r>
          </w:p>
        </w:tc>
        <w:tc>
          <w:tcPr>
            <w:tcW w:type="dxa" w:w="3300"/>
          </w:tcPr>
          <w:p>
            <w:r>
              <w:t>Common Structural Rules</w:t>
            </w:r>
          </w:p>
        </w:tc>
        <w:tc>
          <w:tcPr>
            <w:tcW w:type="dxa" w:w="4160"/>
          </w:tcPr>
          <w:p>
            <w:r>
              <w:t>Regole strutturali comuni delle società di classifica IACS: spessori, carichi di progetto e verifiche dello scafo</w:t>
            </w:r>
          </w:p>
        </w:tc>
      </w:tr>
      <w:tr>
        <w:tc>
          <w:tcPr>
            <w:tcW w:type="dxa" w:w="1900"/>
          </w:tcPr>
          <w:p>
            <w:r>
              <w:t>CSR-BC</w:t>
            </w:r>
          </w:p>
        </w:tc>
        <w:tc>
          <w:tcPr>
            <w:tcW w:type="dxa" w:w="3300"/>
          </w:tcPr>
          <w:p>
            <w:r>
              <w:t>Common Structural Rules for Bulk Carriers</w:t>
            </w:r>
          </w:p>
        </w:tc>
        <w:tc>
          <w:tcPr>
            <w:tcW w:type="dxa" w:w="4160"/>
          </w:tcPr>
          <w:p>
            <w:r>
              <w:t>Prime CSR, riservate alle portarinfuse</w:t>
            </w:r>
          </w:p>
        </w:tc>
      </w:tr>
      <w:tr>
        <w:tc>
          <w:tcPr>
            <w:tcW w:type="dxa" w:w="1900"/>
          </w:tcPr>
          <w:p>
            <w:r>
              <w:t>CSR-BC&amp;OT</w:t>
            </w:r>
          </w:p>
        </w:tc>
        <w:tc>
          <w:tcPr>
            <w:tcW w:type="dxa" w:w="3300"/>
          </w:tcPr>
          <w:p>
            <w:r>
              <w:t>Common Structural Rules for Bulk Carriers and Oil Tankers</w:t>
            </w:r>
          </w:p>
        </w:tc>
        <w:tc>
          <w:tcPr>
            <w:tcW w:type="dxa" w:w="4160"/>
          </w:tcPr>
          <w:p>
            <w:r>
              <w:t>Edizione armonizzata per portarinfuse e petroliere</w:t>
            </w:r>
          </w:p>
        </w:tc>
      </w:tr>
      <w:tr>
        <w:tc>
          <w:tcPr>
            <w:tcW w:type="dxa" w:w="1900"/>
          </w:tcPr>
          <w:p>
            <w:r>
              <w:t>BC</w:t>
            </w:r>
          </w:p>
        </w:tc>
        <w:tc>
          <w:tcPr>
            <w:tcW w:type="dxa" w:w="3300"/>
          </w:tcPr>
          <w:p>
            <w:r>
              <w:t>Bulk Carrier</w:t>
            </w:r>
          </w:p>
        </w:tc>
        <w:tc>
          <w:tcPr>
            <w:tcW w:type="dxa" w:w="4160"/>
          </w:tcPr>
          <w:p>
            <w:r>
              <w:t>Nave portarinfuse</w:t>
            </w:r>
          </w:p>
        </w:tc>
      </w:tr>
      <w:tr>
        <w:tc>
          <w:tcPr>
            <w:tcW w:type="dxa" w:w="1900"/>
          </w:tcPr>
          <w:p>
            <w:r>
              <w:t>OT</w:t>
            </w:r>
          </w:p>
        </w:tc>
        <w:tc>
          <w:tcPr>
            <w:tcW w:type="dxa" w:w="3300"/>
          </w:tcPr>
          <w:p>
            <w:r>
              <w:t>Oil Tanker</w:t>
            </w:r>
          </w:p>
        </w:tc>
        <w:tc>
          <w:tcPr>
            <w:tcW w:type="dxa" w:w="4160"/>
          </w:tcPr>
          <w:p>
            <w:r>
              <w:t>Petroliera</w:t>
            </w:r>
          </w:p>
        </w:tc>
      </w:tr>
      <w:tr>
        <w:tc>
          <w:tcPr>
            <w:tcW w:type="dxa" w:w="1900"/>
          </w:tcPr>
          <w:p>
            <w:r>
              <w:t>GBS</w:t>
            </w:r>
          </w:p>
        </w:tc>
        <w:tc>
          <w:tcPr>
            <w:tcW w:type="dxa" w:w="3300"/>
          </w:tcPr>
          <w:p>
            <w:r>
              <w:t>Goal-Based Standards</w:t>
            </w:r>
          </w:p>
        </w:tc>
        <w:tc>
          <w:tcPr>
            <w:tcW w:type="dxa" w:w="4160"/>
          </w:tcPr>
          <w:p>
            <w:r>
              <w:t>Norme IMO per cantieri e classi, basate su obiettivi; le CSR sono lo strumento con cui le classi le soddisfano</w:t>
            </w:r>
          </w:p>
        </w:tc>
      </w:tr>
      <w:tr>
        <w:tc>
          <w:tcPr>
            <w:tcW w:type="dxa" w:w="1900"/>
          </w:tcPr>
          <w:p>
            <w:r>
              <w:t>SCF</w:t>
            </w:r>
          </w:p>
        </w:tc>
        <w:tc>
          <w:tcPr>
            <w:tcW w:type="dxa" w:w="3300"/>
          </w:tcPr>
          <w:p>
            <w:r>
              <w:t>Ship Construction File</w:t>
            </w:r>
          </w:p>
        </w:tc>
        <w:tc>
          <w:tcPr>
            <w:tcW w:type="dxa" w:w="4160"/>
          </w:tcPr>
          <w:p>
            <w:r>
              <w:t>Fascicolo di costruzione previsto dalle GBS, tenuto a bordo</w:t>
            </w:r>
          </w:p>
        </w:tc>
      </w:tr>
      <w:tr>
        <w:tc>
          <w:tcPr>
            <w:tcW w:type="dxa" w:w="1900"/>
          </w:tcPr>
          <w:p>
            <w:r>
              <w:t>ESP</w:t>
            </w:r>
          </w:p>
        </w:tc>
        <w:tc>
          <w:tcPr>
            <w:tcW w:type="dxa" w:w="3300"/>
          </w:tcPr>
          <w:p>
            <w:r>
              <w:t>Enhanced Survey Programme</w:t>
            </w:r>
          </w:p>
        </w:tc>
        <w:tc>
          <w:tcPr>
            <w:tcW w:type="dxa" w:w="4160"/>
          </w:tcPr>
          <w:p>
            <w:r>
              <w:t>Programma di visite rafforzate per portarinfuse e petroliere (ESP Code)</w:t>
            </w:r>
          </w:p>
        </w:tc>
      </w:tr>
      <w:tr>
        <w:tc>
          <w:tcPr>
            <w:tcW w:type="dxa" w:w="1900"/>
          </w:tcPr>
          <w:p>
            <w:r>
              <w:t>ISM</w:t>
            </w:r>
          </w:p>
        </w:tc>
        <w:tc>
          <w:tcPr>
            <w:tcW w:type="dxa" w:w="3300"/>
          </w:tcPr>
          <w:p>
            <w:r>
              <w:t>International Safety Management Code</w:t>
            </w:r>
          </w:p>
        </w:tc>
        <w:tc>
          <w:tcPr>
            <w:tcW w:type="dxa" w:w="4160"/>
          </w:tcPr>
          <w:p>
            <w:r>
              <w:t>Sistema di gestione della sicurezza; il par. 5.2 sancisce autorità e responsabilità del Comandante</w:t>
            </w:r>
          </w:p>
        </w:tc>
      </w:tr>
      <w:tr>
        <w:tc>
          <w:tcPr>
            <w:tcW w:type="dxa" w:w="1900"/>
          </w:tcPr>
          <w:p>
            <w:r>
              <w:t>IMSBC</w:t>
            </w:r>
          </w:p>
        </w:tc>
        <w:tc>
          <w:tcPr>
            <w:tcW w:type="dxa" w:w="3300"/>
          </w:tcPr>
          <w:p>
            <w:r>
              <w:t>International Maritime Solid Bulk Cargoes Code</w:t>
            </w:r>
          </w:p>
        </w:tc>
        <w:tc>
          <w:tcPr>
            <w:tcW w:type="dxa" w:w="4160"/>
          </w:tcPr>
          <w:p>
            <w:r>
              <w:t>Schede dei carichi solidi alla rinfusa; approfondito nella Ud 2.1.9</w:t>
            </w:r>
          </w:p>
        </w:tc>
      </w:tr>
      <w:tr>
        <w:tc>
          <w:tcPr>
            <w:tcW w:type="dxa" w:w="1900"/>
          </w:tcPr>
          <w:p>
            <w:r>
              <w:t>IMDG</w:t>
            </w:r>
          </w:p>
        </w:tc>
        <w:tc>
          <w:tcPr>
            <w:tcW w:type="dxa" w:w="3300"/>
          </w:tcPr>
          <w:p>
            <w:r>
              <w:t>International Maritime Dangerous Goods Code</w:t>
            </w:r>
          </w:p>
        </w:tc>
        <w:tc>
          <w:tcPr>
            <w:tcW w:type="dxa" w:w="4160"/>
          </w:tcPr>
          <w:p>
            <w:r>
              <w:t>Merci pericolose in colli; approfondito nella Ud 2.1.9</w:t>
            </w:r>
          </w:p>
        </w:tc>
      </w:tr>
      <w:tr>
        <w:tc>
          <w:tcPr>
            <w:tcW w:type="dxa" w:w="1900"/>
          </w:tcPr>
          <w:p>
            <w:r>
              <w:t>BLU</w:t>
            </w:r>
          </w:p>
        </w:tc>
        <w:tc>
          <w:tcPr>
            <w:tcW w:type="dxa" w:w="3300"/>
          </w:tcPr>
          <w:p>
            <w:r>
              <w:t>Bulk Loading and Unloading (BLU Code)</w:t>
            </w:r>
          </w:p>
        </w:tc>
        <w:tc>
          <w:tcPr>
            <w:tcW w:type="dxa" w:w="4160"/>
          </w:tcPr>
          <w:p>
            <w:r>
              <w:t>Codice per carico e scarico sicuro delle portarinfuse; approfondito nella Ud 2.1.8</w:t>
            </w:r>
          </w:p>
        </w:tc>
      </w:tr>
      <w:tr>
        <w:tc>
          <w:tcPr>
            <w:tcW w:type="dxa" w:w="1900"/>
          </w:tcPr>
          <w:p>
            <w:r>
              <w:t>ADB</w:t>
            </w:r>
          </w:p>
        </w:tc>
        <w:tc>
          <w:tcPr>
            <w:tcW w:type="dxa" w:w="3300"/>
          </w:tcPr>
          <w:p>
            <w:r>
              <w:t>Apparecchiatura automatica raccolta dati</w:t>
            </w:r>
          </w:p>
        </w:tc>
        <w:tc>
          <w:tcPr>
            <w:tcW w:type="dxa" w:w="4160"/>
          </w:tcPr>
          <w:p>
            <w:r>
              <w:t>Il calcolatore di carico che registra e controlla i dati di carico (voce del programma)</w:t>
            </w:r>
          </w:p>
        </w:tc>
      </w:tr>
    </w:tbl>
    <w:p>
      <w:pPr>
        <w:pStyle w:val="Heading2"/>
      </w:pPr>
      <w:r>
        <w:t>Tipi di nave</w:t>
      </w:r>
    </w:p>
    <w:p>
      <w:r>
        <w:t>Le taglie sono ordini di grandezza e variano secondo la fonte.</w:t>
      </w:r>
    </w:p>
    <w:tbl>
      <w:tblPr>
        <w:tblStyle w:val="TableGrid"/>
        <w:tblW w:type="auto" w:w="0"/>
        <w:tblLook w:firstColumn="1" w:firstRow="1" w:lastColumn="0" w:lastRow="0" w:noHBand="0" w:noVBand="1" w:val="04A0"/>
      </w:tblPr>
      <w:tblGrid>
        <w:gridCol w:w="3120"/>
        <w:gridCol w:w="3120"/>
        <w:gridCol w:w="3120"/>
      </w:tblGrid>
      <w:tr>
        <w:trPr>
          <w:tblHeader/>
        </w:trPr>
        <w:tc>
          <w:tcPr>
            <w:tcW w:type="dxa" w:w="1900"/>
            <w:shd w:val="clear" w:color="auto" w:fill="F2F2F2"/>
          </w:tcPr>
          <w:p>
            <w:r>
              <w:t>Termine</w:t>
            </w:r>
          </w:p>
        </w:tc>
        <w:tc>
          <w:tcPr>
            <w:tcW w:type="dxa" w:w="3300"/>
            <w:shd w:val="clear" w:color="auto" w:fill="F2F2F2"/>
          </w:tcPr>
          <w:p>
            <w:r>
              <w:t>Nome esteso</w:t>
            </w:r>
          </w:p>
        </w:tc>
        <w:tc>
          <w:tcPr>
            <w:tcW w:type="dxa" w:w="4160"/>
            <w:shd w:val="clear" w:color="auto" w:fill="F2F2F2"/>
          </w:tcPr>
          <w:p>
            <w:r>
              <w:t>Significato</w:t>
            </w:r>
          </w:p>
        </w:tc>
      </w:tr>
      <w:tr>
        <w:tc>
          <w:tcPr>
            <w:tcW w:type="dxa" w:w="1900"/>
          </w:tcPr>
          <w:p>
            <w:r>
              <w:t>Handysize</w:t>
            </w:r>
          </w:p>
        </w:tc>
        <w:tc>
          <w:tcPr>
            <w:tcW w:type="dxa" w:w="3300"/>
          </w:tcPr>
          <w:p>
            <w:r>
              <w:t>Handysize</w:t>
            </w:r>
          </w:p>
        </w:tc>
        <w:tc>
          <w:tcPr>
            <w:tcW w:type="dxa" w:w="4160"/>
          </w:tcPr>
          <w:p>
            <w:r>
              <w:t>Portarinfuse piccola, fino a circa 35 000 t di portata</w:t>
            </w:r>
          </w:p>
        </w:tc>
      </w:tr>
      <w:tr>
        <w:tc>
          <w:tcPr>
            <w:tcW w:type="dxa" w:w="1900"/>
          </w:tcPr>
          <w:p>
            <w:r>
              <w:t>Handymax / Supramax</w:t>
            </w:r>
          </w:p>
        </w:tc>
        <w:tc>
          <w:tcPr>
            <w:tcW w:type="dxa" w:w="3300"/>
          </w:tcPr>
          <w:p>
            <w:r>
              <w:t>Handymax / Supramax</w:t>
            </w:r>
          </w:p>
        </w:tc>
        <w:tc>
          <w:tcPr>
            <w:tcW w:type="dxa" w:w="4160"/>
          </w:tcPr>
          <w:p>
            <w:r>
              <w:t>Circa 35–60 000 t, spesso con gru di bordo</w:t>
            </w:r>
          </w:p>
        </w:tc>
      </w:tr>
      <w:tr>
        <w:tc>
          <w:tcPr>
            <w:tcW w:type="dxa" w:w="1900"/>
          </w:tcPr>
          <w:p>
            <w:r>
              <w:t>Panamax</w:t>
            </w:r>
          </w:p>
        </w:tc>
        <w:tc>
          <w:tcPr>
            <w:tcW w:type="dxa" w:w="3300"/>
          </w:tcPr>
          <w:p>
            <w:r>
              <w:t>Panamax</w:t>
            </w:r>
          </w:p>
        </w:tc>
        <w:tc>
          <w:tcPr>
            <w:tcW w:type="dxa" w:w="4160"/>
          </w:tcPr>
          <w:p>
            <w:r>
              <w:t>Circa 65–80 000 t; prende il nome dalle chiuse del canale di Panama</w:t>
            </w:r>
          </w:p>
        </w:tc>
      </w:tr>
      <w:tr>
        <w:tc>
          <w:tcPr>
            <w:tcW w:type="dxa" w:w="1900"/>
          </w:tcPr>
          <w:p>
            <w:r>
              <w:t>Capesize</w:t>
            </w:r>
          </w:p>
        </w:tc>
        <w:tc>
          <w:tcPr>
            <w:tcW w:type="dxa" w:w="3300"/>
          </w:tcPr>
          <w:p>
            <w:r>
              <w:t>Capesize</w:t>
            </w:r>
          </w:p>
        </w:tc>
        <w:tc>
          <w:tcPr>
            <w:tcW w:type="dxa" w:w="4160"/>
          </w:tcPr>
          <w:p>
            <w:r>
              <w:t>Oltre 100 000 t, troppo larga per Panama</w:t>
            </w:r>
          </w:p>
        </w:tc>
      </w:tr>
      <w:tr>
        <w:tc>
          <w:tcPr>
            <w:tcW w:type="dxa" w:w="1900"/>
          </w:tcPr>
          <w:p>
            <w:r>
              <w:t>VLOC</w:t>
            </w:r>
          </w:p>
        </w:tc>
        <w:tc>
          <w:tcPr>
            <w:tcW w:type="dxa" w:w="3300"/>
          </w:tcPr>
          <w:p>
            <w:r>
              <w:t>Very Large Ore Carrier</w:t>
            </w:r>
          </w:p>
        </w:tc>
        <w:tc>
          <w:tcPr>
            <w:tcW w:type="dxa" w:w="4160"/>
          </w:tcPr>
          <w:p>
            <w:r>
              <w:t>Portaminerali oltre 200 000 t</w:t>
            </w:r>
          </w:p>
        </w:tc>
      </w:tr>
      <w:tr>
        <w:tc>
          <w:tcPr>
            <w:tcW w:type="dxa" w:w="1900"/>
          </w:tcPr>
          <w:p>
            <w:r>
              <w:t>OBO</w:t>
            </w:r>
          </w:p>
        </w:tc>
        <w:tc>
          <w:tcPr>
            <w:tcW w:type="dxa" w:w="3300"/>
          </w:tcPr>
          <w:p>
            <w:r>
              <w:t>Ore / Bulk / Oil</w:t>
            </w:r>
          </w:p>
        </w:tc>
        <w:tc>
          <w:tcPr>
            <w:tcW w:type="dxa" w:w="4160"/>
          </w:tcPr>
          <w:p>
            <w:r>
              <w:t>Nave combinata: carico solido o liquido</w:t>
            </w:r>
          </w:p>
        </w:tc>
      </w:tr>
      <w:tr>
        <w:tc>
          <w:tcPr>
            <w:tcW w:type="dxa" w:w="1900"/>
          </w:tcPr>
          <w:p>
            <w:r>
              <w:t>Geared / Gearless</w:t>
            </w:r>
          </w:p>
        </w:tc>
        <w:tc>
          <w:tcPr>
            <w:tcW w:type="dxa" w:w="3300"/>
          </w:tcPr>
          <w:p>
            <w:r>
              <w:t>con gru / senza gru</w:t>
            </w:r>
          </w:p>
        </w:tc>
        <w:tc>
          <w:tcPr>
            <w:tcW w:type="dxa" w:w="4160"/>
          </w:tcPr>
          <w:p>
            <w:r>
              <w:t>Dotazione di gru di bordo o assenza</w:t>
            </w:r>
          </w:p>
        </w:tc>
      </w:tr>
      <w:tr>
        <w:tc>
          <w:tcPr>
            <w:tcW w:type="dxa" w:w="1900"/>
          </w:tcPr>
          <w:p>
            <w:r>
              <w:t>Self-unloader</w:t>
            </w:r>
          </w:p>
        </w:tc>
        <w:tc>
          <w:tcPr>
            <w:tcW w:type="dxa" w:w="3300"/>
          </w:tcPr>
          <w:p>
            <w:r>
              <w:t>autoscaricante</w:t>
            </w:r>
          </w:p>
        </w:tc>
        <w:tc>
          <w:tcPr>
            <w:tcW w:type="dxa" w:w="4160"/>
          </w:tcPr>
          <w:p>
            <w:r>
              <w:t>Nave con nastri di bordo per scaricare da sola</w:t>
            </w:r>
          </w:p>
        </w:tc>
      </w:tr>
    </w:tbl>
    <w:p>
      <w:pPr>
        <w:pStyle w:val="Heading2"/>
      </w:pPr>
      <w:r>
        <w:t>Struttura e sforzi</w:t>
      </w:r>
    </w:p>
    <w:p>
      <w:r>
        <w:t>Attenzione a due sigle simili: FS (fattore di stivaggio) riguarda il carico e il suo volume; SF (sforzo di taglio) riguarda lo scafo. Non vanno confuse.</w:t>
      </w:r>
    </w:p>
    <w:tbl>
      <w:tblPr>
        <w:tblStyle w:val="TableGrid"/>
        <w:tblW w:type="auto" w:w="0"/>
        <w:tblLook w:firstColumn="1" w:firstRow="1" w:lastColumn="0" w:lastRow="0" w:noHBand="0" w:noVBand="1" w:val="04A0"/>
      </w:tblPr>
      <w:tblGrid>
        <w:gridCol w:w="3120"/>
        <w:gridCol w:w="3120"/>
        <w:gridCol w:w="3120"/>
      </w:tblGrid>
      <w:tr>
        <w:trPr>
          <w:tblHeader/>
        </w:trPr>
        <w:tc>
          <w:tcPr>
            <w:tcW w:type="dxa" w:w="1900"/>
            <w:shd w:val="clear" w:color="auto" w:fill="F2F2F2"/>
          </w:tcPr>
          <w:p>
            <w:r>
              <w:t>Sigla</w:t>
            </w:r>
          </w:p>
        </w:tc>
        <w:tc>
          <w:tcPr>
            <w:tcW w:type="dxa" w:w="3300"/>
            <w:shd w:val="clear" w:color="auto" w:fill="F2F2F2"/>
          </w:tcPr>
          <w:p>
            <w:r>
              <w:t>Nome esteso</w:t>
            </w:r>
          </w:p>
        </w:tc>
        <w:tc>
          <w:tcPr>
            <w:tcW w:type="dxa" w:w="4160"/>
            <w:shd w:val="clear" w:color="auto" w:fill="F2F2F2"/>
          </w:tcPr>
          <w:p>
            <w:r>
              <w:t>Significato</w:t>
            </w:r>
          </w:p>
        </w:tc>
      </w:tr>
      <w:tr>
        <w:tc>
          <w:tcPr>
            <w:tcW w:type="dxa" w:w="1900"/>
          </w:tcPr>
          <w:p>
            <w:r>
              <w:t>FS</w:t>
            </w:r>
          </w:p>
        </w:tc>
        <w:tc>
          <w:tcPr>
            <w:tcW w:type="dxa" w:w="3300"/>
          </w:tcPr>
          <w:p>
            <w:r>
              <w:t>Stowage Factor (fattore di stivaggio)</w:t>
            </w:r>
          </w:p>
        </w:tc>
        <w:tc>
          <w:tcPr>
            <w:tcW w:type="dxa" w:w="4160"/>
          </w:tcPr>
          <w:p>
            <w:r>
              <w:t>Volume occupato da una tonnellata di carico, in m³/t. Basso nei carichi densi, alto in quelli leggeri</w:t>
            </w:r>
          </w:p>
        </w:tc>
      </w:tr>
      <w:tr>
        <w:tc>
          <w:tcPr>
            <w:tcW w:type="dxa" w:w="1900"/>
          </w:tcPr>
          <w:p>
            <w:r>
              <w:t>SF</w:t>
            </w:r>
          </w:p>
        </w:tc>
        <w:tc>
          <w:tcPr>
            <w:tcW w:type="dxa" w:w="3300"/>
          </w:tcPr>
          <w:p>
            <w:r>
              <w:t>Shear Force (sforzo di taglio)</w:t>
            </w:r>
          </w:p>
        </w:tc>
        <w:tc>
          <w:tcPr>
            <w:tcW w:type="dxa" w:w="4160"/>
          </w:tcPr>
          <w:p>
            <w:r>
              <w:t>Forza che tende a far scorrere due sezioni dello scafo una rispetto all'altra</w:t>
            </w:r>
          </w:p>
        </w:tc>
      </w:tr>
      <w:tr>
        <w:tc>
          <w:tcPr>
            <w:tcW w:type="dxa" w:w="1900"/>
          </w:tcPr>
          <w:p>
            <w:r>
              <w:t>BM</w:t>
            </w:r>
          </w:p>
        </w:tc>
        <w:tc>
          <w:tcPr>
            <w:tcW w:type="dxa" w:w="3300"/>
          </w:tcPr>
          <w:p>
            <w:r>
              <w:t>Bending Moment (momento flettente)</w:t>
            </w:r>
          </w:p>
        </w:tc>
        <w:tc>
          <w:tcPr>
            <w:tcW w:type="dxa" w:w="4160"/>
          </w:tcPr>
          <w:p>
            <w:r>
              <w:t>Momento che flette lo scafo come una trave</w:t>
            </w:r>
          </w:p>
        </w:tc>
      </w:tr>
      <w:tr>
        <w:tc>
          <w:tcPr>
            <w:tcW w:type="dxa" w:w="1900"/>
          </w:tcPr>
          <w:p>
            <w:r>
              <w:t>GM</w:t>
            </w:r>
          </w:p>
        </w:tc>
        <w:tc>
          <w:tcPr>
            <w:tcW w:type="dxa" w:w="3300"/>
          </w:tcPr>
          <w:p>
            <w:r>
              <w:t>Metacentric height (altezza metacentrica)</w:t>
            </w:r>
          </w:p>
        </w:tc>
        <w:tc>
          <w:tcPr>
            <w:tcW w:type="dxa" w:w="4160"/>
          </w:tcPr>
          <w:p>
            <w:r>
              <w:t>Misura della stabilità iniziale: più è alta, più la nave è dura e rolla in fretta</w:t>
            </w:r>
          </w:p>
        </w:tc>
      </w:tr>
      <w:tr>
        <w:tc>
          <w:tcPr>
            <w:tcW w:type="dxa" w:w="1900"/>
          </w:tcPr>
          <w:p>
            <w:r>
              <w:t>FEM</w:t>
            </w:r>
          </w:p>
        </w:tc>
        <w:tc>
          <w:tcPr>
            <w:tcW w:type="dxa" w:w="3300"/>
          </w:tcPr>
          <w:p>
            <w:r>
              <w:t>Finite Element Method</w:t>
            </w:r>
          </w:p>
        </w:tc>
        <w:tc>
          <w:tcPr>
            <w:tcW w:type="dxa" w:w="4160"/>
          </w:tcPr>
          <w:p>
            <w:r>
              <w:t>Metodo di calcolo che divide la struttura in piccoli elementi; le CSR lo richiedono per una stiva di carico</w:t>
            </w:r>
          </w:p>
        </w:tc>
      </w:tr>
      <w:tr>
        <w:tc>
          <w:tcPr>
            <w:tcW w:type="dxa" w:w="1900"/>
          </w:tcPr>
          <w:p>
            <w:r>
              <w:t>UKC</w:t>
            </w:r>
          </w:p>
        </w:tc>
        <w:tc>
          <w:tcPr>
            <w:tcW w:type="dxa" w:w="3300"/>
          </w:tcPr>
          <w:p>
            <w:r>
              <w:t>Under Keel Clearance</w:t>
            </w:r>
          </w:p>
        </w:tc>
        <w:tc>
          <w:tcPr>
            <w:tcW w:type="dxa" w:w="4160"/>
          </w:tcPr>
          <w:p>
            <w:r>
              <w:t>Acqua disponibile sotto la chiglia</w:t>
            </w:r>
          </w:p>
        </w:tc>
      </w:tr>
    </w:tbl>
    <w:p>
      <w:r>
        <w:t>Termini collegati che compaiono nelle slide: hopper (cisterna a tramoggia, in basso ai lati della stiva), top-side (cisterna alta, sotto il ponte), tank top (piano di carico, cioè il fondo della stiva sopra il doppio fondo), mastra (bordo rialzato del boccaporto), sagging (centro nave basso), hogging (centro nave alto), slamming (colpo del mare sotto la prora), squat (abbassamento della nave in moto), air draft (altezza della nave sopra l'acqua), deballast (scarico della zavorra), spessore netto (spessore minimo richiesto dai calcoli) e net scantling (nome inglese dello stesso approccio), margine di corrosione (spessore aggiunto per l'usura), block hold (carico concentrato in un gruppo di stive), buckling (instabilità elastica di un pannello compresso).</w:t>
      </w:r>
    </w:p>
    <w:p>
      <w:pPr>
        <w:pStyle w:val="Heading2"/>
      </w:pPr>
      <w:r>
        <w:t>Documenti di bordo</w:t>
      </w:r>
    </w:p>
    <w:p>
      <w:r>
        <w:t>Il Loading Manual è il documento che dice quanto si può caricare; il Loading Instrument è lo strumento che lo verifica a ogni passo.</w:t>
      </w:r>
    </w:p>
    <w:tbl>
      <w:tblPr>
        <w:tblStyle w:val="TableGrid"/>
        <w:tblW w:type="auto" w:w="0"/>
        <w:tblLook w:firstColumn="1" w:firstRow="1" w:lastColumn="0" w:lastRow="0" w:noHBand="0" w:noVBand="1" w:val="04A0"/>
      </w:tblPr>
      <w:tblGrid>
        <w:gridCol w:w="3120"/>
        <w:gridCol w:w="3120"/>
        <w:gridCol w:w="3120"/>
      </w:tblGrid>
      <w:tr>
        <w:trPr>
          <w:tblHeader/>
        </w:trPr>
        <w:tc>
          <w:tcPr>
            <w:tcW w:type="dxa" w:w="1900"/>
            <w:shd w:val="clear" w:color="auto" w:fill="F2F2F2"/>
          </w:tcPr>
          <w:p>
            <w:r>
              <w:t>Termine</w:t>
            </w:r>
          </w:p>
        </w:tc>
        <w:tc>
          <w:tcPr>
            <w:tcW w:type="dxa" w:w="3300"/>
            <w:shd w:val="clear" w:color="auto" w:fill="F2F2F2"/>
          </w:tcPr>
          <w:p>
            <w:r>
              <w:t>Nome esteso</w:t>
            </w:r>
          </w:p>
        </w:tc>
        <w:tc>
          <w:tcPr>
            <w:tcW w:type="dxa" w:w="4160"/>
            <w:shd w:val="clear" w:color="auto" w:fill="F2F2F2"/>
          </w:tcPr>
          <w:p>
            <w:r>
              <w:t>A che cosa serve</w:t>
            </w:r>
          </w:p>
        </w:tc>
      </w:tr>
      <w:tr>
        <w:tc>
          <w:tcPr>
            <w:tcW w:type="dxa" w:w="1900"/>
          </w:tcPr>
          <w:p>
            <w:r>
              <w:t>Loading Manual</w:t>
            </w:r>
          </w:p>
        </w:tc>
        <w:tc>
          <w:tcPr>
            <w:tcW w:type="dxa" w:w="3300"/>
          </w:tcPr>
          <w:p>
            <w:r>
              <w:t>Manuale di carico</w:t>
            </w:r>
          </w:p>
        </w:tc>
        <w:tc>
          <w:tcPr>
            <w:tcW w:type="dxa" w:w="4160"/>
          </w:tcPr>
          <w:p>
            <w:r>
              <w:t>Condizioni di carico approvate dalla classe e limiti per stiva; è specifico della nave</w:t>
            </w:r>
          </w:p>
        </w:tc>
      </w:tr>
      <w:tr>
        <w:tc>
          <w:tcPr>
            <w:tcW w:type="dxa" w:w="1900"/>
          </w:tcPr>
          <w:p>
            <w:r>
              <w:t>Loading Instrument</w:t>
            </w:r>
          </w:p>
        </w:tc>
        <w:tc>
          <w:tcPr>
            <w:tcW w:type="dxa" w:w="3300"/>
          </w:tcPr>
          <w:p>
            <w:r>
              <w:t>Strumento di carico</w:t>
            </w:r>
          </w:p>
        </w:tc>
        <w:tc>
          <w:tcPr>
            <w:tcW w:type="dxa" w:w="4160"/>
          </w:tcPr>
          <w:p>
            <w:r>
              <w:t>Calcolatore di bordo approvato che verifica SF, BM, assetto e stabilità (SOLAS XII/11)</w:t>
            </w:r>
          </w:p>
        </w:tc>
      </w:tr>
      <w:tr>
        <w:tc>
          <w:tcPr>
            <w:tcW w:type="dxa" w:w="1900"/>
          </w:tcPr>
          <w:p>
            <w:r>
              <w:t>Ship/shore checklist</w:t>
            </w:r>
          </w:p>
        </w:tc>
        <w:tc>
          <w:tcPr>
            <w:tcW w:type="dxa" w:w="3300"/>
          </w:tcPr>
          <w:p>
            <w:r>
              <w:t>Lista di controllo nave–terminale</w:t>
            </w:r>
          </w:p>
        </w:tc>
        <w:tc>
          <w:tcPr>
            <w:tcW w:type="dxa" w:w="4160"/>
          </w:tcPr>
          <w:p>
            <w:r>
              <w:t>Controlli concordati prima del carico</w:t>
            </w:r>
          </w:p>
        </w:tc>
      </w:tr>
    </w:tbl>
    <w:p>
      <w:pPr>
        <w:pStyle w:val="Heading2"/>
      </w:pPr>
      <w:r>
        <w:t>Unità di misura</w:t>
      </w:r>
    </w:p>
    <w:tbl>
      <w:tblPr>
        <w:tblStyle w:val="TableGrid"/>
        <w:tblW w:type="auto" w:w="0"/>
        <w:tblLook w:firstColumn="1" w:firstRow="1" w:lastColumn="0" w:lastRow="0" w:noHBand="0" w:noVBand="1" w:val="04A0"/>
      </w:tblPr>
      <w:tblGrid>
        <w:gridCol w:w="3120"/>
        <w:gridCol w:w="3120"/>
        <w:gridCol w:w="3120"/>
      </w:tblGrid>
      <w:tr>
        <w:trPr>
          <w:tblHeader/>
        </w:trPr>
        <w:tc>
          <w:tcPr>
            <w:tcW w:type="dxa" w:w="1900"/>
            <w:shd w:val="clear" w:color="auto" w:fill="F2F2F2"/>
          </w:tcPr>
          <w:p>
            <w:r>
              <w:t>Simbolo</w:t>
            </w:r>
          </w:p>
        </w:tc>
        <w:tc>
          <w:tcPr>
            <w:tcW w:type="dxa" w:w="3300"/>
            <w:shd w:val="clear" w:color="auto" w:fill="F2F2F2"/>
          </w:tcPr>
          <w:p>
            <w:r>
              <w:t>Nome</w:t>
            </w:r>
          </w:p>
        </w:tc>
        <w:tc>
          <w:tcPr>
            <w:tcW w:type="dxa" w:w="4160"/>
            <w:shd w:val="clear" w:color="auto" w:fill="F2F2F2"/>
          </w:tcPr>
          <w:p>
            <w:r>
              <w:t>Nota d'uso</w:t>
            </w:r>
          </w:p>
        </w:tc>
      </w:tr>
      <w:tr>
        <w:tc>
          <w:tcPr>
            <w:tcW w:type="dxa" w:w="1900"/>
          </w:tcPr>
          <w:p>
            <w:r>
              <w:t>t</w:t>
            </w:r>
          </w:p>
        </w:tc>
        <w:tc>
          <w:tcPr>
            <w:tcW w:type="dxa" w:w="3300"/>
          </w:tcPr>
          <w:p>
            <w:r>
              <w:t>tonnellata</w:t>
            </w:r>
          </w:p>
        </w:tc>
        <w:tc>
          <w:tcPr>
            <w:tcW w:type="dxa" w:w="4160"/>
          </w:tcPr>
          <w:p>
            <w:r>
              <w:t>Massa; portata e carichi</w:t>
            </w:r>
          </w:p>
        </w:tc>
      </w:tr>
      <w:tr>
        <w:tc>
          <w:tcPr>
            <w:tcW w:type="dxa" w:w="1900"/>
          </w:tcPr>
          <w:p>
            <w:r>
              <w:t>kg/m³</w:t>
            </w:r>
          </w:p>
        </w:tc>
        <w:tc>
          <w:tcPr>
            <w:tcW w:type="dxa" w:w="3300"/>
          </w:tcPr>
          <w:p>
            <w:r>
              <w:t>chilogrammi al metro cubo</w:t>
            </w:r>
          </w:p>
        </w:tc>
        <w:tc>
          <w:tcPr>
            <w:tcW w:type="dxa" w:w="4160"/>
          </w:tcPr>
          <w:p>
            <w:r>
              <w:t>Densità del carico; la soglia di dichiarazione in SOLAS XII/10 è 1 780 kg/m³</w:t>
            </w:r>
          </w:p>
        </w:tc>
      </w:tr>
      <w:tr>
        <w:tc>
          <w:tcPr>
            <w:tcW w:type="dxa" w:w="1900"/>
          </w:tcPr>
          <w:p>
            <w:r>
              <w:t>m³/t</w:t>
            </w:r>
          </w:p>
        </w:tc>
        <w:tc>
          <w:tcPr>
            <w:tcW w:type="dxa" w:w="3300"/>
          </w:tcPr>
          <w:p>
            <w:r>
              <w:t>metri cubi per tonnellata</w:t>
            </w:r>
          </w:p>
        </w:tc>
        <w:tc>
          <w:tcPr>
            <w:tcW w:type="dxa" w:w="4160"/>
          </w:tcPr>
          <w:p>
            <w:r>
              <w:t>Unità del fattore di stivaggio</w:t>
            </w:r>
          </w:p>
        </w:tc>
      </w:tr>
      <w:tr>
        <w:tc>
          <w:tcPr>
            <w:tcW w:type="dxa" w:w="1900"/>
          </w:tcPr>
          <w:p>
            <w:r>
              <w:t>t/m²</w:t>
            </w:r>
          </w:p>
        </w:tc>
        <w:tc>
          <w:tcPr>
            <w:tcW w:type="dxa" w:w="3300"/>
          </w:tcPr>
          <w:p>
            <w:r>
              <w:t>tonnellate al metro quadro</w:t>
            </w:r>
          </w:p>
        </w:tc>
        <w:tc>
          <w:tcPr>
            <w:tcW w:type="dxa" w:w="4160"/>
          </w:tcPr>
          <w:p>
            <w:r>
              <w:t>Carico ammesso sul piano di carico</w:t>
            </w:r>
          </w:p>
        </w:tc>
      </w:tr>
      <w:tr>
        <w:tc>
          <w:tcPr>
            <w:tcW w:type="dxa" w:w="1900"/>
          </w:tcPr>
          <w:p>
            <w:r>
              <w:t>mm</w:t>
            </w:r>
          </w:p>
        </w:tc>
        <w:tc>
          <w:tcPr>
            <w:tcW w:type="dxa" w:w="3300"/>
          </w:tcPr>
          <w:p>
            <w:r>
              <w:t>millimetri</w:t>
            </w:r>
          </w:p>
        </w:tc>
        <w:tc>
          <w:tcPr>
            <w:tcW w:type="dxa" w:w="4160"/>
          </w:tcPr>
          <w:p>
            <w:r>
              <w:t>Altezza minima delle mastre (600 e 450 mm) e spessori</w:t>
            </w:r>
          </w:p>
        </w:tc>
      </w:tr>
    </w:tbl>
    <w:p>
      <w:r>
        <w:rPr>
          <w:b/>
        </w:rPr>
        <w:t xml:space="preserve">Avvertenza. </w:t>
      </w:r>
      <w:r>
        <w:t>Tutti i valori numerici che compaiono nelle slide e in questo glossario sono esempi didattici. Date, numeri di regola, soglie e dettagli di applicabilità (SOLAS XII, CSR, GBS, ESP) sono stati scritti senza consultare i testi e vanno verificati sull'edizione vigente della norma e sul manuale della nave. Il programma di riferimento è il D.D. 201/2024, Allegato A, con il D.D. 76/2025.</w:t>
      </w:r>
    </w:p>
    <w:p>
      <w:r>
        <w:t>© 2026 ing. Pietro Lauro 6497A-GE. Quest'opera è distribuita con licenza CC BY-NC-SA 4.0 (https://creativecommons.org/licenses/by-nc-sa/4.0/deed.it).</w:t>
      </w:r>
    </w:p>
    <w:sectPr>
      <w:footerReference w:type="default" r:id="rId3"/>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E6B73"/>
        <w:sz w:val="16"/>
      </w:rPr>
      <w:t>© 2026 ing. Pietro Lauro 6497A-GE. Quest'opera è distribuita con licenza CC BY-NC-SA 4.0 (https://creativecommons.org/licenses/by-nc-sa/4.0/deed.it).</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Glossario di sigle e acronimi</dc:title>
  <dc:description>Claude Docs node/280eb327-85ba@8 docx-w6</dc:description>
  <cp:revision>8</cp:revision>
</cp:coreProperties>
</file>