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Glossario di sigle e acronimi</w:t>
      </w:r>
    </w:p>
    <w:p>
      <w:pPr>
        <w:pStyle w:val="Heading2"/>
      </w:pPr>
      <w:r>
        <w:t>U.D. 2.2.1 — Conoscenza dei limiti sulla robustezza delle parti costruttive vitali di una portarinfuse standard</w:t>
      </w:r>
    </w:p>
    <w:p>
      <w:r>
        <w:t>Accademia Italiana della Marina Mercantile · Corso Direttivo Coperta 63 · U.D. 2.2.1</w:t>
      </w:r>
    </w:p>
    <w:p>
      <w:r>
        <w:t>21 ottobre 2026 · fonti aggiornate al 29 ottobre 2026</w:t>
      </w:r>
    </w:p>
    <w:p>
      <w:pPr>
        <w:pStyle w:val="Heading2"/>
      </w:pPr>
      <w:r>
        <w:t>Come si leggono i riferimenti</w:t>
      </w:r>
    </w:p>
    <w:p>
      <w:r>
        <w:t>U.D. sta per unità didattica. IACS UR S11 è la Unified Requirement n. S11 dell'IACS (requisiti uniformi delle società di classifica). IACS Rec. 46 è la Recommendation n. 46. CSR Pt 1 Ch 1 Sec 5 è la Parte 1, Capitolo 1, Sezione 5 delle Common Structural Rules. SOLAS XII/11 è il capitolo XII, regola 11 della SOLAS. STCW A-II/2 è la sezione del Codice STCW per Comandanti e Primi Ufficiali. Il simbolo § indica un paragrafo (Rec. 46 §5.3 = paragrafo 5.3).</w:t>
      </w:r>
    </w:p>
    <w:p>
      <w:pPr>
        <w:pStyle w:val="Heading2"/>
      </w:pPr>
      <w:r>
        <w:t>Enti, convenzioni e regole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Che cosa è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IMO</w:t>
            </w:r>
          </w:p>
        </w:tc>
        <w:tc>
          <w:tcPr>
            <w:tcW w:type="dxa" w:w="3300"/>
          </w:tcPr>
          <w:p>
            <w:r>
              <w:t>International Maritime Organization</w:t>
            </w:r>
          </w:p>
        </w:tc>
        <w:tc>
          <w:tcPr>
            <w:tcW w:type="dxa" w:w="4160"/>
          </w:tcPr>
          <w:p>
            <w:r>
              <w:t>Agenzia ONU che emana le convenzioni marittime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IACS</w:t>
            </w:r>
          </w:p>
        </w:tc>
        <w:tc>
          <w:tcPr>
            <w:tcW w:type="dxa" w:w="3300"/>
          </w:tcPr>
          <w:p>
            <w:r>
              <w:t>International Association of Classification Societies</w:t>
            </w:r>
          </w:p>
        </w:tc>
        <w:tc>
          <w:tcPr>
            <w:tcW w:type="dxa" w:w="4160"/>
          </w:tcPr>
          <w:p>
            <w:r>
              <w:t>Associazione delle principali società di classifica; emana UR, raccomandazioni e CSR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UR</w:t>
            </w:r>
          </w:p>
        </w:tc>
        <w:tc>
          <w:tcPr>
            <w:tcW w:type="dxa" w:w="3300"/>
          </w:tcPr>
          <w:p>
            <w:r>
              <w:t>Unified Requirement</w:t>
            </w:r>
          </w:p>
        </w:tc>
        <w:tc>
          <w:tcPr>
            <w:tcW w:type="dxa" w:w="4160"/>
          </w:tcPr>
          <w:p>
            <w:r>
              <w:t>Requisito uniforme IACS, recepito nei regolamenti di ogni società. Citati: S1A (manuale e strumento, navi non CSR), S11 (robustezza longitudinale), S17 (robustezza con stiva allagata), S18 (paratie corrugate con stiva allagata), S21 (coperchi dei boccaporti)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Rec.</w:t>
            </w:r>
          </w:p>
        </w:tc>
        <w:tc>
          <w:tcPr>
            <w:tcW w:type="dxa" w:w="3300"/>
          </w:tcPr>
          <w:p>
            <w:r>
              <w:t>Recommendation</w:t>
            </w:r>
          </w:p>
        </w:tc>
        <w:tc>
          <w:tcPr>
            <w:tcW w:type="dxa" w:w="4160"/>
          </w:tcPr>
          <w:p>
            <w:r>
              <w:t>Raccomandazione IACS, non vincolante; la n. 46 riguarda carico e scarico delle portarinfuse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CSR</w:t>
            </w:r>
          </w:p>
        </w:tc>
        <w:tc>
          <w:tcPr>
            <w:tcW w:type="dxa" w:w="3300"/>
          </w:tcPr>
          <w:p>
            <w:r>
              <w:t>Common Structural Rules</w:t>
            </w:r>
          </w:p>
        </w:tc>
        <w:tc>
          <w:tcPr>
            <w:tcW w:type="dxa" w:w="4160"/>
          </w:tcPr>
          <w:p>
            <w:r>
              <w:t>Regole strutturali comuni IACS per portarinfuse e petroliere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CSR-BC</w:t>
            </w:r>
          </w:p>
        </w:tc>
        <w:tc>
          <w:tcPr>
            <w:tcW w:type="dxa" w:w="3300"/>
          </w:tcPr>
          <w:p>
            <w:r>
              <w:t>Common Structural Rules for Bulk Carriers</w:t>
            </w:r>
          </w:p>
        </w:tc>
        <w:tc>
          <w:tcPr>
            <w:tcW w:type="dxa" w:w="4160"/>
          </w:tcPr>
          <w:p>
            <w:r>
              <w:t>Prima edizione delle CSR, solo portarinfuse; le notazioni BC-A/B/C nascono qui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Pt / Ch / Sec</w:t>
            </w:r>
          </w:p>
        </w:tc>
        <w:tc>
          <w:tcPr>
            <w:tcW w:type="dxa" w:w="3300"/>
          </w:tcPr>
          <w:p>
            <w:r>
              <w:t>Part / Chapter / Section</w:t>
            </w:r>
          </w:p>
        </w:tc>
        <w:tc>
          <w:tcPr>
            <w:tcW w:type="dxa" w:w="4160"/>
          </w:tcPr>
          <w:p>
            <w:r>
              <w:t>Parte, capitolo e sezione delle CSR (es. Pt 1 Ch 1 Sec 5)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SOLAS</w:t>
            </w:r>
          </w:p>
        </w:tc>
        <w:tc>
          <w:tcPr>
            <w:tcW w:type="dxa" w:w="3300"/>
          </w:tcPr>
          <w:p>
            <w:r>
              <w:t>International Convention for the Safety of Life at Sea</w:t>
            </w:r>
          </w:p>
        </w:tc>
        <w:tc>
          <w:tcPr>
            <w:tcW w:type="dxa" w:w="4160"/>
          </w:tcPr>
          <w:p>
            <w:r>
              <w:t>Il cap. XII contiene le misure aggiuntive per le portarinfuse; la regola 11 lo strumento di carico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STCW</w:t>
            </w:r>
          </w:p>
        </w:tc>
        <w:tc>
          <w:tcPr>
            <w:tcW w:type="dxa" w:w="3300"/>
          </w:tcPr>
          <w:p>
            <w:r>
              <w:t>Standards of Training, Certification and Watchkeeping</w:t>
            </w:r>
          </w:p>
        </w:tc>
        <w:tc>
          <w:tcPr>
            <w:tcW w:type="dxa" w:w="4160"/>
          </w:tcPr>
          <w:p>
            <w:r>
              <w:t>Convenzione sulla formazione; la tabella A-II/2 contiene la competenza di questa unità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D.D.</w:t>
            </w:r>
          </w:p>
        </w:tc>
        <w:tc>
          <w:tcPr>
            <w:tcW w:type="dxa" w:w="3300"/>
          </w:tcPr>
          <w:p>
            <w:r>
              <w:t>Decreto Direttoriale</w:t>
            </w:r>
          </w:p>
        </w:tc>
        <w:tc>
          <w:tcPr>
            <w:tcW w:type="dxa" w:w="4160"/>
          </w:tcPr>
          <w:p>
            <w:r>
              <w:t>Atto del Ministero; qui D.D. 201/2024 (programma) e D.D. 76/2025 (esami)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U.D.</w:t>
            </w:r>
          </w:p>
        </w:tc>
        <w:tc>
          <w:tcPr>
            <w:tcW w:type="dxa" w:w="3300"/>
          </w:tcPr>
          <w:p>
            <w:r>
              <w:t>Unità didattica</w:t>
            </w:r>
          </w:p>
        </w:tc>
        <w:tc>
          <w:tcPr>
            <w:tcW w:type="dxa" w:w="4160"/>
          </w:tcPr>
          <w:p>
            <w:r>
              <w:t>Parte numerata del programma del corso (qui 2.2.1)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ISM</w:t>
            </w:r>
          </w:p>
        </w:tc>
        <w:tc>
          <w:tcPr>
            <w:tcW w:type="dxa" w:w="3300"/>
          </w:tcPr>
          <w:p>
            <w:r>
              <w:t>International Safety Management Code</w:t>
            </w:r>
          </w:p>
        </w:tc>
        <w:tc>
          <w:tcPr>
            <w:tcW w:type="dxa" w:w="4160"/>
          </w:tcPr>
          <w:p>
            <w:r>
              <w:t>Sistema di gestione della sicurezza; il par. 5.2 sancisce l'autorità del Comandante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CC BY-NC-SA 4.0</w:t>
            </w:r>
          </w:p>
        </w:tc>
        <w:tc>
          <w:tcPr>
            <w:tcW w:type="dxa" w:w="3300"/>
          </w:tcPr>
          <w:p>
            <w:r>
              <w:t>Creative Commons Attribuzione – Non commerciale – Condividi allo stesso modo 4.0</w:t>
            </w:r>
          </w:p>
        </w:tc>
        <w:tc>
          <w:tcPr>
            <w:tcW w:type="dxa" w:w="4160"/>
          </w:tcPr>
          <w:p>
            <w:r>
              <w:t>Licenza del materiale: si condivide e modifica citando l'autore, senza scopi commerciali, con la stessa licenza</w:t>
            </w:r>
          </w:p>
        </w:tc>
      </w:tr>
    </w:tbl>
    <w:p/>
    <w:p>
      <w:pPr>
        <w:pStyle w:val="Heading2"/>
      </w:pPr>
      <w:r>
        <w:t>Unità didattiche collegate</w:t>
      </w:r>
    </w:p>
    <w:p>
      <w:r>
        <w:t>Sigle citate nella slide 3 per indicare argomenti trattati in altre unità.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Dove si tratta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BLU</w:t>
            </w:r>
          </w:p>
        </w:tc>
        <w:tc>
          <w:tcPr>
            <w:tcW w:type="dxa" w:w="3300"/>
          </w:tcPr>
          <w:p>
            <w:r>
              <w:t>Bulk Loading and Unloading Code</w:t>
            </w:r>
          </w:p>
        </w:tc>
        <w:tc>
          <w:tcPr>
            <w:tcW w:type="dxa" w:w="4160"/>
          </w:tcPr>
          <w:p>
            <w:r>
              <w:t>Carico e scarico sicuro e dialogo nave–terminale: U.D. 2.1.8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IMSBC</w:t>
            </w:r>
          </w:p>
        </w:tc>
        <w:tc>
          <w:tcPr>
            <w:tcW w:type="dxa" w:w="3300"/>
          </w:tcPr>
          <w:p>
            <w:r>
              <w:t>International Maritime Solid Bulk Cargoes Code</w:t>
            </w:r>
          </w:p>
        </w:tc>
        <w:tc>
          <w:tcPr>
            <w:tcW w:type="dxa" w:w="4160"/>
          </w:tcPr>
          <w:p>
            <w:r>
              <w:t>Carichi solidi alla rinfusa: U.D. 2.1.9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IMDG</w:t>
            </w:r>
          </w:p>
        </w:tc>
        <w:tc>
          <w:tcPr>
            <w:tcW w:type="dxa" w:w="3300"/>
          </w:tcPr>
          <w:p>
            <w:r>
              <w:t>International Maritime Dangerous Goods Code</w:t>
            </w:r>
          </w:p>
        </w:tc>
        <w:tc>
          <w:tcPr>
            <w:tcW w:type="dxa" w:w="4160"/>
          </w:tcPr>
          <w:p>
            <w:r>
              <w:t>Merci pericolose in colli: U.D. 2.1.9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ADB</w:t>
            </w:r>
          </w:p>
        </w:tc>
        <w:tc>
          <w:tcPr>
            <w:tcW w:type="dxa" w:w="3300"/>
          </w:tcPr>
          <w:p>
            <w:r>
              <w:t>Apparecchiatura automatica raccolta dati</w:t>
            </w:r>
          </w:p>
        </w:tc>
        <w:tc>
          <w:tcPr>
            <w:tcW w:type="dxa" w:w="4160"/>
          </w:tcPr>
          <w:p>
            <w:r>
              <w:t>Voce del programma ministeriale: U.D. 2.1.3</w:t>
            </w:r>
          </w:p>
        </w:tc>
      </w:tr>
    </w:tbl>
    <w:p/>
    <w:p>
      <w:pPr>
        <w:pStyle w:val="Heading2"/>
      </w:pPr>
      <w:r>
        <w:t>Robustezza e sforzi</w:t>
      </w:r>
    </w:p>
    <w:p>
      <w:r>
        <w:t>Attenzione: in questa unità SF significa sforzo di taglio (shear force), non fattore di stivaggio (stowage factor).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SF</w:t>
            </w:r>
          </w:p>
        </w:tc>
        <w:tc>
          <w:tcPr>
            <w:tcW w:type="dxa" w:w="3300"/>
          </w:tcPr>
          <w:p>
            <w:r>
              <w:t>Shear Force (sforzo di taglio)</w:t>
            </w:r>
          </w:p>
        </w:tc>
        <w:tc>
          <w:tcPr>
            <w:tcW w:type="dxa" w:w="4160"/>
          </w:tcPr>
          <w:p>
            <w:r>
              <w:t>Forza che tende a far scorrere una sezione dello scafo rispetto alla vicina; somma dei carichi netti fino alla sezione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BM</w:t>
            </w:r>
          </w:p>
        </w:tc>
        <w:tc>
          <w:tcPr>
            <w:tcW w:type="dxa" w:w="3300"/>
          </w:tcPr>
          <w:p>
            <w:r>
              <w:t>Bending Moment (momento flettente)</w:t>
            </w:r>
          </w:p>
        </w:tc>
        <w:tc>
          <w:tcPr>
            <w:tcW w:type="dxa" w:w="4160"/>
          </w:tcPr>
          <w:p>
            <w:r>
              <w:t>Momento che flette lo scafo come una trave; somma delle aree della curva di SF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SWSF / SWBM</w:t>
            </w:r>
          </w:p>
        </w:tc>
        <w:tc>
          <w:tcPr>
            <w:tcW w:type="dxa" w:w="3300"/>
          </w:tcPr>
          <w:p>
            <w:r>
              <w:t>Still Water Shear Force / Bending Moment</w:t>
            </w:r>
          </w:p>
        </w:tc>
        <w:tc>
          <w:tcPr>
            <w:tcW w:type="dxa" w:w="4160"/>
          </w:tcPr>
          <w:p>
            <w:r>
              <w:t>Taglio e momento in acqua calma: quelli calcolati a bordo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Mw</w:t>
            </w:r>
          </w:p>
        </w:tc>
        <w:tc>
          <w:tcPr>
            <w:tcW w:type="dxa" w:w="3300"/>
          </w:tcPr>
          <w:p>
            <w:r>
              <w:t>Wave bending moment (momento d'onda)</w:t>
            </w:r>
          </w:p>
        </w:tc>
        <w:tc>
          <w:tcPr>
            <w:tcW w:type="dxa" w:w="4160"/>
          </w:tcPr>
          <w:p>
            <w:r>
              <w:t>Momento dovuto all'onda di progetto; già considerato nei limiti di navigazione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Z</w:t>
            </w:r>
          </w:p>
        </w:tc>
        <w:tc>
          <w:tcPr>
            <w:tcW w:type="dxa" w:w="3300"/>
          </w:tcPr>
          <w:p>
            <w:r>
              <w:t>Section modulus (modulo di resistenza)</w:t>
            </w:r>
          </w:p>
        </w:tc>
        <w:tc>
          <w:tcPr>
            <w:tcW w:type="dxa" w:w="4160"/>
          </w:tcPr>
          <w:p>
            <w:r>
              <w:t>Caratteristica della sezione: tensione = M / Z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</w:t>
            </w:r>
          </w:p>
        </w:tc>
        <w:tc>
          <w:tcPr>
            <w:tcW w:type="dxa" w:w="3300"/>
          </w:tcPr>
          <w:p>
            <w:r>
              <w:t>Fattore del materiale</w:t>
            </w:r>
          </w:p>
        </w:tc>
        <w:tc>
          <w:tcPr>
            <w:tcW w:type="dxa" w:w="4160"/>
          </w:tcPr>
          <w:p>
            <w:r>
              <w:t>1 per acciaio normale, minore di 1 per acciaio ad alta resistenza; tensione ammessa 175/k N/mm²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Hogging</w:t>
            </w:r>
          </w:p>
        </w:tc>
        <w:tc>
          <w:tcPr>
            <w:tcW w:type="dxa" w:w="3300"/>
          </w:tcPr>
          <w:p>
            <w:r>
              <w:t>Inarcamento</w:t>
            </w:r>
          </w:p>
        </w:tc>
        <w:tc>
          <w:tcPr>
            <w:tcW w:type="dxa" w:w="4160"/>
          </w:tcPr>
          <w:p>
            <w:r>
              <w:t>Centro nave più alto delle estremità: ponte teso, fondo compresso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Sagging</w:t>
            </w:r>
          </w:p>
        </w:tc>
        <w:tc>
          <w:tcPr>
            <w:tcW w:type="dxa" w:w="3300"/>
          </w:tcPr>
          <w:p>
            <w:r>
              <w:t>Insellamento</w:t>
            </w:r>
          </w:p>
        </w:tc>
        <w:tc>
          <w:tcPr>
            <w:tcW w:type="dxa" w:w="4160"/>
          </w:tcPr>
          <w:p>
            <w:r>
              <w:t>Centro nave più basso delle estremità: ponte compresso, fondo teso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Buckling</w:t>
            </w:r>
          </w:p>
        </w:tc>
        <w:tc>
          <w:tcPr>
            <w:tcW w:type="dxa" w:w="3300"/>
          </w:tcPr>
          <w:p>
            <w:r>
              <w:t>Instabilità</w:t>
            </w:r>
          </w:p>
        </w:tc>
        <w:tc>
          <w:tcPr>
            <w:tcW w:type="dxa" w:w="4160"/>
          </w:tcPr>
          <w:p>
            <w:r>
              <w:t>Cedimento di un pannello compresso prima dello snervamento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Read-out point</w:t>
            </w:r>
          </w:p>
        </w:tc>
        <w:tc>
          <w:tcPr>
            <w:tcW w:type="dxa" w:w="3300"/>
          </w:tcPr>
          <w:p>
            <w:r>
              <w:t>Punto di lettura</w:t>
            </w:r>
          </w:p>
        </w:tc>
        <w:tc>
          <w:tcPr>
            <w:tcW w:type="dxa" w:w="4160"/>
          </w:tcPr>
          <w:p>
            <w:r>
              <w:t>Sezione in cui lo strumento calcola SF e BM, di solito a una paratia trasversale</w:t>
            </w:r>
          </w:p>
        </w:tc>
      </w:tr>
    </w:tbl>
    <w:p/>
    <w:p>
      <w:pPr>
        <w:pStyle w:val="Heading2"/>
      </w:pPr>
      <w:r>
        <w:t>Simboli delle formule</w:t>
      </w:r>
    </w:p>
    <w:p>
      <w:r>
        <w:t>Simboli usati nelle slide 11 e 12 (IACS UR S11).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</w:t>
            </w:r>
          </w:p>
        </w:tc>
        <w:tc>
          <w:tcPr>
            <w:tcW w:type="dxa" w:w="3300"/>
          </w:tcPr>
          <w:p>
            <w:r>
              <w:t>Lunghezza</w:t>
            </w:r>
          </w:p>
        </w:tc>
        <w:tc>
          <w:tcPr>
            <w:tcW w:type="dxa" w:w="4160"/>
          </w:tcPr>
          <w:p>
            <w:r>
              <w:t>Lunghezza della nave secondo le regole, in metri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</w:t>
            </w:r>
          </w:p>
        </w:tc>
        <w:tc>
          <w:tcPr>
            <w:tcW w:type="dxa" w:w="3300"/>
          </w:tcPr>
          <w:p>
            <w:r>
              <w:t>Larghezza</w:t>
            </w:r>
          </w:p>
        </w:tc>
        <w:tc>
          <w:tcPr>
            <w:tcW w:type="dxa" w:w="4160"/>
          </w:tcPr>
          <w:p>
            <w:r>
              <w:t>Larghezza massima fuori ossatura, in metri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Cb</w:t>
            </w:r>
          </w:p>
        </w:tc>
        <w:tc>
          <w:tcPr>
            <w:tcW w:type="dxa" w:w="3300"/>
          </w:tcPr>
          <w:p>
            <w:r>
              <w:t>Coefficiente di blocco</w:t>
            </w:r>
          </w:p>
        </w:tc>
        <w:tc>
          <w:tcPr>
            <w:tcW w:type="dxa" w:w="4160"/>
          </w:tcPr>
          <w:p>
            <w:r>
              <w:t>Rapporto tra volume di carena e parallelepipedo L × B × immersione; non meno di 0,6 nella formula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</w:t>
            </w:r>
          </w:p>
        </w:tc>
        <w:tc>
          <w:tcPr>
            <w:tcW w:type="dxa" w:w="3300"/>
          </w:tcPr>
          <w:p>
            <w:r>
              <w:t>Coefficiente d'onda</w:t>
            </w:r>
          </w:p>
        </w:tc>
        <w:tc>
          <w:tcPr>
            <w:tcW w:type="dxa" w:w="4160"/>
          </w:tcPr>
          <w:p>
            <w:r>
              <w:t>Dipende da L; vale 10,75 tra 300 e 350 m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</w:t>
            </w:r>
          </w:p>
        </w:tc>
        <w:tc>
          <w:tcPr>
            <w:tcW w:type="dxa" w:w="3300"/>
          </w:tcPr>
          <w:p>
            <w:r>
              <w:t>Fattore di distribuzione</w:t>
            </w:r>
          </w:p>
        </w:tc>
        <w:tc>
          <w:tcPr>
            <w:tcW w:type="dxa" w:w="4160"/>
          </w:tcPr>
          <w:p>
            <w:r>
              <w:t>Riduce il momento d'onda verso le estremità della nave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σ</w:t>
            </w:r>
          </w:p>
        </w:tc>
        <w:tc>
          <w:tcPr>
            <w:tcW w:type="dxa" w:w="3300"/>
          </w:tcPr>
          <w:p>
            <w:r>
              <w:t>Sigma</w:t>
            </w:r>
          </w:p>
        </w:tc>
        <w:tc>
          <w:tcPr>
            <w:tcW w:type="dxa" w:w="4160"/>
          </w:tcPr>
          <w:p>
            <w:r>
              <w:t>Tensione normale di flessione, in N/mm²</w:t>
            </w:r>
          </w:p>
        </w:tc>
      </w:tr>
    </w:tbl>
    <w:p/>
    <w:p>
      <w:pPr>
        <w:pStyle w:val="Heading2"/>
      </w:pPr>
      <w:r>
        <w:t>Struttura della portarinfuse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DF</w:t>
            </w:r>
          </w:p>
        </w:tc>
        <w:tc>
          <w:tcPr>
            <w:tcW w:type="dxa" w:w="3300"/>
          </w:tcPr>
          <w:p>
            <w:r>
              <w:t>Doppio fondo (double bottom)</w:t>
            </w:r>
          </w:p>
        </w:tc>
        <w:tc>
          <w:tcPr>
            <w:tcW w:type="dxa" w:w="4160"/>
          </w:tcPr>
          <w:p>
            <w:r>
              <w:t>Spazio tra fondo e cielo del doppio fondo, usato per zavorra e combustibile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Cielo del doppio fondo</w:t>
            </w:r>
          </w:p>
        </w:tc>
        <w:tc>
          <w:tcPr>
            <w:tcW w:type="dxa" w:w="3300"/>
          </w:tcPr>
          <w:p>
            <w:r>
              <w:t>Tank top / inner bottom</w:t>
            </w:r>
          </w:p>
        </w:tc>
        <w:tc>
          <w:tcPr>
            <w:tcW w:type="dxa" w:w="4160"/>
          </w:tcPr>
          <w:p>
            <w:r>
              <w:t>Piano di carico della stiva; limite in t/m²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Cisterna a tramoggia</w:t>
            </w:r>
          </w:p>
        </w:tc>
        <w:tc>
          <w:tcPr>
            <w:tcW w:type="dxa" w:w="3300"/>
          </w:tcPr>
          <w:p>
            <w:r>
              <w:t>Hopper tank</w:t>
            </w:r>
          </w:p>
        </w:tc>
        <w:tc>
          <w:tcPr>
            <w:tcW w:type="dxa" w:w="4160"/>
          </w:tcPr>
          <w:p>
            <w:r>
              <w:t>Cisterna inclinata in basso ai lati della stiva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Cisterna alta</w:t>
            </w:r>
          </w:p>
        </w:tc>
        <w:tc>
          <w:tcPr>
            <w:tcW w:type="dxa" w:w="3300"/>
          </w:tcPr>
          <w:p>
            <w:r>
              <w:t>Topside tank</w:t>
            </w:r>
          </w:p>
        </w:tc>
        <w:tc>
          <w:tcPr>
            <w:tcW w:type="dxa" w:w="4160"/>
          </w:tcPr>
          <w:p>
            <w:r>
              <w:t>Cisterna inclinata sotto il ponte ai lati del boccaporto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Cross deck</w:t>
            </w:r>
          </w:p>
        </w:tc>
        <w:tc>
          <w:tcPr>
            <w:tcW w:type="dxa" w:w="3300"/>
          </w:tcPr>
          <w:p>
            <w:r>
              <w:t>Cross deck</w:t>
            </w:r>
          </w:p>
        </w:tc>
        <w:tc>
          <w:tcPr>
            <w:tcW w:type="dxa" w:w="4160"/>
          </w:tcPr>
          <w:p>
            <w:r>
              <w:t>Striscia di ponte trasversale tra due boccaporti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Mastra</w:t>
            </w:r>
          </w:p>
        </w:tc>
        <w:tc>
          <w:tcPr>
            <w:tcW w:type="dxa" w:w="3300"/>
          </w:tcPr>
          <w:p>
            <w:r>
              <w:t>Hatch coaming</w:t>
            </w:r>
          </w:p>
        </w:tc>
        <w:tc>
          <w:tcPr>
            <w:tcW w:type="dxa" w:w="4160"/>
          </w:tcPr>
          <w:p>
            <w:r>
              <w:t>Bordo rialzato del boccaporto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Paratia corrugata</w:t>
            </w:r>
          </w:p>
        </w:tc>
        <w:tc>
          <w:tcPr>
            <w:tcW w:type="dxa" w:w="3300"/>
          </w:tcPr>
          <w:p>
            <w:r>
              <w:t>Corrugated bulkhead</w:t>
            </w:r>
          </w:p>
        </w:tc>
        <w:tc>
          <w:tcPr>
            <w:tcW w:type="dxa" w:w="4160"/>
          </w:tcPr>
          <w:p>
            <w:r>
              <w:t>Paratia trasversale a onde verticali tra due stive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Ossatura di stiva</w:t>
            </w:r>
          </w:p>
        </w:tc>
        <w:tc>
          <w:tcPr>
            <w:tcW w:type="dxa" w:w="3300"/>
          </w:tcPr>
          <w:p>
            <w:r>
              <w:t>Hold frame</w:t>
            </w:r>
          </w:p>
        </w:tc>
        <w:tc>
          <w:tcPr>
            <w:tcW w:type="dxa" w:w="4160"/>
          </w:tcPr>
          <w:p>
            <w:r>
              <w:t>Ossatura trasversale del fianco nella stiva</w:t>
            </w:r>
          </w:p>
        </w:tc>
      </w:tr>
    </w:tbl>
    <w:p/>
    <w:p>
      <w:pPr>
        <w:pStyle w:val="Heading2"/>
      </w:pPr>
      <w:r>
        <w:t>Notazioni e documenti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 / termine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BC-A</w:t>
            </w:r>
          </w:p>
        </w:tc>
        <w:tc>
          <w:tcPr>
            <w:tcW w:type="dxa" w:w="3300"/>
          </w:tcPr>
          <w:p>
            <w:r>
              <w:t>Bulk Carrier A</w:t>
            </w:r>
          </w:p>
        </w:tc>
        <w:tc>
          <w:tcPr>
            <w:tcW w:type="dxa" w:w="4160"/>
          </w:tcPr>
          <w:p>
            <w:r>
              <w:t>Carichi ≥ 1,0 t/m³ anche con stive indicate vuote alla massima immersione; comprende BC-B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BC-B</w:t>
            </w:r>
          </w:p>
        </w:tc>
        <w:tc>
          <w:tcPr>
            <w:tcW w:type="dxa" w:w="3300"/>
          </w:tcPr>
          <w:p>
            <w:r>
              <w:t>Bulk Carrier B</w:t>
            </w:r>
          </w:p>
        </w:tc>
        <w:tc>
          <w:tcPr>
            <w:tcW w:type="dxa" w:w="4160"/>
          </w:tcPr>
          <w:p>
            <w:r>
              <w:t>Carichi ≥ 1,0 t/m³ con tutte le stive caricate; comprende BC-C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BC-C</w:t>
            </w:r>
          </w:p>
        </w:tc>
        <w:tc>
          <w:tcPr>
            <w:tcW w:type="dxa" w:w="3300"/>
          </w:tcPr>
          <w:p>
            <w:r>
              <w:t>Bulk Carrier C</w:t>
            </w:r>
          </w:p>
        </w:tc>
        <w:tc>
          <w:tcPr>
            <w:tcW w:type="dxa" w:w="4160"/>
          </w:tcPr>
          <w:p>
            <w:r>
              <w:t>Carichi di densità inferiore a 1,0 t/m³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no MP</w:t>
            </w:r>
          </w:p>
        </w:tc>
        <w:tc>
          <w:tcPr>
            <w:tcW w:type="dxa" w:w="3300"/>
          </w:tcPr>
          <w:p>
            <w:r>
              <w:t>No Multi-Port</w:t>
            </w:r>
          </w:p>
        </w:tc>
        <w:tc>
          <w:tcPr>
            <w:tcW w:type="dxa" w:w="4160"/>
          </w:tcPr>
          <w:p>
            <w:r>
              <w:t>Nave non progettata per caricare o scaricare in più porti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MP</w:t>
            </w:r>
          </w:p>
        </w:tc>
        <w:tc>
          <w:tcPr>
            <w:tcW w:type="dxa" w:w="3300"/>
          </w:tcPr>
          <w:p>
            <w:r>
              <w:t>Multi-Port</w:t>
            </w:r>
          </w:p>
        </w:tc>
        <w:tc>
          <w:tcPr>
            <w:tcW w:type="dxa" w:w="4160"/>
          </w:tcPr>
          <w:p>
            <w:r>
              <w:t>Carico o scarico in più porti; vedi no MP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GRAB [X]</w:t>
            </w:r>
          </w:p>
        </w:tc>
        <w:tc>
          <w:tcPr>
            <w:tcW w:type="dxa" w:w="3300"/>
          </w:tcPr>
          <w:p>
            <w:r>
              <w:t>Notazione benna</w:t>
            </w:r>
          </w:p>
        </w:tc>
        <w:tc>
          <w:tcPr>
            <w:tcW w:type="dxa" w:w="4160"/>
          </w:tcPr>
          <w:p>
            <w:r>
              <w:t>Massa della benna vuota di progetto, X tonnellate; obbligatoria per BC-A e BC-B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Loading Manual</w:t>
            </w:r>
          </w:p>
        </w:tc>
        <w:tc>
          <w:tcPr>
            <w:tcW w:type="dxa" w:w="3300"/>
          </w:tcPr>
          <w:p>
            <w:r>
              <w:t>Manuale di carico</w:t>
            </w:r>
          </w:p>
        </w:tc>
        <w:tc>
          <w:tcPr>
            <w:tcW w:type="dxa" w:w="4160"/>
          </w:tcPr>
          <w:p>
            <w:r>
              <w:t>Documento approvato della nave: condizioni, limiti di SF e BM, masse per stiva, t/m², ritmo di zavorra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Loading Instrument</w:t>
            </w:r>
          </w:p>
        </w:tc>
        <w:tc>
          <w:tcPr>
            <w:tcW w:type="dxa" w:w="3300"/>
          </w:tcPr>
          <w:p>
            <w:r>
              <w:t>Strumento di carico</w:t>
            </w:r>
          </w:p>
        </w:tc>
        <w:tc>
          <w:tcPr>
            <w:tcW w:type="dxa" w:w="4160"/>
          </w:tcPr>
          <w:p>
            <w:r>
              <w:t>Calcolatore approvato che verifica SF, BM e masse per stiva a ogni passo (SOLAS XII/11)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Hold mass curves</w:t>
            </w:r>
          </w:p>
        </w:tc>
        <w:tc>
          <w:tcPr>
            <w:tcW w:type="dxa" w:w="3300"/>
          </w:tcPr>
          <w:p>
            <w:r>
              <w:t>Curve di massa delle stive</w:t>
            </w:r>
          </w:p>
        </w:tc>
        <w:tc>
          <w:tcPr>
            <w:tcW w:type="dxa" w:w="4160"/>
          </w:tcPr>
          <w:p>
            <w:r>
              <w:t>Massa massima e minima di carico + doppio fondo per stiva, in funzione del pescaggio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Pour</w:t>
            </w:r>
          </w:p>
        </w:tc>
        <w:tc>
          <w:tcPr>
            <w:tcW w:type="dxa" w:w="3300"/>
          </w:tcPr>
          <w:p>
            <w:r>
              <w:t>Colata</w:t>
            </w:r>
          </w:p>
        </w:tc>
        <w:tc>
          <w:tcPr>
            <w:tcW w:type="dxa" w:w="4160"/>
          </w:tcPr>
          <w:p>
            <w:r>
              <w:t>Quantità caricata in una stiva in un passo del piano</w:t>
            </w:r>
          </w:p>
        </w:tc>
      </w:tr>
    </w:tbl>
    <w:p/>
    <w:p>
      <w:pPr>
        <w:pStyle w:val="Heading2"/>
      </w:pPr>
      <w:r>
        <w:t>Unità di misura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Nota d'uso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</w:t>
            </w:r>
          </w:p>
        </w:tc>
        <w:tc>
          <w:tcPr>
            <w:tcW w:type="dxa" w:w="3300"/>
          </w:tcPr>
          <w:p>
            <w:r>
              <w:t>tonnellata</w:t>
            </w:r>
          </w:p>
        </w:tc>
        <w:tc>
          <w:tcPr>
            <w:tcW w:type="dxa" w:w="4160"/>
          </w:tcPr>
          <w:p>
            <w:r>
              <w:t>Masse e sforzo di taglio (nei manuali anche kN)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t·m</w:t>
            </w:r>
          </w:p>
        </w:tc>
        <w:tc>
          <w:tcPr>
            <w:tcW w:type="dxa" w:w="3300"/>
          </w:tcPr>
          <w:p>
            <w:r>
              <w:t>tonnellata per metro</w:t>
            </w:r>
          </w:p>
        </w:tc>
        <w:tc>
          <w:tcPr>
            <w:tcW w:type="dxa" w:w="4160"/>
          </w:tcPr>
          <w:p>
            <w:r>
              <w:t>Momento flettente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kN·m</w:t>
            </w:r>
          </w:p>
        </w:tc>
        <w:tc>
          <w:tcPr>
            <w:tcW w:type="dxa" w:w="3300"/>
          </w:tcPr>
          <w:p>
            <w:r>
              <w:t>kilonewton per metro</w:t>
            </w:r>
          </w:p>
        </w:tc>
        <w:tc>
          <w:tcPr>
            <w:tcW w:type="dxa" w:w="4160"/>
          </w:tcPr>
          <w:p>
            <w:r>
              <w:t>Momento flettente nelle regole IACS (1 t·m ≈ 9,81 kN·m)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t/h</w:t>
            </w:r>
          </w:p>
        </w:tc>
        <w:tc>
          <w:tcPr>
            <w:tcW w:type="dxa" w:w="3300"/>
          </w:tcPr>
          <w:p>
            <w:r>
              <w:t>tonnellate all'ora</w:t>
            </w:r>
          </w:p>
        </w:tc>
        <w:tc>
          <w:tcPr>
            <w:tcW w:type="dxa" w:w="4160"/>
          </w:tcPr>
          <w:p>
            <w:r>
              <w:t>Ritmo di carico del terminale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kg/m³</w:t>
            </w:r>
          </w:p>
        </w:tc>
        <w:tc>
          <w:tcPr>
            <w:tcW w:type="dxa" w:w="3300"/>
          </w:tcPr>
          <w:p>
            <w:r>
              <w:t>chilogrammi al metro cubo</w:t>
            </w:r>
          </w:p>
        </w:tc>
        <w:tc>
          <w:tcPr>
            <w:tcW w:type="dxa" w:w="4160"/>
          </w:tcPr>
          <w:p>
            <w:r>
              <w:t>Densità del carico nella SOLAS (1 780 kg/m³ = 1,78 t/m³)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t/m</w:t>
            </w:r>
          </w:p>
        </w:tc>
        <w:tc>
          <w:tcPr>
            <w:tcW w:type="dxa" w:w="3300"/>
          </w:tcPr>
          <w:p>
            <w:r>
              <w:t>tonnellate al metro</w:t>
            </w:r>
          </w:p>
        </w:tc>
        <w:tc>
          <w:tcPr>
            <w:tcW w:type="dxa" w:w="4160"/>
          </w:tcPr>
          <w:p>
            <w:r>
              <w:t>Curve di peso, spinta e carico netto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t/m²</w:t>
            </w:r>
          </w:p>
        </w:tc>
        <w:tc>
          <w:tcPr>
            <w:tcW w:type="dxa" w:w="3300"/>
          </w:tcPr>
          <w:p>
            <w:r>
              <w:t>tonnellate al metro quadro</w:t>
            </w:r>
          </w:p>
        </w:tc>
        <w:tc>
          <w:tcPr>
            <w:tcW w:type="dxa" w:w="4160"/>
          </w:tcPr>
          <w:p>
            <w:r>
              <w:t>Carico su cielo del doppio fondo, ponte e coperchi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t/m³</w:t>
            </w:r>
          </w:p>
        </w:tc>
        <w:tc>
          <w:tcPr>
            <w:tcW w:type="dxa" w:w="3300"/>
          </w:tcPr>
          <w:p>
            <w:r>
              <w:t>tonnellate al metro cubo</w:t>
            </w:r>
          </w:p>
        </w:tc>
        <w:tc>
          <w:tcPr>
            <w:tcW w:type="dxa" w:w="4160"/>
          </w:tcPr>
          <w:p>
            <w:r>
              <w:t>Densità del carico (notazioni BC-A/B/C)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N/mm²</w:t>
            </w:r>
          </w:p>
        </w:tc>
        <w:tc>
          <w:tcPr>
            <w:tcW w:type="dxa" w:w="3300"/>
          </w:tcPr>
          <w:p>
            <w:r>
              <w:t>newton al millimetro quadro</w:t>
            </w:r>
          </w:p>
        </w:tc>
        <w:tc>
          <w:tcPr>
            <w:tcW w:type="dxa" w:w="4160"/>
          </w:tcPr>
          <w:p>
            <w:r>
              <w:t>Tensione nell'acciaio</w:t>
            </w:r>
          </w:p>
        </w:tc>
      </w:tr>
    </w:tbl>
    <w:p/>
    <w:p>
      <w:r>
        <w:rPr>
          <w:b/>
        </w:rPr>
        <w:t xml:space="preserve">Avvertenza. </w:t>
      </w:r>
      <w:r>
        <w:t>I valori numerici delle slide sono esempi didattici, salvo quelli tratti da IACS Rec. 46 Rev.2 (2020), IACS UR S11 Rev.10 (2020), CSR (ed. 1 luglio 2025, Pt 1 Ch 1 Sec 5) e Gard (7/12/2022), indicati nelle note. Fanno fede il Loading Manual approvato della nave e l'edizione vigente delle norme.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