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Sigle e acronimi</w:t>
      </w:r>
    </w:p>
    <w:p>
      <w:pPr>
        <w:pStyle w:val="Heading2"/>
      </w:pPr>
      <w:r>
        <w:t>Approfondimento U.D. 2.1.7 e 2.2.1 e U.D. 2.2.2 — Struttura, corrosione e fatica, ESP e sforzo di taglio</w:t>
      </w:r>
    </w:p>
    <w:p>
      <w:r>
        <w:t>Accademia Italiana della Marina Mercantile · Corso Direttivo Coperta 63 · U.D. 2.2.2 · 30 ottobre 2026</w:t>
      </w:r>
    </w:p>
    <w:p>
      <w:r>
        <w:t>Tutte le sigle che compaiono nelle slide e nelle note del docente, in ordine alfabetico, sciolte e spiegate con parole semplici. La colonna "Slide" indica dove compaiono (slide o note). I termini tecnici senza sigla sono nel glossario della lezione.</w:t>
      </w:r>
    </w:p>
    <w:p>
      <w:pPr>
        <w:pStyle w:val="Heading2"/>
      </w:pPr>
      <w:r>
        <w:t>Enti, norme e documenti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700"/>
        <w:gridCol w:w="2600"/>
        <w:gridCol w:w="4100"/>
        <w:gridCol w:w="960"/>
      </w:tblGrid>
      <w:tr>
        <w:trPr>
          <w:tblHeader/>
          <w:cantSplit/>
        </w:trPr>
        <w:tc>
          <w:tcPr>
            <w:tcW w:type="dxa" w:w="1700"/>
            <w:shd w:val="clear" w:color="auto" w:fill="F2F2F2"/>
          </w:tcPr>
          <w:p>
            <w:r>
              <w:rPr>
                <w:b/>
              </w:rPr>
              <w:t>Sigla</w:t>
            </w:r>
          </w:p>
        </w:tc>
        <w:tc>
          <w:tcPr>
            <w:tcW w:type="dxa" w:w="2600"/>
            <w:shd w:val="clear" w:color="auto" w:fill="F2F2F2"/>
          </w:tcPr>
          <w:p>
            <w:r>
              <w:rPr>
                <w:b/>
              </w:rPr>
              <w:t>Per esteso</w:t>
            </w:r>
          </w:p>
        </w:tc>
        <w:tc>
          <w:tcPr>
            <w:tcW w:type="dxa" w:w="4100"/>
            <w:shd w:val="clear" w:color="auto" w:fill="F2F2F2"/>
          </w:tcPr>
          <w:p>
            <w:r>
              <w:rPr>
                <w:b/>
              </w:rPr>
              <w:t>Spiegazione in chiaro</w:t>
            </w:r>
          </w:p>
        </w:tc>
        <w:tc>
          <w:tcPr>
            <w:tcW w:type="dxa" w:w="960"/>
            <w:shd w:val="clear" w:color="auto" w:fill="F2F2F2"/>
          </w:tcPr>
          <w:p>
            <w:r>
              <w:rPr>
                <w:b/>
              </w:rPr>
              <w:t>Slide</w:t>
            </w:r>
          </w:p>
        </w:tc>
      </w:tr>
      <w:tr>
        <w:trPr>
          <w:cantSplit/>
        </w:trPr>
        <w:tc>
          <w:tcPr>
            <w:tcW w:type="dxa" w:w="1700"/>
          </w:tcPr>
          <w:p>
            <w:r>
              <w:rPr>
                <w:b/>
              </w:rPr>
              <w:t>A.744(18)</w:t>
            </w:r>
          </w:p>
        </w:tc>
        <w:tc>
          <w:tcPr>
            <w:tcW w:type="dxa" w:w="2600"/>
          </w:tcPr>
          <w:p>
            <w:r>
              <w:t>Risoluzione n. 744 dell'Assemblea IMO, 18ª sessione (1993)</w:t>
            </w:r>
          </w:p>
        </w:tc>
        <w:tc>
          <w:tcPr>
            <w:tcW w:type="dxa" w:w="4100"/>
          </w:tcPr>
          <w:p>
            <w:r>
              <w:t>Le prime linee guida IMO sulle ispezioni rafforzate di portarinfuse e petroliere, da cui nasce l'ESP</w:t>
            </w:r>
          </w:p>
        </w:tc>
        <w:tc>
          <w:tcPr>
            <w:tcW w:type="dxa" w:w="960"/>
          </w:tcPr>
          <w:p>
            <w:r>
              <w:t>24</w:t>
            </w:r>
          </w:p>
        </w:tc>
      </w:tr>
      <w:tr>
        <w:trPr>
          <w:cantSplit/>
        </w:trPr>
        <w:tc>
          <w:tcPr>
            <w:tcW w:type="dxa" w:w="1700"/>
          </w:tcPr>
          <w:p>
            <w:r>
              <w:rPr>
                <w:b/>
              </w:rPr>
              <w:t>A.1049(27)</w:t>
            </w:r>
          </w:p>
        </w:tc>
        <w:tc>
          <w:tcPr>
            <w:tcW w:type="dxa" w:w="2600"/>
          </w:tcPr>
          <w:p>
            <w:r>
              <w:t>Risoluzione n. 1049 dell'Assemblea IMO, 27ª sessione (2011)</w:t>
            </w:r>
          </w:p>
        </w:tc>
        <w:tc>
          <w:tcPr>
            <w:tcW w:type="dxa" w:w="4100"/>
          </w:tcPr>
          <w:p>
            <w:r>
              <w:t>La risoluzione che ha adottato il 2011 ESP Code, il testo oggi in vigore</w:t>
            </w:r>
          </w:p>
        </w:tc>
        <w:tc>
          <w:tcPr>
            <w:tcW w:type="dxa" w:w="960"/>
          </w:tcPr>
          <w:p>
            <w:r>
              <w:t>2, 24–25</w:t>
            </w:r>
          </w:p>
        </w:tc>
      </w:tr>
      <w:tr>
        <w:trPr>
          <w:cantSplit/>
        </w:trPr>
        <w:tc>
          <w:tcPr>
            <w:tcW w:type="dxa" w:w="1700"/>
          </w:tcPr>
          <w:p>
            <w:r>
              <w:rPr>
                <w:b/>
              </w:rPr>
              <w:t>BLU</w:t>
            </w:r>
          </w:p>
        </w:tc>
        <w:tc>
          <w:tcPr>
            <w:tcW w:type="dxa" w:w="2600"/>
          </w:tcPr>
          <w:p>
            <w:r>
              <w:t>Bulk Loading and Unloading Code</w:t>
            </w:r>
          </w:p>
        </w:tc>
        <w:tc>
          <w:tcPr>
            <w:tcW w:type="dxa" w:w="4100"/>
          </w:tcPr>
          <w:p>
            <w:r>
              <w:t>Codice IMO per il carico e lo scarico sicuro delle portarinfuse e il dialogo nave–terminale (U.D. 2.1.8)</w:t>
            </w:r>
          </w:p>
        </w:tc>
        <w:tc>
          <w:tcPr>
            <w:tcW w:type="dxa" w:w="960"/>
          </w:tcPr>
          <w:p>
            <w:r>
              <w:t>35</w:t>
            </w:r>
          </w:p>
        </w:tc>
      </w:tr>
      <w:tr>
        <w:trPr>
          <w:cantSplit/>
        </w:trPr>
        <w:tc>
          <w:tcPr>
            <w:tcW w:type="dxa" w:w="1700"/>
          </w:tcPr>
          <w:p>
            <w:r>
              <w:rPr>
                <w:b/>
              </w:rPr>
              <w:t>CC BY-NC-SA 4.0</w:t>
            </w:r>
          </w:p>
        </w:tc>
        <w:tc>
          <w:tcPr>
            <w:tcW w:type="dxa" w:w="2600"/>
          </w:tcPr>
          <w:p>
            <w:r>
              <w:t>Creative Commons Attribuzione – Non commerciale – Condividi allo stesso modo 4.0</w:t>
            </w:r>
          </w:p>
        </w:tc>
        <w:tc>
          <w:tcPr>
            <w:tcW w:type="dxa" w:w="4100"/>
          </w:tcPr>
          <w:p>
            <w:r>
              <w:t>Licenza del materiale: si può condividere e modificare citando l'autore, senza scopo commerciale e con la stessa licenza</w:t>
            </w:r>
          </w:p>
        </w:tc>
        <w:tc>
          <w:tcPr>
            <w:tcW w:type="dxa" w:w="960"/>
          </w:tcPr>
          <w:p>
            <w:r>
              <w:t>1–55</w:t>
            </w:r>
          </w:p>
        </w:tc>
      </w:tr>
      <w:tr>
        <w:trPr>
          <w:cantSplit/>
        </w:trPr>
        <w:tc>
          <w:tcPr>
            <w:tcW w:type="dxa" w:w="1700"/>
          </w:tcPr>
          <w:p>
            <w:r>
              <w:rPr>
                <w:b/>
              </w:rPr>
              <w:t>BC-A, BC-B, BC-C</w:t>
            </w:r>
          </w:p>
        </w:tc>
        <w:tc>
          <w:tcPr>
            <w:tcW w:type="dxa" w:w="2600"/>
          </w:tcPr>
          <w:p>
            <w:r>
              <w:t>Notazioni di servizio delle portarinfuse (CSR)</w:t>
            </w:r>
          </w:p>
        </w:tc>
        <w:tc>
          <w:tcPr>
            <w:tcW w:type="dxa" w:w="4100"/>
          </w:tcPr>
          <w:p>
            <w:r>
              <w:t>Per quali carichi e distribuzioni la nave è progettata; BC-A e BC-B hanno la notazione GRAB [X]</w:t>
            </w:r>
          </w:p>
        </w:tc>
        <w:tc>
          <w:tcPr>
            <w:tcW w:type="dxa" w:w="960"/>
          </w:tcPr>
          <w:p>
            <w:r>
              <w:t>13, 20</w:t>
            </w:r>
          </w:p>
        </w:tc>
      </w:tr>
      <w:tr>
        <w:trPr>
          <w:cantSplit/>
        </w:trPr>
        <w:tc>
          <w:tcPr>
            <w:tcW w:type="dxa" w:w="1700"/>
          </w:tcPr>
          <w:p>
            <w:r>
              <w:rPr>
                <w:b/>
              </w:rPr>
              <w:t>CSR</w:t>
            </w:r>
          </w:p>
        </w:tc>
        <w:tc>
          <w:tcPr>
            <w:tcW w:type="dxa" w:w="2600"/>
          </w:tcPr>
          <w:p>
            <w:r>
              <w:t>Common Structural Rules</w:t>
            </w:r>
          </w:p>
        </w:tc>
        <w:tc>
          <w:tcPr>
            <w:tcW w:type="dxa" w:w="4100"/>
          </w:tcPr>
          <w:p>
            <w:r>
              <w:t>Regole comuni delle società di classifica IACS per progettare la struttura di portarinfuse e petroliere</w:t>
            </w:r>
          </w:p>
        </w:tc>
        <w:tc>
          <w:tcPr>
            <w:tcW w:type="dxa" w:w="960"/>
          </w:tcPr>
          <w:p>
            <w:r>
              <w:t>1–3, 6, 12–20, 22–23, 28, 52, 55</w:t>
            </w:r>
          </w:p>
        </w:tc>
      </w:tr>
      <w:tr>
        <w:trPr>
          <w:cantSplit/>
        </w:trPr>
        <w:tc>
          <w:tcPr>
            <w:tcW w:type="dxa" w:w="1700"/>
          </w:tcPr>
          <w:p>
            <w:r>
              <w:rPr>
                <w:b/>
              </w:rPr>
              <w:t>Dcorr</w:t>
            </w:r>
          </w:p>
        </w:tc>
        <w:tc>
          <w:tcPr>
            <w:tcW w:type="dxa" w:w="2600"/>
          </w:tcPr>
          <w:p>
            <w:r>
              <w:t>Curva S-N D in ambiente corrosivo (CSR)</w:t>
            </w:r>
          </w:p>
        </w:tc>
        <w:tc>
          <w:tcPr>
            <w:tcW w:type="dxa" w:w="4100"/>
          </w:tcPr>
          <w:p>
            <w:r>
              <w:t>Curva di fatica per giunti saldati non protetti in acqua di mare</w:t>
            </w:r>
          </w:p>
        </w:tc>
        <w:tc>
          <w:tcPr>
            <w:tcW w:type="dxa" w:w="960"/>
          </w:tcPr>
          <w:p>
            <w:r>
              <w:t>17, 19</w:t>
            </w:r>
          </w:p>
        </w:tc>
      </w:tr>
      <w:tr>
        <w:trPr>
          <w:cantSplit/>
        </w:trPr>
        <w:tc>
          <w:tcPr>
            <w:tcW w:type="dxa" w:w="1700"/>
          </w:tcPr>
          <w:p>
            <w:r>
              <w:rPr>
                <w:b/>
              </w:rPr>
              <w:t>D.D.</w:t>
            </w:r>
          </w:p>
        </w:tc>
        <w:tc>
          <w:tcPr>
            <w:tcW w:type="dxa" w:w="2600"/>
          </w:tcPr>
          <w:p>
            <w:r>
              <w:t>Decreto Direttoriale</w:t>
            </w:r>
          </w:p>
        </w:tc>
        <w:tc>
          <w:tcPr>
            <w:tcW w:type="dxa" w:w="4100"/>
          </w:tcPr>
          <w:p>
            <w:r>
              <w:t>Atto del Ministero: D.D. 201/2024 fissa il programma del corso, D.D. 76/2025 gli esami</w:t>
            </w:r>
          </w:p>
        </w:tc>
        <w:tc>
          <w:tcPr>
            <w:tcW w:type="dxa" w:w="960"/>
          </w:tcPr>
          <w:p>
            <w:r>
              <w:t>1–2, 11, 45</w:t>
            </w:r>
          </w:p>
        </w:tc>
      </w:tr>
      <w:tr>
        <w:trPr>
          <w:cantSplit/>
        </w:trPr>
        <w:tc>
          <w:tcPr>
            <w:tcW w:type="dxa" w:w="1700"/>
          </w:tcPr>
          <w:p>
            <w:r>
              <w:rPr>
                <w:b/>
              </w:rPr>
              <w:t>ESP</w:t>
            </w:r>
          </w:p>
        </w:tc>
        <w:tc>
          <w:tcPr>
            <w:tcW w:type="dxa" w:w="2600"/>
          </w:tcPr>
          <w:p>
            <w:r>
              <w:t>Enhanced Survey Programme</w:t>
            </w:r>
          </w:p>
        </w:tc>
        <w:tc>
          <w:tcPr>
            <w:tcW w:type="dxa" w:w="4100"/>
          </w:tcPr>
          <w:p>
            <w:r>
              <w:t>Programma di ispezioni rafforzate: visite più estese e misure di spessore che crescono con l'età della nave</w:t>
            </w:r>
          </w:p>
        </w:tc>
        <w:tc>
          <w:tcPr>
            <w:tcW w:type="dxa" w:w="960"/>
          </w:tcPr>
          <w:p>
            <w:r>
              <w:t>1–4, 6–11, 15–16, 21, 23–35, 42, 44–45, 47, 51, 54–55</w:t>
            </w:r>
          </w:p>
        </w:tc>
      </w:tr>
      <w:tr>
        <w:trPr>
          <w:cantSplit/>
        </w:trPr>
        <w:tc>
          <w:tcPr>
            <w:tcW w:type="dxa" w:w="1700"/>
          </w:tcPr>
          <w:p>
            <w:r>
              <w:rPr>
                <w:b/>
              </w:rPr>
              <w:t>ESP Code (2011)</w:t>
            </w:r>
          </w:p>
        </w:tc>
        <w:tc>
          <w:tcPr>
            <w:tcW w:type="dxa" w:w="2600"/>
          </w:tcPr>
          <w:p>
            <w:r>
              <w:t>International Code on the Enhanced Programme of Inspections during Surveys of Bulk Carriers and Oil Tankers, 2011</w:t>
            </w:r>
          </w:p>
        </w:tc>
        <w:tc>
          <w:tcPr>
            <w:tcW w:type="dxa" w:w="4100"/>
          </w:tcPr>
          <w:p>
            <w:r>
              <w:t>Il codice IMO che dice come, quanto e quando ispezionare la struttura di portarinfuse e petroliere</w:t>
            </w:r>
          </w:p>
        </w:tc>
        <w:tc>
          <w:tcPr>
            <w:tcW w:type="dxa" w:w="960"/>
          </w:tcPr>
          <w:p>
            <w:r>
              <w:t>1–2, 23–25, 45</w:t>
            </w:r>
          </w:p>
        </w:tc>
      </w:tr>
      <w:tr>
        <w:trPr>
          <w:cantSplit/>
        </w:trPr>
        <w:tc>
          <w:tcPr>
            <w:tcW w:type="dxa" w:w="1700"/>
          </w:tcPr>
          <w:p>
            <w:r>
              <w:rPr>
                <w:b/>
              </w:rPr>
              <w:t>IACS</w:t>
            </w:r>
          </w:p>
        </w:tc>
        <w:tc>
          <w:tcPr>
            <w:tcW w:type="dxa" w:w="2600"/>
          </w:tcPr>
          <w:p>
            <w:r>
              <w:t>International Association of Classification Societies</w:t>
            </w:r>
          </w:p>
        </w:tc>
        <w:tc>
          <w:tcPr>
            <w:tcW w:type="dxa" w:w="4100"/>
          </w:tcPr>
          <w:p>
            <w:r>
              <w:t>Associazione delle principali società di classifica; scrive regole e requisiti comuni (UR, CSR)</w:t>
            </w:r>
          </w:p>
        </w:tc>
        <w:tc>
          <w:tcPr>
            <w:tcW w:type="dxa" w:w="960"/>
          </w:tcPr>
          <w:p>
            <w:r>
              <w:t>1–2, 9, 11–12, 14–15, 20–21, 23, 25–28, 30–32, 41, 46–47, 52</w:t>
            </w:r>
          </w:p>
        </w:tc>
      </w:tr>
      <w:tr>
        <w:trPr>
          <w:cantSplit/>
        </w:trPr>
        <w:tc>
          <w:tcPr>
            <w:tcW w:type="dxa" w:w="1700"/>
          </w:tcPr>
          <w:p>
            <w:r>
              <w:rPr>
                <w:b/>
              </w:rPr>
              <w:t>IMO</w:t>
            </w:r>
          </w:p>
        </w:tc>
        <w:tc>
          <w:tcPr>
            <w:tcW w:type="dxa" w:w="2600"/>
          </w:tcPr>
          <w:p>
            <w:r>
              <w:t>International Maritime Organization</w:t>
            </w:r>
          </w:p>
        </w:tc>
        <w:tc>
          <w:tcPr>
            <w:tcW w:type="dxa" w:w="4100"/>
          </w:tcPr>
          <w:p>
            <w:r>
              <w:t>Agenzia dell'ONU che scrive le convenzioni marittime internazionali (SOLAS, codici)</w:t>
            </w:r>
          </w:p>
        </w:tc>
        <w:tc>
          <w:tcPr>
            <w:tcW w:type="dxa" w:w="960"/>
          </w:tcPr>
          <w:p>
            <w:r>
              <w:t>2, 24</w:t>
            </w:r>
          </w:p>
        </w:tc>
      </w:tr>
      <w:tr>
        <w:trPr>
          <w:cantSplit/>
        </w:trPr>
        <w:tc>
          <w:tcPr>
            <w:tcW w:type="dxa" w:w="1700"/>
          </w:tcPr>
          <w:p>
            <w:r>
              <w:rPr>
                <w:b/>
              </w:rPr>
              <w:t>ISM</w:t>
            </w:r>
          </w:p>
        </w:tc>
        <w:tc>
          <w:tcPr>
            <w:tcW w:type="dxa" w:w="2600"/>
          </w:tcPr>
          <w:p>
            <w:r>
              <w:t>International Safety Management Code</w:t>
            </w:r>
          </w:p>
        </w:tc>
        <w:tc>
          <w:tcPr>
            <w:tcW w:type="dxa" w:w="4100"/>
          </w:tcPr>
          <w:p>
            <w:r>
              <w:t>Sistema di gestione della sicurezza di nave e Compagnia; è il canale per segnalare danni e anomalie</w:t>
            </w:r>
          </w:p>
        </w:tc>
        <w:tc>
          <w:tcPr>
            <w:tcW w:type="dxa" w:w="960"/>
          </w:tcPr>
          <w:p>
            <w:r>
              <w:t>21, 35</w:t>
            </w:r>
          </w:p>
        </w:tc>
      </w:tr>
      <w:tr>
        <w:trPr>
          <w:cantSplit/>
        </w:trPr>
        <w:tc>
          <w:tcPr>
            <w:tcW w:type="dxa" w:w="1700"/>
          </w:tcPr>
          <w:p>
            <w:r>
              <w:rPr>
                <w:b/>
              </w:rPr>
              <w:t>MSC</w:t>
            </w:r>
          </w:p>
        </w:tc>
        <w:tc>
          <w:tcPr>
            <w:tcW w:type="dxa" w:w="2600"/>
          </w:tcPr>
          <w:p>
            <w:r>
              <w:t>Maritime Safety Committee</w:t>
            </w:r>
          </w:p>
        </w:tc>
        <w:tc>
          <w:tcPr>
            <w:tcW w:type="dxa" w:w="4100"/>
          </w:tcPr>
          <w:p>
            <w:r>
              <w:t>Comitato IMO per la sicurezza marittima; approva gli emendamenti a SOLAS e codici</w:t>
            </w:r>
          </w:p>
        </w:tc>
        <w:tc>
          <w:tcPr>
            <w:tcW w:type="dxa" w:w="960"/>
          </w:tcPr>
          <w:p>
            <w:r>
              <w:t>2, 15, 24, 29, 32–33, 35</w:t>
            </w:r>
          </w:p>
        </w:tc>
      </w:tr>
      <w:tr>
        <w:trPr>
          <w:cantSplit/>
        </w:trPr>
        <w:tc>
          <w:tcPr>
            <w:tcW w:type="dxa" w:w="1700"/>
          </w:tcPr>
          <w:p>
            <w:r>
              <w:rPr>
                <w:b/>
              </w:rPr>
              <w:t>MSC.1/Circ.1700</w:t>
            </w:r>
          </w:p>
        </w:tc>
        <w:tc>
          <w:tcPr>
            <w:tcW w:type="dxa" w:w="2600"/>
          </w:tcPr>
          <w:p>
            <w:r>
              <w:t>Circolare n. 1700 del MSC</w:t>
            </w:r>
          </w:p>
        </w:tc>
        <w:tc>
          <w:tcPr>
            <w:tcW w:type="dxa" w:w="4100"/>
          </w:tcPr>
          <w:p>
            <w:r>
              <w:t>Linee guida sull'uso delle tecniche di ispezione a distanza (RIT) nelle visite ESP</w:t>
            </w:r>
          </w:p>
        </w:tc>
        <w:tc>
          <w:tcPr>
            <w:tcW w:type="dxa" w:w="960"/>
          </w:tcPr>
          <w:p>
            <w:r>
              <w:t>2, 24, 33</w:t>
            </w:r>
          </w:p>
        </w:tc>
      </w:tr>
      <w:tr>
        <w:trPr>
          <w:cantSplit/>
        </w:trPr>
        <w:tc>
          <w:tcPr>
            <w:tcW w:type="dxa" w:w="1700"/>
          </w:tcPr>
          <w:p>
            <w:r>
              <w:rPr>
                <w:b/>
              </w:rPr>
              <w:t>MSC.215(82)</w:t>
            </w:r>
          </w:p>
        </w:tc>
        <w:tc>
          <w:tcPr>
            <w:tcW w:type="dxa" w:w="2600"/>
          </w:tcPr>
          <w:p>
            <w:r>
              <w:t>Risoluzione n. 215 del MSC, 82ª sessione</w:t>
            </w:r>
          </w:p>
        </w:tc>
        <w:tc>
          <w:tcPr>
            <w:tcW w:type="dxa" w:w="4100"/>
          </w:tcPr>
          <w:p>
            <w:r>
              <w:t>Performance Standard for Protective Coatings (PSPC)</w:t>
            </w:r>
          </w:p>
        </w:tc>
        <w:tc>
          <w:tcPr>
            <w:tcW w:type="dxa" w:w="960"/>
          </w:tcPr>
          <w:p>
            <w:r>
              <w:t>2, 15</w:t>
            </w:r>
          </w:p>
        </w:tc>
      </w:tr>
      <w:tr>
        <w:trPr>
          <w:cantSplit/>
        </w:trPr>
        <w:tc>
          <w:tcPr>
            <w:tcW w:type="dxa" w:w="1700"/>
          </w:tcPr>
          <w:p>
            <w:r>
              <w:rPr>
                <w:b/>
              </w:rPr>
              <w:t>MSC.325(90)</w:t>
            </w:r>
          </w:p>
        </w:tc>
        <w:tc>
          <w:tcPr>
            <w:tcW w:type="dxa" w:w="2600"/>
          </w:tcPr>
          <w:p>
            <w:r>
              <w:t>Risoluzione n. 325 del MSC, 90ª sessione</w:t>
            </w:r>
          </w:p>
        </w:tc>
        <w:tc>
          <w:tcPr>
            <w:tcW w:type="dxa" w:w="4100"/>
          </w:tcPr>
          <w:p>
            <w:r>
              <w:t>Emendamento SOLAS che rende obbligatorio il 2011 ESP Code (data 1/1/2014 da confermare)</w:t>
            </w:r>
          </w:p>
        </w:tc>
        <w:tc>
          <w:tcPr>
            <w:tcW w:type="dxa" w:w="960"/>
          </w:tcPr>
          <w:p>
            <w:r>
              <w:t>24</w:t>
            </w:r>
          </w:p>
        </w:tc>
      </w:tr>
      <w:tr>
        <w:trPr>
          <w:cantSplit/>
        </w:trPr>
        <w:tc>
          <w:tcPr>
            <w:tcW w:type="dxa" w:w="1700"/>
          </w:tcPr>
          <w:p>
            <w:r>
              <w:rPr>
                <w:b/>
              </w:rPr>
              <w:t>MSC.525(106)</w:t>
            </w:r>
          </w:p>
        </w:tc>
        <w:tc>
          <w:tcPr>
            <w:tcW w:type="dxa" w:w="2600"/>
          </w:tcPr>
          <w:p>
            <w:r>
              <w:t>Risoluzione n. 525 del MSC, 106ª sessione</w:t>
            </w:r>
          </w:p>
        </w:tc>
        <w:tc>
          <w:tcPr>
            <w:tcW w:type="dxa" w:w="4100"/>
          </w:tcPr>
          <w:p>
            <w:r>
              <w:t>Emendamenti ESP in vigore dal 1/7/2024: esame annuale delle cisterne con rivestimento meno che GOOD</w:t>
            </w:r>
          </w:p>
        </w:tc>
        <w:tc>
          <w:tcPr>
            <w:tcW w:type="dxa" w:w="960"/>
          </w:tcPr>
          <w:p>
            <w:r>
              <w:t>24, 29</w:t>
            </w:r>
          </w:p>
        </w:tc>
      </w:tr>
      <w:tr>
        <w:trPr>
          <w:cantSplit/>
        </w:trPr>
        <w:tc>
          <w:tcPr>
            <w:tcW w:type="dxa" w:w="1700"/>
          </w:tcPr>
          <w:p>
            <w:r>
              <w:rPr>
                <w:b/>
              </w:rPr>
              <w:t>MSC.553(108)</w:t>
            </w:r>
          </w:p>
        </w:tc>
        <w:tc>
          <w:tcPr>
            <w:tcW w:type="dxa" w:w="2600"/>
          </w:tcPr>
          <w:p>
            <w:r>
              <w:t>Risoluzione n. 553 del MSC, 108ª sessione</w:t>
            </w:r>
          </w:p>
        </w:tc>
        <w:tc>
          <w:tcPr>
            <w:tcW w:type="dxa" w:w="4100"/>
          </w:tcPr>
          <w:p>
            <w:r>
              <w:t>Emendamenti ESP in vigore dal 1/1/2026: requisiti per le ditte che misurano gli spessori</w:t>
            </w:r>
          </w:p>
        </w:tc>
        <w:tc>
          <w:tcPr>
            <w:tcW w:type="dxa" w:w="960"/>
          </w:tcPr>
          <w:p>
            <w:r>
              <w:t>24, 32</w:t>
            </w:r>
          </w:p>
        </w:tc>
      </w:tr>
      <w:tr>
        <w:trPr>
          <w:cantSplit/>
        </w:trPr>
        <w:tc>
          <w:tcPr>
            <w:tcW w:type="dxa" w:w="1700"/>
          </w:tcPr>
          <w:p>
            <w:r>
              <w:rPr>
                <w:b/>
              </w:rPr>
              <w:t>MSC.581(110)</w:t>
            </w:r>
          </w:p>
        </w:tc>
        <w:tc>
          <w:tcPr>
            <w:tcW w:type="dxa" w:w="2600"/>
          </w:tcPr>
          <w:p>
            <w:r>
              <w:t>Risoluzione n. 581 del MSC, 110ª sessione</w:t>
            </w:r>
          </w:p>
        </w:tc>
        <w:tc>
          <w:tcPr>
            <w:tcW w:type="dxa" w:w="4100"/>
          </w:tcPr>
          <w:p>
            <w:r>
              <w:t>Nuove regole per l'ingresso negli spazi chiusi (cisterne, stive)</w:t>
            </w:r>
          </w:p>
        </w:tc>
        <w:tc>
          <w:tcPr>
            <w:tcW w:type="dxa" w:w="960"/>
          </w:tcPr>
          <w:p>
            <w:r>
              <w:t>35</w:t>
            </w:r>
          </w:p>
        </w:tc>
      </w:tr>
      <w:tr>
        <w:trPr>
          <w:cantSplit/>
        </w:trPr>
        <w:tc>
          <w:tcPr>
            <w:tcW w:type="dxa" w:w="1700"/>
          </w:tcPr>
          <w:p>
            <w:r>
              <w:rPr>
                <w:b/>
              </w:rPr>
              <w:t>MSC.584(111)</w:t>
            </w:r>
          </w:p>
        </w:tc>
        <w:tc>
          <w:tcPr>
            <w:tcW w:type="dxa" w:w="2600"/>
          </w:tcPr>
          <w:p>
            <w:r>
              <w:t>Risoluzione n. 584 del MSC, 111ª sessione</w:t>
            </w:r>
          </w:p>
        </w:tc>
        <w:tc>
          <w:tcPr>
            <w:tcW w:type="dxa" w:w="4100"/>
          </w:tcPr>
          <w:p>
            <w:r>
              <w:t>Emendamenti ESP in vigore dal 1/1/2028: ammessi droni e robot (RIT) per le ispezioni ravvicinate</w:t>
            </w:r>
          </w:p>
        </w:tc>
        <w:tc>
          <w:tcPr>
            <w:tcW w:type="dxa" w:w="960"/>
          </w:tcPr>
          <w:p>
            <w:r>
              <w:t>2, 24, 33</w:t>
            </w:r>
          </w:p>
        </w:tc>
      </w:tr>
      <w:tr>
        <w:trPr>
          <w:cantSplit/>
        </w:trPr>
        <w:tc>
          <w:tcPr>
            <w:tcW w:type="dxa" w:w="1700"/>
          </w:tcPr>
          <w:p>
            <w:r>
              <w:rPr>
                <w:b/>
              </w:rPr>
              <w:t>PMS</w:t>
            </w:r>
          </w:p>
        </w:tc>
        <w:tc>
          <w:tcPr>
            <w:tcW w:type="dxa" w:w="2600"/>
          </w:tcPr>
          <w:p>
            <w:r>
              <w:t>Planned Maintenance System</w:t>
            </w:r>
          </w:p>
        </w:tc>
        <w:tc>
          <w:tcPr>
            <w:tcW w:type="dxa" w:w="4100"/>
          </w:tcPr>
          <w:p>
            <w:r>
              <w:t>Sistema di manutenzione programmata della nave, dove si registrano anche i ritocchi del rivestimento</w:t>
            </w:r>
          </w:p>
        </w:tc>
        <w:tc>
          <w:tcPr>
            <w:tcW w:type="dxa" w:w="960"/>
          </w:tcPr>
          <w:p>
            <w:r>
              <w:t>21</w:t>
            </w:r>
          </w:p>
        </w:tc>
      </w:tr>
      <w:tr>
        <w:trPr>
          <w:cantSplit/>
        </w:trPr>
        <w:tc>
          <w:tcPr>
            <w:tcW w:type="dxa" w:w="1700"/>
          </w:tcPr>
          <w:p>
            <w:r>
              <w:rPr>
                <w:b/>
              </w:rPr>
              <w:t>PSPC</w:t>
            </w:r>
          </w:p>
        </w:tc>
        <w:tc>
          <w:tcPr>
            <w:tcW w:type="dxa" w:w="2600"/>
          </w:tcPr>
          <w:p>
            <w:r>
              <w:t>Performance Standard for Protective Coatings</w:t>
            </w:r>
          </w:p>
        </w:tc>
        <w:tc>
          <w:tcPr>
            <w:tcW w:type="dxa" w:w="4100"/>
          </w:tcPr>
          <w:p>
            <w:r>
              <w:t>Norma IMO (MSC.215(82)) sui rivestimenti delle cisterne di zavorra, resa obbligatoria da SOLAS II-1/3-2</w:t>
            </w:r>
          </w:p>
        </w:tc>
        <w:tc>
          <w:tcPr>
            <w:tcW w:type="dxa" w:w="960"/>
          </w:tcPr>
          <w:p>
            <w:r>
              <w:t>2, 15</w:t>
            </w:r>
          </w:p>
        </w:tc>
      </w:tr>
      <w:tr>
        <w:trPr>
          <w:cantSplit/>
        </w:trPr>
        <w:tc>
          <w:tcPr>
            <w:tcW w:type="dxa" w:w="1700"/>
          </w:tcPr>
          <w:p>
            <w:r>
              <w:rPr>
                <w:b/>
              </w:rPr>
              <w:t>PSC</w:t>
            </w:r>
          </w:p>
        </w:tc>
        <w:tc>
          <w:tcPr>
            <w:tcW w:type="dxa" w:w="2600"/>
          </w:tcPr>
          <w:p>
            <w:r>
              <w:t>Port State Control</w:t>
            </w:r>
          </w:p>
        </w:tc>
        <w:tc>
          <w:tcPr>
            <w:tcW w:type="dxa" w:w="4100"/>
          </w:tcPr>
          <w:p>
            <w:r>
              <w:t>Ispezione di una nave straniera da parte delle autorità del porto in cui si trova</w:t>
            </w:r>
          </w:p>
        </w:tc>
        <w:tc>
          <w:tcPr>
            <w:tcW w:type="dxa" w:w="960"/>
          </w:tcPr>
          <w:p>
            <w:r>
              <w:t>35</w:t>
            </w:r>
          </w:p>
        </w:tc>
      </w:tr>
      <w:tr>
        <w:trPr>
          <w:cantSplit/>
        </w:trPr>
        <w:tc>
          <w:tcPr>
            <w:tcW w:type="dxa" w:w="1700"/>
          </w:tcPr>
          <w:p>
            <w:r>
              <w:rPr>
                <w:b/>
              </w:rPr>
              <w:t>Pt 1 Ch 13</w:t>
            </w:r>
          </w:p>
        </w:tc>
        <w:tc>
          <w:tcPr>
            <w:tcW w:type="dxa" w:w="2600"/>
          </w:tcPr>
          <w:p>
            <w:r>
              <w:t>Part 1, Chapter 13 (delle CSR)</w:t>
            </w:r>
          </w:p>
        </w:tc>
        <w:tc>
          <w:tcPr>
            <w:tcW w:type="dxa" w:w="4100"/>
          </w:tcPr>
          <w:p>
            <w:r>
              <w:t>Capitolo delle CSR sulle navi in esercizio: spessori di rinnovo e corrosione</w:t>
            </w:r>
          </w:p>
        </w:tc>
        <w:tc>
          <w:tcPr>
            <w:tcW w:type="dxa" w:w="960"/>
          </w:tcPr>
          <w:p>
            <w:r>
              <w:t>16</w:t>
            </w:r>
          </w:p>
        </w:tc>
      </w:tr>
      <w:tr>
        <w:trPr>
          <w:cantSplit/>
        </w:trPr>
        <w:tc>
          <w:tcPr>
            <w:tcW w:type="dxa" w:w="1700"/>
          </w:tcPr>
          <w:p>
            <w:r>
              <w:rPr>
                <w:b/>
              </w:rPr>
              <w:t>Rec. 46</w:t>
            </w:r>
          </w:p>
        </w:tc>
        <w:tc>
          <w:tcPr>
            <w:tcW w:type="dxa" w:w="2600"/>
          </w:tcPr>
          <w:p>
            <w:r>
              <w:t>IACS Recommendation No. 46</w:t>
            </w:r>
          </w:p>
        </w:tc>
        <w:tc>
          <w:tcPr>
            <w:tcW w:type="dxa" w:w="4100"/>
          </w:tcPr>
          <w:p>
            <w:r>
              <w:t>Guida IACS al carico e scarico delle portarinfuse; Rev.2, gennaio 2020</w:t>
            </w:r>
          </w:p>
        </w:tc>
        <w:tc>
          <w:tcPr>
            <w:tcW w:type="dxa" w:w="960"/>
          </w:tcPr>
          <w:p>
            <w:r>
              <w:t>1–2, 11, 14, 18, 20–21</w:t>
            </w:r>
          </w:p>
        </w:tc>
      </w:tr>
      <w:tr>
        <w:trPr>
          <w:cantSplit/>
        </w:trPr>
        <w:tc>
          <w:tcPr>
            <w:tcW w:type="dxa" w:w="1700"/>
          </w:tcPr>
          <w:p>
            <w:r>
              <w:rPr>
                <w:b/>
              </w:rPr>
              <w:t>RIT</w:t>
            </w:r>
          </w:p>
        </w:tc>
        <w:tc>
          <w:tcPr>
            <w:tcW w:type="dxa" w:w="2600"/>
          </w:tcPr>
          <w:p>
            <w:r>
              <w:t>Remote Inspection Techniques</w:t>
            </w:r>
          </w:p>
        </w:tc>
        <w:tc>
          <w:tcPr>
            <w:tcW w:type="dxa" w:w="4100"/>
          </w:tcPr>
          <w:p>
            <w:r>
              <w:t>Tecniche di ispezione a distanza: droni, robot, telecamere al posto di ponteggi e piattaforme</w:t>
            </w:r>
          </w:p>
        </w:tc>
        <w:tc>
          <w:tcPr>
            <w:tcW w:type="dxa" w:w="960"/>
          </w:tcPr>
          <w:p>
            <w:r>
              <w:t>24, 33</w:t>
            </w:r>
          </w:p>
        </w:tc>
      </w:tr>
      <w:tr>
        <w:trPr>
          <w:cantSplit/>
        </w:trPr>
        <w:tc>
          <w:tcPr>
            <w:tcW w:type="dxa" w:w="1700"/>
          </w:tcPr>
          <w:p>
            <w:r>
              <w:rPr>
                <w:b/>
              </w:rPr>
              <w:t>SOLAS</w:t>
            </w:r>
          </w:p>
        </w:tc>
        <w:tc>
          <w:tcPr>
            <w:tcW w:type="dxa" w:w="2600"/>
          </w:tcPr>
          <w:p>
            <w:r>
              <w:t>International Convention for the Safety of Life at Sea</w:t>
            </w:r>
          </w:p>
        </w:tc>
        <w:tc>
          <w:tcPr>
            <w:tcW w:type="dxa" w:w="4100"/>
          </w:tcPr>
          <w:p>
            <w:r>
              <w:t>La convenzione internazionale sulla sicurezza della vita umana in mare</w:t>
            </w:r>
          </w:p>
        </w:tc>
        <w:tc>
          <w:tcPr>
            <w:tcW w:type="dxa" w:w="960"/>
          </w:tcPr>
          <w:p>
            <w:r>
              <w:t>1–3, 9, 15, 21, 23–25, 46–48</w:t>
            </w:r>
          </w:p>
        </w:tc>
      </w:tr>
      <w:tr>
        <w:trPr>
          <w:cantSplit/>
        </w:trPr>
        <w:tc>
          <w:tcPr>
            <w:tcW w:type="dxa" w:w="1700"/>
          </w:tcPr>
          <w:p>
            <w:r>
              <w:rPr>
                <w:b/>
              </w:rPr>
              <w:t>SOLAS XI-1/2</w:t>
            </w:r>
          </w:p>
        </w:tc>
        <w:tc>
          <w:tcPr>
            <w:tcW w:type="dxa" w:w="2600"/>
          </w:tcPr>
          <w:p>
            <w:r>
              <w:t>Capitolo XI-1, regola 2 della SOLAS (prima: XI/2)</w:t>
            </w:r>
          </w:p>
        </w:tc>
        <w:tc>
          <w:tcPr>
            <w:tcW w:type="dxa" w:w="4100"/>
          </w:tcPr>
          <w:p>
            <w:r>
              <w:t>La regola che rende obbligatorie le ispezioni rafforzate ESP</w:t>
            </w:r>
          </w:p>
        </w:tc>
        <w:tc>
          <w:tcPr>
            <w:tcW w:type="dxa" w:w="960"/>
          </w:tcPr>
          <w:p>
            <w:r>
              <w:t>1–2, 23–25</w:t>
            </w:r>
          </w:p>
        </w:tc>
      </w:tr>
      <w:tr>
        <w:trPr>
          <w:cantSplit/>
        </w:trPr>
        <w:tc>
          <w:tcPr>
            <w:tcW w:type="dxa" w:w="1700"/>
          </w:tcPr>
          <w:p>
            <w:r>
              <w:rPr>
                <w:b/>
              </w:rPr>
              <w:t>SOLAS XII</w:t>
            </w:r>
          </w:p>
        </w:tc>
        <w:tc>
          <w:tcPr>
            <w:tcW w:type="dxa" w:w="2600"/>
          </w:tcPr>
          <w:p>
            <w:r>
              <w:t>Capitolo XII della SOLAS</w:t>
            </w:r>
          </w:p>
        </w:tc>
        <w:tc>
          <w:tcPr>
            <w:tcW w:type="dxa" w:w="4100"/>
          </w:tcPr>
          <w:p>
            <w:r>
              <w:t>Misure di sicurezza aggiuntive per le portarinfuse; XII/6.2 doppio fianco, XII/12 allarmi di ingresso d'acqua, XII/13 esaurimento a prora</w:t>
            </w:r>
          </w:p>
        </w:tc>
        <w:tc>
          <w:tcPr>
            <w:tcW w:type="dxa" w:w="960"/>
          </w:tcPr>
          <w:p>
            <w:r>
              <w:t>2–3, 9, 21, 24, 46–48</w:t>
            </w:r>
          </w:p>
        </w:tc>
      </w:tr>
      <w:tr>
        <w:trPr>
          <w:cantSplit/>
        </w:trPr>
        <w:tc>
          <w:tcPr>
            <w:tcW w:type="dxa" w:w="1700"/>
          </w:tcPr>
          <w:p>
            <w:r>
              <w:rPr>
                <w:b/>
              </w:rPr>
              <w:t>S-N</w:t>
            </w:r>
          </w:p>
        </w:tc>
        <w:tc>
          <w:tcPr>
            <w:tcW w:type="dxa" w:w="2600"/>
          </w:tcPr>
          <w:p>
            <w:r>
              <w:t>Stress – Number of cycles</w:t>
            </w:r>
          </w:p>
        </w:tc>
        <w:tc>
          <w:tcPr>
            <w:tcW w:type="dxa" w:w="4100"/>
          </w:tcPr>
          <w:p>
            <w:r>
              <w:t>Curva che lega escursione di tensione e numero di cicli a rottura per fatica</w:t>
            </w:r>
          </w:p>
        </w:tc>
        <w:tc>
          <w:tcPr>
            <w:tcW w:type="dxa" w:w="960"/>
          </w:tcPr>
          <w:p>
            <w:r>
              <w:t>17, 19, 22</w:t>
            </w:r>
          </w:p>
        </w:tc>
      </w:tr>
      <w:tr>
        <w:trPr>
          <w:cantSplit/>
        </w:trPr>
        <w:tc>
          <w:tcPr>
            <w:tcW w:type="dxa" w:w="1700"/>
          </w:tcPr>
          <w:p>
            <w:r>
              <w:rPr>
                <w:b/>
              </w:rPr>
              <w:t>U.D.</w:t>
            </w:r>
          </w:p>
        </w:tc>
        <w:tc>
          <w:tcPr>
            <w:tcW w:type="dxa" w:w="2600"/>
          </w:tcPr>
          <w:p>
            <w:r>
              <w:t>Unità didattica</w:t>
            </w:r>
          </w:p>
        </w:tc>
        <w:tc>
          <w:tcPr>
            <w:tcW w:type="dxa" w:w="4100"/>
          </w:tcPr>
          <w:p>
            <w:r>
              <w:t>Parte numerata del programma del corso (es. U.D. 2.2.1)</w:t>
            </w:r>
          </w:p>
        </w:tc>
        <w:tc>
          <w:tcPr>
            <w:tcW w:type="dxa" w:w="960"/>
          </w:tcPr>
          <w:p>
            <w:r>
              <w:t>1–55</w:t>
            </w:r>
          </w:p>
        </w:tc>
      </w:tr>
      <w:tr>
        <w:trPr>
          <w:cantSplit/>
        </w:trPr>
        <w:tc>
          <w:tcPr>
            <w:tcW w:type="dxa" w:w="1700"/>
          </w:tcPr>
          <w:p>
            <w:r>
              <w:rPr>
                <w:b/>
              </w:rPr>
              <w:t>UR</w:t>
            </w:r>
          </w:p>
        </w:tc>
        <w:tc>
          <w:tcPr>
            <w:tcW w:type="dxa" w:w="2600"/>
          </w:tcPr>
          <w:p>
            <w:r>
              <w:t>Unified Requirement (IACS)</w:t>
            </w:r>
          </w:p>
        </w:tc>
        <w:tc>
          <w:tcPr>
            <w:tcW w:type="dxa" w:w="4100"/>
          </w:tcPr>
          <w:p>
            <w:r>
              <w:t>Requisito uniforme IACS, applicato da tutte le società di classifica che ne fanno parte</w:t>
            </w:r>
          </w:p>
        </w:tc>
        <w:tc>
          <w:tcPr>
            <w:tcW w:type="dxa" w:w="960"/>
          </w:tcPr>
          <w:p>
            <w:r>
              <w:t>1–2, 9, 11–12, 15, 22, 25–26, 28, 30–32, 41, 44, 46–47, 52</w:t>
            </w:r>
          </w:p>
        </w:tc>
      </w:tr>
      <w:tr>
        <w:trPr>
          <w:cantSplit/>
        </w:trPr>
        <w:tc>
          <w:tcPr>
            <w:tcW w:type="dxa" w:w="1700"/>
          </w:tcPr>
          <w:p>
            <w:r>
              <w:rPr>
                <w:b/>
              </w:rPr>
              <w:t>UR S11</w:t>
            </w:r>
          </w:p>
        </w:tc>
        <w:tc>
          <w:tcPr>
            <w:tcW w:type="dxa" w:w="2600"/>
          </w:tcPr>
          <w:p>
            <w:r>
              <w:t>Unified Requirement S11</w:t>
            </w:r>
          </w:p>
        </w:tc>
        <w:tc>
          <w:tcPr>
            <w:tcW w:type="dxa" w:w="4100"/>
          </w:tcPr>
          <w:p>
            <w:r>
              <w:t>Robustezza longitudinale: limiti di tensione 175/k (flessione) e 110/k (taglio) N/mm²</w:t>
            </w:r>
          </w:p>
        </w:tc>
        <w:tc>
          <w:tcPr>
            <w:tcW w:type="dxa" w:w="960"/>
          </w:tcPr>
          <w:p>
            <w:r>
              <w:t>1–2, 41, 52</w:t>
            </w:r>
          </w:p>
        </w:tc>
      </w:tr>
      <w:tr>
        <w:trPr>
          <w:cantSplit/>
        </w:trPr>
        <w:tc>
          <w:tcPr>
            <w:tcW w:type="dxa" w:w="1700"/>
          </w:tcPr>
          <w:p>
            <w:r>
              <w:rPr>
                <w:b/>
              </w:rPr>
              <w:t>UR S12</w:t>
            </w:r>
          </w:p>
        </w:tc>
        <w:tc>
          <w:tcPr>
            <w:tcW w:type="dxa" w:w="2600"/>
          </w:tcPr>
          <w:p>
            <w:r>
              <w:t>Unified Requirement S12</w:t>
            </w:r>
          </w:p>
        </w:tc>
        <w:tc>
          <w:tcPr>
            <w:tcW w:type="dxa" w:w="4100"/>
          </w:tcPr>
          <w:p>
            <w:r>
              <w:t>Requisiti per il fianco (ossature di stiva) delle portarinfuse a scafo singolo</w:t>
            </w:r>
          </w:p>
        </w:tc>
        <w:tc>
          <w:tcPr>
            <w:tcW w:type="dxa" w:w="960"/>
          </w:tcPr>
          <w:p>
            <w:r>
              <w:t>2, 9</w:t>
            </w:r>
          </w:p>
        </w:tc>
      </w:tr>
      <w:tr>
        <w:trPr>
          <w:cantSplit/>
        </w:trPr>
        <w:tc>
          <w:tcPr>
            <w:tcW w:type="dxa" w:w="1700"/>
          </w:tcPr>
          <w:p>
            <w:r>
              <w:rPr>
                <w:b/>
              </w:rPr>
              <w:t>UR S18</w:t>
            </w:r>
          </w:p>
        </w:tc>
        <w:tc>
          <w:tcPr>
            <w:tcW w:type="dxa" w:w="2600"/>
          </w:tcPr>
          <w:p>
            <w:r>
              <w:t>Unified Requirement S18</w:t>
            </w:r>
          </w:p>
        </w:tc>
        <w:tc>
          <w:tcPr>
            <w:tcW w:type="dxa" w:w="4100"/>
          </w:tcPr>
          <w:p>
            <w:r>
              <w:t>Robustezza delle paratie corrugate tra le stive in caso di allagamento</w:t>
            </w:r>
          </w:p>
        </w:tc>
        <w:tc>
          <w:tcPr>
            <w:tcW w:type="dxa" w:w="960"/>
          </w:tcPr>
          <w:p>
            <w:r>
              <w:t>47</w:t>
            </w:r>
          </w:p>
        </w:tc>
      </w:tr>
      <w:tr>
        <w:trPr>
          <w:cantSplit/>
        </w:trPr>
        <w:tc>
          <w:tcPr>
            <w:tcW w:type="dxa" w:w="1700"/>
          </w:tcPr>
          <w:p>
            <w:r>
              <w:rPr>
                <w:b/>
              </w:rPr>
              <w:t>UR S21</w:t>
            </w:r>
          </w:p>
        </w:tc>
        <w:tc>
          <w:tcPr>
            <w:tcW w:type="dxa" w:w="2600"/>
          </w:tcPr>
          <w:p>
            <w:r>
              <w:t>Unified Requirement S21</w:t>
            </w:r>
          </w:p>
        </w:tc>
        <w:tc>
          <w:tcPr>
            <w:tcW w:type="dxa" w:w="4100"/>
          </w:tcPr>
          <w:p>
            <w:r>
              <w:t>Robustezza dei coperchi dei boccaporti</w:t>
            </w:r>
          </w:p>
        </w:tc>
        <w:tc>
          <w:tcPr>
            <w:tcW w:type="dxa" w:w="960"/>
          </w:tcPr>
          <w:p>
            <w:r>
              <w:t>46</w:t>
            </w:r>
          </w:p>
        </w:tc>
      </w:tr>
      <w:tr>
        <w:trPr>
          <w:cantSplit/>
        </w:trPr>
        <w:tc>
          <w:tcPr>
            <w:tcW w:type="dxa" w:w="1700"/>
          </w:tcPr>
          <w:p>
            <w:r>
              <w:rPr>
                <w:b/>
              </w:rPr>
              <w:t>UR S31</w:t>
            </w:r>
          </w:p>
        </w:tc>
        <w:tc>
          <w:tcPr>
            <w:tcW w:type="dxa" w:w="2600"/>
          </w:tcPr>
          <w:p>
            <w:r>
              <w:t>Unified Requirement S31</w:t>
            </w:r>
          </w:p>
        </w:tc>
        <w:tc>
          <w:tcPr>
            <w:tcW w:type="dxa" w:w="4100"/>
          </w:tcPr>
          <w:p>
            <w:r>
              <w:t>Quando rinnovare le ossature di stiva e i loro braccioli corrosi</w:t>
            </w:r>
          </w:p>
        </w:tc>
        <w:tc>
          <w:tcPr>
            <w:tcW w:type="dxa" w:w="960"/>
          </w:tcPr>
          <w:p>
            <w:r>
              <w:t>2, 9, 44</w:t>
            </w:r>
          </w:p>
        </w:tc>
      </w:tr>
      <w:tr>
        <w:trPr>
          <w:cantSplit/>
        </w:trPr>
        <w:tc>
          <w:tcPr>
            <w:tcW w:type="dxa" w:w="1700"/>
          </w:tcPr>
          <w:p>
            <w:r>
              <w:rPr>
                <w:b/>
              </w:rPr>
              <w:t>UR Z9</w:t>
            </w:r>
          </w:p>
        </w:tc>
        <w:tc>
          <w:tcPr>
            <w:tcW w:type="dxa" w:w="2600"/>
          </w:tcPr>
          <w:p>
            <w:r>
              <w:t>Unified Requirement Z9</w:t>
            </w:r>
          </w:p>
        </w:tc>
        <w:tc>
          <w:tcPr>
            <w:tcW w:type="dxa" w:w="4100"/>
          </w:tcPr>
          <w:p>
            <w:r>
              <w:t>Rivestimenti protettivi delle stive delle portarinfuse; Rev.2, 1996</w:t>
            </w:r>
          </w:p>
        </w:tc>
        <w:tc>
          <w:tcPr>
            <w:tcW w:type="dxa" w:w="960"/>
          </w:tcPr>
          <w:p>
            <w:r>
              <w:t>1–2, 11, 15</w:t>
            </w:r>
          </w:p>
        </w:tc>
      </w:tr>
      <w:tr>
        <w:trPr>
          <w:cantSplit/>
        </w:trPr>
        <w:tc>
          <w:tcPr>
            <w:tcW w:type="dxa" w:w="1700"/>
          </w:tcPr>
          <w:p>
            <w:r>
              <w:rPr>
                <w:b/>
              </w:rPr>
              <w:t>UR Z10.2</w:t>
            </w:r>
          </w:p>
        </w:tc>
        <w:tc>
          <w:tcPr>
            <w:tcW w:type="dxa" w:w="2600"/>
          </w:tcPr>
          <w:p>
            <w:r>
              <w:t>Unified Requirement Z10.2</w:t>
            </w:r>
          </w:p>
        </w:tc>
        <w:tc>
          <w:tcPr>
            <w:tcW w:type="dxa" w:w="4100"/>
          </w:tcPr>
          <w:p>
            <w:r>
              <w:t>Regole di classe per le visite delle portarinfuse a scafo singolo (equivalenti all'ESP)</w:t>
            </w:r>
          </w:p>
        </w:tc>
        <w:tc>
          <w:tcPr>
            <w:tcW w:type="dxa" w:w="960"/>
          </w:tcPr>
          <w:p>
            <w:r>
              <w:t>1–2, 12, 15, 22, 25–26, 30–32</w:t>
            </w:r>
          </w:p>
        </w:tc>
      </w:tr>
      <w:tr>
        <w:trPr>
          <w:cantSplit/>
        </w:trPr>
        <w:tc>
          <w:tcPr>
            <w:tcW w:type="dxa" w:w="1700"/>
          </w:tcPr>
          <w:p>
            <w:r>
              <w:rPr>
                <w:b/>
              </w:rPr>
              <w:t>UR Z10.5</w:t>
            </w:r>
          </w:p>
        </w:tc>
        <w:tc>
          <w:tcPr>
            <w:tcW w:type="dxa" w:w="2600"/>
          </w:tcPr>
          <w:p>
            <w:r>
              <w:t>Unified Requirement Z10.5</w:t>
            </w:r>
          </w:p>
        </w:tc>
        <w:tc>
          <w:tcPr>
            <w:tcW w:type="dxa" w:w="4100"/>
          </w:tcPr>
          <w:p>
            <w:r>
              <w:t>Regole di classe per le visite delle portarinfuse a doppio fianco</w:t>
            </w:r>
          </w:p>
        </w:tc>
        <w:tc>
          <w:tcPr>
            <w:tcW w:type="dxa" w:w="960"/>
          </w:tcPr>
          <w:p>
            <w:r>
              <w:t>2, 25</w:t>
            </w:r>
          </w:p>
        </w:tc>
      </w:tr>
    </w:tbl>
    <w:p/>
    <w:p>
      <w:pPr>
        <w:pStyle w:val="Heading2"/>
      </w:pPr>
      <w:r>
        <w:t>Nave, struttura e visite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700"/>
        <w:gridCol w:w="2600"/>
        <w:gridCol w:w="4100"/>
        <w:gridCol w:w="960"/>
      </w:tblGrid>
      <w:tr>
        <w:trPr>
          <w:tblHeader/>
          <w:cantSplit/>
        </w:trPr>
        <w:tc>
          <w:tcPr>
            <w:tcW w:type="dxa" w:w="1700"/>
            <w:shd w:val="clear" w:color="auto" w:fill="F2F2F2"/>
          </w:tcPr>
          <w:p>
            <w:r>
              <w:rPr>
                <w:b/>
              </w:rPr>
              <w:t>Sigla</w:t>
            </w:r>
          </w:p>
        </w:tc>
        <w:tc>
          <w:tcPr>
            <w:tcW w:type="dxa" w:w="2600"/>
            <w:shd w:val="clear" w:color="auto" w:fill="F2F2F2"/>
          </w:tcPr>
          <w:p>
            <w:r>
              <w:rPr>
                <w:b/>
              </w:rPr>
              <w:t>Per esteso</w:t>
            </w:r>
          </w:p>
        </w:tc>
        <w:tc>
          <w:tcPr>
            <w:tcW w:type="dxa" w:w="4100"/>
            <w:shd w:val="clear" w:color="auto" w:fill="F2F2F2"/>
          </w:tcPr>
          <w:p>
            <w:r>
              <w:rPr>
                <w:b/>
              </w:rPr>
              <w:t>Spiegazione in chiaro</w:t>
            </w:r>
          </w:p>
        </w:tc>
        <w:tc>
          <w:tcPr>
            <w:tcW w:type="dxa" w:w="960"/>
            <w:shd w:val="clear" w:color="auto" w:fill="F2F2F2"/>
          </w:tcPr>
          <w:p>
            <w:r>
              <w:rPr>
                <w:b/>
              </w:rPr>
              <w:t>Slide</w:t>
            </w:r>
          </w:p>
        </w:tc>
      </w:tr>
      <w:tr>
        <w:trPr>
          <w:cantSplit/>
        </w:trPr>
        <w:tc>
          <w:tcPr>
            <w:tcW w:type="dxa" w:w="1700"/>
          </w:tcPr>
          <w:p>
            <w:r>
              <w:rPr>
                <w:b/>
              </w:rPr>
              <w:t>AD</w:t>
            </w:r>
          </w:p>
        </w:tc>
        <w:tc>
          <w:tcPr>
            <w:tcW w:type="dxa" w:w="2600"/>
          </w:tcPr>
          <w:p>
            <w:r>
              <w:t>Addietro</w:t>
            </w:r>
          </w:p>
        </w:tc>
        <w:tc>
          <w:tcPr>
            <w:tcW w:type="dxa" w:w="4100"/>
          </w:tcPr>
          <w:p>
            <w:r>
              <w:t>Verso poppa (PP AD, gavone AD)</w:t>
            </w:r>
          </w:p>
        </w:tc>
        <w:tc>
          <w:tcPr>
            <w:tcW w:type="dxa" w:w="960"/>
          </w:tcPr>
          <w:p>
            <w:r>
              <w:t>4, 47–48</w:t>
            </w:r>
          </w:p>
        </w:tc>
      </w:tr>
      <w:tr>
        <w:trPr>
          <w:cantSplit/>
        </w:trPr>
        <w:tc>
          <w:tcPr>
            <w:tcW w:type="dxa" w:w="1700"/>
          </w:tcPr>
          <w:p>
            <w:r>
              <w:rPr>
                <w:b/>
              </w:rPr>
              <w:t>AV</w:t>
            </w:r>
          </w:p>
        </w:tc>
        <w:tc>
          <w:tcPr>
            <w:tcW w:type="dxa" w:w="2600"/>
          </w:tcPr>
          <w:p>
            <w:r>
              <w:t>Avanti</w:t>
            </w:r>
          </w:p>
        </w:tc>
        <w:tc>
          <w:tcPr>
            <w:tcW w:type="dxa" w:w="4100"/>
          </w:tcPr>
          <w:p>
            <w:r>
              <w:t>Verso prora (PP AV, gavone AV; "stiva AV")</w:t>
            </w:r>
          </w:p>
        </w:tc>
        <w:tc>
          <w:tcPr>
            <w:tcW w:type="dxa" w:w="960"/>
          </w:tcPr>
          <w:p>
            <w:r>
              <w:t>4, 47–48</w:t>
            </w:r>
          </w:p>
        </w:tc>
      </w:tr>
      <w:tr>
        <w:trPr>
          <w:cantSplit/>
        </w:trPr>
        <w:tc>
          <w:tcPr>
            <w:tcW w:type="dxa" w:w="1700"/>
          </w:tcPr>
          <w:p>
            <w:r>
              <w:rPr>
                <w:b/>
              </w:rPr>
              <w:t>DF</w:t>
            </w:r>
          </w:p>
        </w:tc>
        <w:tc>
          <w:tcPr>
            <w:tcW w:type="dxa" w:w="2600"/>
          </w:tcPr>
          <w:p>
            <w:r>
              <w:t>Doppio fondo</w:t>
            </w:r>
          </w:p>
        </w:tc>
        <w:tc>
          <w:tcPr>
            <w:tcW w:type="dxa" w:w="4100"/>
          </w:tcPr>
          <w:p>
            <w:r>
              <w:t>Spazio tra il fondo esterno e il pavimento della stiva; contiene zavorra e combustibile</w:t>
            </w:r>
          </w:p>
        </w:tc>
        <w:tc>
          <w:tcPr>
            <w:tcW w:type="dxa" w:w="960"/>
          </w:tcPr>
          <w:p>
            <w:r>
              <w:t>8, 35, 50</w:t>
            </w:r>
          </w:p>
        </w:tc>
      </w:tr>
      <w:tr>
        <w:trPr>
          <w:cantSplit/>
        </w:trPr>
        <w:tc>
          <w:tcPr>
            <w:tcW w:type="dxa" w:w="1700"/>
          </w:tcPr>
          <w:p>
            <w:r>
              <w:rPr>
                <w:b/>
              </w:rPr>
              <w:t>GOOD / FAIR / POOR</w:t>
            </w:r>
          </w:p>
        </w:tc>
        <w:tc>
          <w:tcPr>
            <w:tcW w:type="dxa" w:w="2600"/>
          </w:tcPr>
          <w:p>
            <w:r>
              <w:t>Buono / discreto / scadente</w:t>
            </w:r>
          </w:p>
        </w:tc>
        <w:tc>
          <w:tcPr>
            <w:tcW w:type="dxa" w:w="4100"/>
          </w:tcPr>
          <w:p>
            <w:r>
              <w:t>Stato del rivestimento protettivo nei rapporti: da pochi punti di ruggine (GOOD) a cedimento esteso (POOR)</w:t>
            </w:r>
          </w:p>
        </w:tc>
        <w:tc>
          <w:tcPr>
            <w:tcW w:type="dxa" w:w="960"/>
          </w:tcPr>
          <w:p>
            <w:r>
              <w:t>15, 29</w:t>
            </w:r>
          </w:p>
        </w:tc>
      </w:tr>
      <w:tr>
        <w:trPr>
          <w:cantSplit/>
        </w:trPr>
        <w:tc>
          <w:tcPr>
            <w:tcW w:type="dxa" w:w="1700"/>
          </w:tcPr>
          <w:p>
            <w:r>
              <w:rPr>
                <w:b/>
              </w:rPr>
              <w:t>LC</w:t>
            </w:r>
          </w:p>
        </w:tc>
        <w:tc>
          <w:tcPr>
            <w:tcW w:type="dxa" w:w="2600"/>
          </w:tcPr>
          <w:p>
            <w:r>
              <w:t>Linea di carico</w:t>
            </w:r>
          </w:p>
        </w:tc>
        <w:tc>
          <w:tcPr>
            <w:tcW w:type="dxa" w:w="4100"/>
          </w:tcPr>
          <w:p>
            <w:r>
              <w:t>La linea di galleggiamento della nave</w:t>
            </w:r>
          </w:p>
        </w:tc>
        <w:tc>
          <w:tcPr>
            <w:tcW w:type="dxa" w:w="960"/>
          </w:tcPr>
          <w:p>
            <w:r>
              <w:t>4, 7</w:t>
            </w:r>
          </w:p>
        </w:tc>
      </w:tr>
      <w:tr>
        <w:trPr>
          <w:cantSplit/>
        </w:trPr>
        <w:tc>
          <w:tcPr>
            <w:tcW w:type="dxa" w:w="1700"/>
          </w:tcPr>
          <w:p>
            <w:r>
              <w:rPr>
                <w:b/>
              </w:rPr>
              <w:t>Lpp</w:t>
            </w:r>
          </w:p>
        </w:tc>
        <w:tc>
          <w:tcPr>
            <w:tcW w:type="dxa" w:w="2600"/>
          </w:tcPr>
          <w:p>
            <w:r>
              <w:t>Lunghezza tra le perpendicolari</w:t>
            </w:r>
          </w:p>
        </w:tc>
        <w:tc>
          <w:tcPr>
            <w:tcW w:type="dxa" w:w="4100"/>
          </w:tcPr>
          <w:p>
            <w:r>
              <w:t>Distanza tra le perpendicolari avanti e addietro</w:t>
            </w:r>
          </w:p>
        </w:tc>
        <w:tc>
          <w:tcPr>
            <w:tcW w:type="dxa" w:w="960"/>
          </w:tcPr>
          <w:p>
            <w:r>
              <w:t>4</w:t>
            </w:r>
          </w:p>
        </w:tc>
      </w:tr>
      <w:tr>
        <w:trPr>
          <w:cantSplit/>
        </w:trPr>
        <w:tc>
          <w:tcPr>
            <w:tcW w:type="dxa" w:w="1700"/>
          </w:tcPr>
          <w:p>
            <w:r>
              <w:rPr>
                <w:b/>
              </w:rPr>
              <w:t>N. 1 … N. 4</w:t>
            </w:r>
          </w:p>
        </w:tc>
        <w:tc>
          <w:tcPr>
            <w:tcW w:type="dxa" w:w="2600"/>
          </w:tcPr>
          <w:p>
            <w:r>
              <w:t>Numero della visita di rinnovo</w:t>
            </w:r>
          </w:p>
        </w:tc>
        <w:tc>
          <w:tcPr>
            <w:tcW w:type="dxa" w:w="4100"/>
          </w:tcPr>
          <w:p>
            <w:r>
              <w:t>N. 1 fino a 5 anni di età, N. 2 da 5 a 10, N. 3 da 10 a 15, N. 4 e seguenti oltre 15</w:t>
            </w:r>
          </w:p>
        </w:tc>
        <w:tc>
          <w:tcPr>
            <w:tcW w:type="dxa" w:w="960"/>
          </w:tcPr>
          <w:p>
            <w:r>
              <w:t>26, 31–32, 45</w:t>
            </w:r>
          </w:p>
        </w:tc>
      </w:tr>
      <w:tr>
        <w:trPr>
          <w:cantSplit/>
        </w:trPr>
        <w:tc>
          <w:tcPr>
            <w:tcW w:type="dxa" w:w="1700"/>
          </w:tcPr>
          <w:p>
            <w:r>
              <w:rPr>
                <w:b/>
              </w:rPr>
              <w:t>PD</w:t>
            </w:r>
          </w:p>
        </w:tc>
        <w:tc>
          <w:tcPr>
            <w:tcW w:type="dxa" w:w="2600"/>
          </w:tcPr>
          <w:p>
            <w:r>
              <w:t>Piano diametrale</w:t>
            </w:r>
          </w:p>
        </w:tc>
        <w:tc>
          <w:tcPr>
            <w:tcW w:type="dxa" w:w="4100"/>
          </w:tcPr>
          <w:p>
            <w:r>
              <w:t>Il piano verticale di simmetria della nave, da prora a poppa</w:t>
            </w:r>
          </w:p>
        </w:tc>
        <w:tc>
          <w:tcPr>
            <w:tcW w:type="dxa" w:w="960"/>
          </w:tcPr>
          <w:p>
            <w:r>
              <w:t>7</w:t>
            </w:r>
          </w:p>
        </w:tc>
      </w:tr>
      <w:tr>
        <w:trPr>
          <w:cantSplit/>
        </w:trPr>
        <w:tc>
          <w:tcPr>
            <w:tcW w:type="dxa" w:w="1700"/>
          </w:tcPr>
          <w:p>
            <w:r>
              <w:rPr>
                <w:b/>
              </w:rPr>
              <w:t>PP</w:t>
            </w:r>
          </w:p>
        </w:tc>
        <w:tc>
          <w:tcPr>
            <w:tcW w:type="dxa" w:w="2600"/>
          </w:tcPr>
          <w:p>
            <w:r>
              <w:t>Perpendicolare</w:t>
            </w:r>
          </w:p>
        </w:tc>
        <w:tc>
          <w:tcPr>
            <w:tcW w:type="dxa" w:w="4100"/>
          </w:tcPr>
          <w:p>
            <w:r>
              <w:t>Verticale di riferimento a prora (PP AV) o a poppa (PP AD)</w:t>
            </w:r>
          </w:p>
        </w:tc>
        <w:tc>
          <w:tcPr>
            <w:tcW w:type="dxa" w:w="960"/>
          </w:tcPr>
          <w:p>
            <w:r>
              <w:t>4</w:t>
            </w:r>
          </w:p>
        </w:tc>
      </w:tr>
      <w:tr>
        <w:trPr>
          <w:cantSplit/>
        </w:trPr>
        <w:tc>
          <w:tcPr>
            <w:tcW w:type="dxa" w:w="1700"/>
          </w:tcPr>
          <w:p>
            <w:r>
              <w:rPr>
                <w:b/>
              </w:rPr>
              <w:t>tpl</w:t>
            </w:r>
          </w:p>
        </w:tc>
        <w:tc>
          <w:tcPr>
            <w:tcW w:type="dxa" w:w="2600"/>
          </w:tcPr>
          <w:p>
            <w:r>
              <w:t>Tonnellate di portata lorda</w:t>
            </w:r>
          </w:p>
        </w:tc>
        <w:tc>
          <w:tcPr>
            <w:tcW w:type="dxa" w:w="4100"/>
          </w:tcPr>
          <w:p>
            <w:r>
              <w:t>Quanto peso la nave può caricare (carico, combustibile, acqua, provviste)</w:t>
            </w:r>
          </w:p>
        </w:tc>
        <w:tc>
          <w:tcPr>
            <w:tcW w:type="dxa" w:w="960"/>
          </w:tcPr>
          <w:p>
            <w:r>
              <w:t>31</w:t>
            </w:r>
          </w:p>
        </w:tc>
      </w:tr>
    </w:tbl>
    <w:p/>
    <w:p>
      <w:pPr>
        <w:pStyle w:val="Heading2"/>
      </w:pPr>
      <w:r>
        <w:t>Acciai e materiali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700"/>
        <w:gridCol w:w="2600"/>
        <w:gridCol w:w="4100"/>
        <w:gridCol w:w="960"/>
      </w:tblGrid>
      <w:tr>
        <w:trPr>
          <w:tblHeader/>
          <w:cantSplit/>
        </w:trPr>
        <w:tc>
          <w:tcPr>
            <w:tcW w:type="dxa" w:w="1700"/>
            <w:shd w:val="clear" w:color="auto" w:fill="F2F2F2"/>
          </w:tcPr>
          <w:p>
            <w:r>
              <w:rPr>
                <w:b/>
              </w:rPr>
              <w:t>Sigla</w:t>
            </w:r>
          </w:p>
        </w:tc>
        <w:tc>
          <w:tcPr>
            <w:tcW w:type="dxa" w:w="2600"/>
            <w:shd w:val="clear" w:color="auto" w:fill="F2F2F2"/>
          </w:tcPr>
          <w:p>
            <w:r>
              <w:rPr>
                <w:b/>
              </w:rPr>
              <w:t>Per esteso</w:t>
            </w:r>
          </w:p>
        </w:tc>
        <w:tc>
          <w:tcPr>
            <w:tcW w:type="dxa" w:w="4100"/>
            <w:shd w:val="clear" w:color="auto" w:fill="F2F2F2"/>
          </w:tcPr>
          <w:p>
            <w:r>
              <w:rPr>
                <w:b/>
              </w:rPr>
              <w:t>Spiegazione in chiaro</w:t>
            </w:r>
          </w:p>
        </w:tc>
        <w:tc>
          <w:tcPr>
            <w:tcW w:type="dxa" w:w="960"/>
            <w:shd w:val="clear" w:color="auto" w:fill="F2F2F2"/>
          </w:tcPr>
          <w:p>
            <w:r>
              <w:rPr>
                <w:b/>
              </w:rPr>
              <w:t>Slide</w:t>
            </w:r>
          </w:p>
        </w:tc>
      </w:tr>
      <w:tr>
        <w:trPr>
          <w:cantSplit/>
        </w:trPr>
        <w:tc>
          <w:tcPr>
            <w:tcW w:type="dxa" w:w="1700"/>
          </w:tcPr>
          <w:p>
            <w:r>
              <w:rPr>
                <w:b/>
              </w:rPr>
              <w:t>A, B, D, E</w:t>
            </w:r>
          </w:p>
        </w:tc>
        <w:tc>
          <w:tcPr>
            <w:tcW w:type="dxa" w:w="2600"/>
          </w:tcPr>
          <w:p>
            <w:r>
              <w:t>Gradi dell'acciaio normale</w:t>
            </w:r>
          </w:p>
        </w:tc>
        <w:tc>
          <w:tcPr>
            <w:tcW w:type="dxa" w:w="4100"/>
          </w:tcPr>
          <w:p>
            <w:r>
              <w:t>Acciaio da scafo con snervamento 235 N/mm²; la lettera indica quanto resiste alla rottura fragile al freddo</w:t>
            </w:r>
          </w:p>
        </w:tc>
        <w:tc>
          <w:tcPr>
            <w:tcW w:type="dxa" w:w="960"/>
          </w:tcPr>
          <w:p>
            <w:r>
              <w:t>52</w:t>
            </w:r>
          </w:p>
        </w:tc>
      </w:tr>
      <w:tr>
        <w:trPr>
          <w:cantSplit/>
        </w:trPr>
        <w:tc>
          <w:tcPr>
            <w:tcW w:type="dxa" w:w="1700"/>
          </w:tcPr>
          <w:p>
            <w:r>
              <w:rPr>
                <w:b/>
              </w:rPr>
              <w:t>AH, DH, EH, FH</w:t>
            </w:r>
          </w:p>
        </w:tc>
        <w:tc>
          <w:tcPr>
            <w:tcW w:type="dxa" w:w="2600"/>
          </w:tcPr>
          <w:p>
            <w:r>
              <w:t>Gradi dell'acciaio ad alta resistenza (H = high)</w:t>
            </w:r>
          </w:p>
        </w:tc>
        <w:tc>
          <w:tcPr>
            <w:tcW w:type="dxa" w:w="4100"/>
          </w:tcPr>
          <w:p>
            <w:r>
              <w:t>Acciaio più resistente; il numero che segue (32, 36, 40) indica lo snervamento minimo in kgf/mm²</w:t>
            </w:r>
          </w:p>
        </w:tc>
        <w:tc>
          <w:tcPr>
            <w:tcW w:type="dxa" w:w="960"/>
          </w:tcPr>
          <w:p>
            <w:r>
              <w:t>52, 55</w:t>
            </w:r>
          </w:p>
        </w:tc>
      </w:tr>
      <w:tr>
        <w:trPr>
          <w:cantSplit/>
        </w:trPr>
        <w:tc>
          <w:tcPr>
            <w:tcW w:type="dxa" w:w="1700"/>
          </w:tcPr>
          <w:p>
            <w:r>
              <w:rPr>
                <w:b/>
              </w:rPr>
              <w:t>k</w:t>
            </w:r>
          </w:p>
        </w:tc>
        <w:tc>
          <w:tcPr>
            <w:tcW w:type="dxa" w:w="2600"/>
          </w:tcPr>
          <w:p>
            <w:r>
              <w:t>Fattore del materiale</w:t>
            </w:r>
          </w:p>
        </w:tc>
        <w:tc>
          <w:tcPr>
            <w:tcW w:type="dxa" w:w="4100"/>
          </w:tcPr>
          <w:p>
            <w:r>
              <w:t>Numero che riduce gli spessori richiesti quando si usa acciaio più resistente (1,00 / 0,78 / 0,72 / 0,68)</w:t>
            </w:r>
          </w:p>
        </w:tc>
        <w:tc>
          <w:tcPr>
            <w:tcW w:type="dxa" w:w="960"/>
          </w:tcPr>
          <w:p>
            <w:r>
              <w:t>17, 39–41, 52</w:t>
            </w:r>
          </w:p>
        </w:tc>
      </w:tr>
      <w:tr>
        <w:trPr>
          <w:cantSplit/>
        </w:trPr>
        <w:tc>
          <w:tcPr>
            <w:tcW w:type="dxa" w:w="1700"/>
          </w:tcPr>
          <w:p>
            <w:r>
              <w:rPr>
                <w:b/>
              </w:rPr>
              <w:t>ReH</w:t>
            </w:r>
          </w:p>
        </w:tc>
        <w:tc>
          <w:tcPr>
            <w:tcW w:type="dxa" w:w="2600"/>
          </w:tcPr>
          <w:p>
            <w:r>
              <w:t>Snervamento minimo</w:t>
            </w:r>
          </w:p>
        </w:tc>
        <w:tc>
          <w:tcPr>
            <w:tcW w:type="dxa" w:w="4100"/>
          </w:tcPr>
          <w:p>
            <w:r>
              <w:t>La tensione oltre la quale l'acciaio si deforma in modo permanente</w:t>
            </w:r>
          </w:p>
        </w:tc>
        <w:tc>
          <w:tcPr>
            <w:tcW w:type="dxa" w:w="960"/>
          </w:tcPr>
          <w:p>
            <w:r>
              <w:t>52</w:t>
            </w:r>
          </w:p>
        </w:tc>
      </w:tr>
      <w:tr>
        <w:trPr>
          <w:cantSplit/>
        </w:trPr>
        <w:tc>
          <w:tcPr>
            <w:tcW w:type="dxa" w:w="1700"/>
          </w:tcPr>
          <w:p>
            <w:r>
              <w:rPr>
                <w:b/>
              </w:rPr>
              <w:t>t c</w:t>
            </w:r>
          </w:p>
        </w:tc>
        <w:tc>
          <w:tcPr>
            <w:tcW w:type="dxa" w:w="2600"/>
          </w:tcPr>
          <w:p>
            <w:r>
              <w:t>Margine di corrosione</w:t>
            </w:r>
          </w:p>
        </w:tc>
        <w:tc>
          <w:tcPr>
            <w:tcW w:type="dxa" w:w="4100"/>
          </w:tcPr>
          <w:p>
            <w:r>
              <w:t>Spessore in più dato alla lamiera perché la corrosione se lo "mangi" senza scendere sotto il necessario</w:t>
            </w:r>
          </w:p>
        </w:tc>
        <w:tc>
          <w:tcPr>
            <w:tcW w:type="dxa" w:w="960"/>
          </w:tcPr>
          <w:p>
            <w:r>
              <w:t>13, 16</w:t>
            </w:r>
          </w:p>
        </w:tc>
      </w:tr>
    </w:tbl>
    <w:p/>
    <w:p>
      <w:pPr>
        <w:pStyle w:val="Heading2"/>
      </w:pPr>
      <w:r>
        <w:t>Simboli delle formule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700"/>
        <w:gridCol w:w="2600"/>
        <w:gridCol w:w="4100"/>
        <w:gridCol w:w="960"/>
      </w:tblGrid>
      <w:tr>
        <w:trPr>
          <w:tblHeader/>
          <w:cantSplit/>
        </w:trPr>
        <w:tc>
          <w:tcPr>
            <w:tcW w:type="dxa" w:w="1700"/>
            <w:shd w:val="clear" w:color="auto" w:fill="F2F2F2"/>
          </w:tcPr>
          <w:p>
            <w:r>
              <w:rPr>
                <w:b/>
              </w:rPr>
              <w:t>Sigla</w:t>
            </w:r>
          </w:p>
        </w:tc>
        <w:tc>
          <w:tcPr>
            <w:tcW w:type="dxa" w:w="2600"/>
            <w:shd w:val="clear" w:color="auto" w:fill="F2F2F2"/>
          </w:tcPr>
          <w:p>
            <w:r>
              <w:rPr>
                <w:b/>
              </w:rPr>
              <w:t>Per esteso</w:t>
            </w:r>
          </w:p>
        </w:tc>
        <w:tc>
          <w:tcPr>
            <w:tcW w:type="dxa" w:w="4100"/>
            <w:shd w:val="clear" w:color="auto" w:fill="F2F2F2"/>
          </w:tcPr>
          <w:p>
            <w:r>
              <w:rPr>
                <w:b/>
              </w:rPr>
              <w:t>Spiegazione in chiaro</w:t>
            </w:r>
          </w:p>
        </w:tc>
        <w:tc>
          <w:tcPr>
            <w:tcW w:type="dxa" w:w="960"/>
            <w:shd w:val="clear" w:color="auto" w:fill="F2F2F2"/>
          </w:tcPr>
          <w:p>
            <w:r>
              <w:rPr>
                <w:b/>
              </w:rPr>
              <w:t>Slide</w:t>
            </w:r>
          </w:p>
        </w:tc>
      </w:tr>
      <w:tr>
        <w:trPr>
          <w:cantSplit/>
        </w:trPr>
        <w:tc>
          <w:tcPr>
            <w:tcW w:type="dxa" w:w="1700"/>
          </w:tcPr>
          <w:p>
            <w:r>
              <w:rPr>
                <w:b/>
              </w:rPr>
              <w:t>AN</w:t>
            </w:r>
          </w:p>
        </w:tc>
        <w:tc>
          <w:tcPr>
            <w:tcW w:type="dxa" w:w="2600"/>
          </w:tcPr>
          <w:p>
            <w:r>
              <w:t>Asse neutro</w:t>
            </w:r>
          </w:p>
        </w:tc>
        <w:tc>
          <w:tcPr>
            <w:tcW w:type="dxa" w:w="4100"/>
          </w:tcPr>
          <w:p>
            <w:r>
              <w:t>Linea orizzontale della sezione dove la flessione non dà tensione; lì il taglio è massimo</w:t>
            </w:r>
          </w:p>
        </w:tc>
        <w:tc>
          <w:tcPr>
            <w:tcW w:type="dxa" w:w="960"/>
          </w:tcPr>
          <w:p>
            <w:r>
              <w:t>38–39, 41, 45</w:t>
            </w:r>
          </w:p>
        </w:tc>
      </w:tr>
      <w:tr>
        <w:trPr>
          <w:cantSplit/>
        </w:trPr>
        <w:tc>
          <w:tcPr>
            <w:tcW w:type="dxa" w:w="1700"/>
          </w:tcPr>
          <w:p>
            <w:r>
              <w:rPr>
                <w:b/>
              </w:rPr>
              <w:t>BM</w:t>
            </w:r>
          </w:p>
        </w:tc>
        <w:tc>
          <w:tcPr>
            <w:tcW w:type="dxa" w:w="2600"/>
          </w:tcPr>
          <w:p>
            <w:r>
              <w:t>Bending Moment (momento flettente)</w:t>
            </w:r>
          </w:p>
        </w:tc>
        <w:tc>
          <w:tcPr>
            <w:tcW w:type="dxa" w:w="4100"/>
          </w:tcPr>
          <w:p>
            <w:r>
              <w:t>Lo sforzo che tende a piegare lo scafo come una trave (inarcamento o insellamento)</w:t>
            </w:r>
          </w:p>
        </w:tc>
        <w:tc>
          <w:tcPr>
            <w:tcW w:type="dxa" w:w="960"/>
          </w:tcPr>
          <w:p>
            <w:r>
              <w:t>3, 11, 20, 39, 50</w:t>
            </w:r>
          </w:p>
        </w:tc>
      </w:tr>
      <w:tr>
        <w:trPr>
          <w:cantSplit/>
        </w:trPr>
        <w:tc>
          <w:tcPr>
            <w:tcW w:type="dxa" w:w="1700"/>
          </w:tcPr>
          <w:p>
            <w:r>
              <w:rPr>
                <w:b/>
              </w:rPr>
              <w:t>I</w:t>
            </w:r>
          </w:p>
        </w:tc>
        <w:tc>
          <w:tcPr>
            <w:tcW w:type="dxa" w:w="2600"/>
          </w:tcPr>
          <w:p>
            <w:r>
              <w:t>Momento d'inerzia</w:t>
            </w:r>
          </w:p>
        </w:tc>
        <w:tc>
          <w:tcPr>
            <w:tcW w:type="dxa" w:w="4100"/>
          </w:tcPr>
          <w:p>
            <w:r>
              <w:t>Misura di quanto la sezione resiste a piegarsi; più materiale lontano dall'asse neutro = I più alto</w:t>
            </w:r>
          </w:p>
        </w:tc>
        <w:tc>
          <w:tcPr>
            <w:tcW w:type="dxa" w:w="960"/>
          </w:tcPr>
          <w:p>
            <w:r>
              <w:t>10, 37, 39, 44, 49–50, 55</w:t>
            </w:r>
          </w:p>
        </w:tc>
      </w:tr>
      <w:tr>
        <w:trPr>
          <w:cantSplit/>
        </w:trPr>
        <w:tc>
          <w:tcPr>
            <w:tcW w:type="dxa" w:w="1700"/>
          </w:tcPr>
          <w:p>
            <w:r>
              <w:rPr>
                <w:b/>
              </w:rPr>
              <w:t>i₀</w:t>
            </w:r>
          </w:p>
        </w:tc>
        <w:tc>
          <w:tcPr>
            <w:tcW w:type="dxa" w:w="2600"/>
          </w:tcPr>
          <w:p>
            <w:r>
              <w:t>Momento d'inerzia proprio</w:t>
            </w:r>
          </w:p>
        </w:tc>
        <w:tc>
          <w:tcPr>
            <w:tcW w:type="dxa" w:w="4100"/>
          </w:tcPr>
          <w:p>
            <w:r>
              <w:t>Momento d'inerzia di un singolo pezzo attorno al proprio baricentro</w:t>
            </w:r>
          </w:p>
        </w:tc>
        <w:tc>
          <w:tcPr>
            <w:tcW w:type="dxa" w:w="960"/>
          </w:tcPr>
          <w:p>
            <w:r>
              <w:t>39</w:t>
            </w:r>
          </w:p>
        </w:tc>
      </w:tr>
      <w:tr>
        <w:trPr>
          <w:cantSplit/>
        </w:trPr>
        <w:tc>
          <w:tcPr>
            <w:tcW w:type="dxa" w:w="1700"/>
          </w:tcPr>
          <w:p>
            <w:r>
              <w:rPr>
                <w:b/>
              </w:rPr>
              <w:t>q</w:t>
            </w:r>
          </w:p>
        </w:tc>
        <w:tc>
          <w:tcPr>
            <w:tcW w:type="dxa" w:w="2600"/>
          </w:tcPr>
          <w:p>
            <w:r>
              <w:t>Flusso di taglio</w:t>
            </w:r>
          </w:p>
        </w:tc>
        <w:tc>
          <w:tcPr>
            <w:tcW w:type="dxa" w:w="4100"/>
          </w:tcPr>
          <w:p>
            <w:r>
              <w:t>Quanta forza di taglio passa per ogni metro di lamiera (kN/m); q = τ · t</w:t>
            </w:r>
          </w:p>
        </w:tc>
        <w:tc>
          <w:tcPr>
            <w:tcW w:type="dxa" w:w="960"/>
          </w:tcPr>
          <w:p>
            <w:r>
              <w:t>2, 37</w:t>
            </w:r>
          </w:p>
        </w:tc>
      </w:tr>
      <w:tr>
        <w:trPr>
          <w:cantSplit/>
        </w:trPr>
        <w:tc>
          <w:tcPr>
            <w:tcW w:type="dxa" w:w="1700"/>
          </w:tcPr>
          <w:p>
            <w:r>
              <w:rPr>
                <w:b/>
              </w:rPr>
              <w:t>Q</w:t>
            </w:r>
          </w:p>
        </w:tc>
        <w:tc>
          <w:tcPr>
            <w:tcW w:type="dxa" w:w="2600"/>
          </w:tcPr>
          <w:p>
            <w:r>
              <w:t>Momento statico</w:t>
            </w:r>
          </w:p>
        </w:tc>
        <w:tc>
          <w:tcPr>
            <w:tcW w:type="dxa" w:w="4100"/>
          </w:tcPr>
          <w:p>
            <w:r>
              <w:t>Somma di area × distanza dall'asse neutro della parte di sezione "tagliata"</w:t>
            </w:r>
          </w:p>
        </w:tc>
        <w:tc>
          <w:tcPr>
            <w:tcW w:type="dxa" w:w="960"/>
          </w:tcPr>
          <w:p>
            <w:r>
              <w:t>23, 37–38</w:t>
            </w:r>
          </w:p>
        </w:tc>
      </w:tr>
      <w:tr>
        <w:trPr>
          <w:cantSplit/>
        </w:trPr>
        <w:tc>
          <w:tcPr>
            <w:tcW w:type="dxa" w:w="1700"/>
          </w:tcPr>
          <w:p>
            <w:r>
              <w:rPr>
                <w:b/>
              </w:rPr>
              <w:t>SF</w:t>
            </w:r>
          </w:p>
        </w:tc>
        <w:tc>
          <w:tcPr>
            <w:tcW w:type="dxa" w:w="2600"/>
          </w:tcPr>
          <w:p>
            <w:r>
              <w:t>Shear Force (sforzo di taglio)</w:t>
            </w:r>
          </w:p>
        </w:tc>
        <w:tc>
          <w:tcPr>
            <w:tcW w:type="dxa" w:w="4100"/>
          </w:tcPr>
          <w:p>
            <w:r>
              <w:t>La forza che tende a far scorrere una sezione dello scafo rispetto alla vicina. Attenzione: altrove SF indica il fattore di stivaggio</w:t>
            </w:r>
          </w:p>
        </w:tc>
        <w:tc>
          <w:tcPr>
            <w:tcW w:type="dxa" w:w="960"/>
          </w:tcPr>
          <w:p>
            <w:r>
              <w:t>2–3, 11, 20, 23, 36–37, 40, 42–45, 50</w:t>
            </w:r>
          </w:p>
        </w:tc>
      </w:tr>
      <w:tr>
        <w:trPr>
          <w:cantSplit/>
        </w:trPr>
        <w:tc>
          <w:tcPr>
            <w:tcW w:type="dxa" w:w="1700"/>
          </w:tcPr>
          <w:p>
            <w:r>
              <w:rPr>
                <w:b/>
              </w:rPr>
              <w:t>s, ℓ</w:t>
            </w:r>
          </w:p>
        </w:tc>
        <w:tc>
          <w:tcPr>
            <w:tcW w:type="dxa" w:w="2600"/>
          </w:tcPr>
          <w:p>
            <w:r>
              <w:t>Passo e luce</w:t>
            </w:r>
          </w:p>
        </w:tc>
        <w:tc>
          <w:tcPr>
            <w:tcW w:type="dxa" w:w="4100"/>
          </w:tcPr>
          <w:p>
            <w:r>
              <w:t>s = distanza tra due rinforzi; ℓ = distanza tra due rinforzi primari</w:t>
            </w:r>
          </w:p>
        </w:tc>
        <w:tc>
          <w:tcPr>
            <w:tcW w:type="dxa" w:w="960"/>
          </w:tcPr>
          <w:p>
            <w:r>
              <w:t>6</w:t>
            </w:r>
          </w:p>
        </w:tc>
      </w:tr>
      <w:tr>
        <w:trPr>
          <w:cantSplit/>
        </w:trPr>
        <w:tc>
          <w:tcPr>
            <w:tcW w:type="dxa" w:w="1700"/>
          </w:tcPr>
          <w:p>
            <w:r>
              <w:rPr>
                <w:b/>
              </w:rPr>
              <w:t>Z</w:t>
            </w:r>
          </w:p>
        </w:tc>
        <w:tc>
          <w:tcPr>
            <w:tcW w:type="dxa" w:w="2600"/>
          </w:tcPr>
          <w:p>
            <w:r>
              <w:t>Modulo di resistenza</w:t>
            </w:r>
          </w:p>
        </w:tc>
        <w:tc>
          <w:tcPr>
            <w:tcW w:type="dxa" w:w="4100"/>
          </w:tcPr>
          <w:p>
            <w:r>
              <w:t>Dice quanta tensione nasce nel ponte o nel fondo per un dato momento: σ = M / Z</w:t>
            </w:r>
          </w:p>
        </w:tc>
        <w:tc>
          <w:tcPr>
            <w:tcW w:type="dxa" w:w="960"/>
          </w:tcPr>
          <w:p>
            <w:r>
              <w:t>50, 53, 55</w:t>
            </w:r>
          </w:p>
        </w:tc>
      </w:tr>
      <w:tr>
        <w:trPr>
          <w:cantSplit/>
        </w:trPr>
        <w:tc>
          <w:tcPr>
            <w:tcW w:type="dxa" w:w="1700"/>
          </w:tcPr>
          <w:p>
            <w:r>
              <w:rPr>
                <w:b/>
              </w:rPr>
              <w:t>σ</w:t>
            </w:r>
          </w:p>
        </w:tc>
        <w:tc>
          <w:tcPr>
            <w:tcW w:type="dxa" w:w="2600"/>
          </w:tcPr>
          <w:p>
            <w:r>
              <w:t>Sigma, tensione normale</w:t>
            </w:r>
          </w:p>
        </w:tc>
        <w:tc>
          <w:tcPr>
            <w:tcW w:type="dxa" w:w="4100"/>
          </w:tcPr>
          <w:p>
            <w:r>
              <w:t>Tensione di trazione o compressione dovuta alla flessione, in N/mm²</w:t>
            </w:r>
          </w:p>
        </w:tc>
        <w:tc>
          <w:tcPr>
            <w:tcW w:type="dxa" w:w="960"/>
          </w:tcPr>
          <w:p>
            <w:r>
              <w:t>3, 17, 37–39, 41, 43–44, 50</w:t>
            </w:r>
          </w:p>
        </w:tc>
      </w:tr>
      <w:tr>
        <w:trPr>
          <w:cantSplit/>
        </w:trPr>
        <w:tc>
          <w:tcPr>
            <w:tcW w:type="dxa" w:w="1700"/>
          </w:tcPr>
          <w:p>
            <w:r>
              <w:rPr>
                <w:b/>
              </w:rPr>
              <w:t>σ eq</w:t>
            </w:r>
          </w:p>
        </w:tc>
        <w:tc>
          <w:tcPr>
            <w:tcW w:type="dxa" w:w="2600"/>
          </w:tcPr>
          <w:p>
            <w:r>
              <w:t>Tensione equivalente di von Mises</w:t>
            </w:r>
          </w:p>
        </w:tc>
        <w:tc>
          <w:tcPr>
            <w:tcW w:type="dxa" w:w="4100"/>
          </w:tcPr>
          <w:p>
            <w:r>
              <w:t>Un solo numero che combina σ e τ per confrontarli con lo snervamento: √(σ² + 3τ²)</w:t>
            </w:r>
          </w:p>
        </w:tc>
        <w:tc>
          <w:tcPr>
            <w:tcW w:type="dxa" w:w="960"/>
          </w:tcPr>
          <w:p>
            <w:r>
              <w:t>43</w:t>
            </w:r>
          </w:p>
        </w:tc>
      </w:tr>
      <w:tr>
        <w:trPr>
          <w:cantSplit/>
        </w:trPr>
        <w:tc>
          <w:tcPr>
            <w:tcW w:type="dxa" w:w="1700"/>
          </w:tcPr>
          <w:p>
            <w:r>
              <w:rPr>
                <w:b/>
              </w:rPr>
              <w:t>τ</w:t>
            </w:r>
          </w:p>
        </w:tc>
        <w:tc>
          <w:tcPr>
            <w:tcW w:type="dxa" w:w="2600"/>
          </w:tcPr>
          <w:p>
            <w:r>
              <w:t>Tau, tensione tangenziale</w:t>
            </w:r>
          </w:p>
        </w:tc>
        <w:tc>
          <w:tcPr>
            <w:tcW w:type="dxa" w:w="4100"/>
          </w:tcPr>
          <w:p>
            <w:r>
              <w:t>Tensione di taglio nella lamiera, in N/mm²: τ = SF · Q / (I · t)</w:t>
            </w:r>
          </w:p>
        </w:tc>
        <w:tc>
          <w:tcPr>
            <w:tcW w:type="dxa" w:w="960"/>
          </w:tcPr>
          <w:p>
            <w:r>
              <w:t>2–3, 23, 36–45, 50</w:t>
            </w:r>
          </w:p>
        </w:tc>
      </w:tr>
    </w:tbl>
    <w:p/>
    <w:p>
      <w:pPr>
        <w:pStyle w:val="Heading2"/>
      </w:pPr>
      <w:r>
        <w:t>Unità di misura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700"/>
        <w:gridCol w:w="2600"/>
        <w:gridCol w:w="4100"/>
        <w:gridCol w:w="960"/>
      </w:tblGrid>
      <w:tr>
        <w:trPr>
          <w:tblHeader/>
          <w:cantSplit/>
        </w:trPr>
        <w:tc>
          <w:tcPr>
            <w:tcW w:type="dxa" w:w="1700"/>
            <w:shd w:val="clear" w:color="auto" w:fill="F2F2F2"/>
          </w:tcPr>
          <w:p>
            <w:r>
              <w:rPr>
                <w:b/>
              </w:rPr>
              <w:t>Sigla</w:t>
            </w:r>
          </w:p>
        </w:tc>
        <w:tc>
          <w:tcPr>
            <w:tcW w:type="dxa" w:w="2600"/>
            <w:shd w:val="clear" w:color="auto" w:fill="F2F2F2"/>
          </w:tcPr>
          <w:p>
            <w:r>
              <w:rPr>
                <w:b/>
              </w:rPr>
              <w:t>Per esteso</w:t>
            </w:r>
          </w:p>
        </w:tc>
        <w:tc>
          <w:tcPr>
            <w:tcW w:type="dxa" w:w="4100"/>
            <w:shd w:val="clear" w:color="auto" w:fill="F2F2F2"/>
          </w:tcPr>
          <w:p>
            <w:r>
              <w:rPr>
                <w:b/>
              </w:rPr>
              <w:t>Spiegazione in chiaro</w:t>
            </w:r>
          </w:p>
        </w:tc>
        <w:tc>
          <w:tcPr>
            <w:tcW w:type="dxa" w:w="960"/>
            <w:shd w:val="clear" w:color="auto" w:fill="F2F2F2"/>
          </w:tcPr>
          <w:p>
            <w:r>
              <w:rPr>
                <w:b/>
              </w:rPr>
              <w:t>Slide</w:t>
            </w:r>
          </w:p>
        </w:tc>
      </w:tr>
      <w:tr>
        <w:trPr>
          <w:cantSplit/>
        </w:trPr>
        <w:tc>
          <w:tcPr>
            <w:tcW w:type="dxa" w:w="1700"/>
          </w:tcPr>
          <w:p>
            <w:r>
              <w:rPr>
                <w:b/>
              </w:rPr>
              <w:t>kN</w:t>
            </w:r>
          </w:p>
        </w:tc>
        <w:tc>
          <w:tcPr>
            <w:tcW w:type="dxa" w:w="2600"/>
          </w:tcPr>
          <w:p>
            <w:r>
              <w:t>Kilonewton</w:t>
            </w:r>
          </w:p>
        </w:tc>
        <w:tc>
          <w:tcPr>
            <w:tcW w:type="dxa" w:w="4100"/>
          </w:tcPr>
          <w:p>
            <w:r>
              <w:t>Unità di forza; 1 tonnellata-forza ≈ 9,81 kN</w:t>
            </w:r>
          </w:p>
        </w:tc>
        <w:tc>
          <w:tcPr>
            <w:tcW w:type="dxa" w:w="960"/>
          </w:tcPr>
          <w:p>
            <w:r>
              <w:t>36–37, 39–41</w:t>
            </w:r>
          </w:p>
        </w:tc>
      </w:tr>
      <w:tr>
        <w:trPr>
          <w:cantSplit/>
        </w:trPr>
        <w:tc>
          <w:tcPr>
            <w:tcW w:type="dxa" w:w="1700"/>
          </w:tcPr>
          <w:p>
            <w:r>
              <w:rPr>
                <w:b/>
              </w:rPr>
              <w:t>kN/m</w:t>
            </w:r>
          </w:p>
        </w:tc>
        <w:tc>
          <w:tcPr>
            <w:tcW w:type="dxa" w:w="2600"/>
          </w:tcPr>
          <w:p>
            <w:r>
              <w:t>Kilonewton al metro</w:t>
            </w:r>
          </w:p>
        </w:tc>
        <w:tc>
          <w:tcPr>
            <w:tcW w:type="dxa" w:w="4100"/>
          </w:tcPr>
          <w:p>
            <w:r>
              <w:t>Unità del flusso di taglio</w:t>
            </w:r>
          </w:p>
        </w:tc>
        <w:tc>
          <w:tcPr>
            <w:tcW w:type="dxa" w:w="960"/>
          </w:tcPr>
          <w:p>
            <w:r>
              <w:t>37, 41</w:t>
            </w:r>
          </w:p>
        </w:tc>
      </w:tr>
      <w:tr>
        <w:trPr>
          <w:cantSplit/>
        </w:trPr>
        <w:tc>
          <w:tcPr>
            <w:tcW w:type="dxa" w:w="1700"/>
          </w:tcPr>
          <w:p>
            <w:r>
              <w:rPr>
                <w:b/>
              </w:rPr>
              <w:t>kN·m</w:t>
            </w:r>
          </w:p>
        </w:tc>
        <w:tc>
          <w:tcPr>
            <w:tcW w:type="dxa" w:w="2600"/>
          </w:tcPr>
          <w:p>
            <w:r>
              <w:t>Kilonewton per metro</w:t>
            </w:r>
          </w:p>
        </w:tc>
        <w:tc>
          <w:tcPr>
            <w:tcW w:type="dxa" w:w="4100"/>
          </w:tcPr>
          <w:p>
            <w:r>
              <w:t>Unità del momento flettente nelle regole</w:t>
            </w:r>
          </w:p>
        </w:tc>
        <w:tc>
          <w:tcPr>
            <w:tcW w:type="dxa" w:w="960"/>
          </w:tcPr>
          <w:p>
            <w:r>
              <w:t>39</w:t>
            </w:r>
          </w:p>
        </w:tc>
      </w:tr>
      <w:tr>
        <w:trPr>
          <w:cantSplit/>
        </w:trPr>
        <w:tc>
          <w:tcPr>
            <w:tcW w:type="dxa" w:w="1700"/>
          </w:tcPr>
          <w:p>
            <w:r>
              <w:rPr>
                <w:b/>
              </w:rPr>
              <w:t>t·m</w:t>
            </w:r>
          </w:p>
        </w:tc>
        <w:tc>
          <w:tcPr>
            <w:tcW w:type="dxa" w:w="2600"/>
          </w:tcPr>
          <w:p>
            <w:r>
              <w:t>Tonnellate per metro</w:t>
            </w:r>
          </w:p>
        </w:tc>
        <w:tc>
          <w:tcPr>
            <w:tcW w:type="dxa" w:w="4100"/>
          </w:tcPr>
          <w:p>
            <w:r>
              <w:t>Unità del momento flettente negli strumenti di carico</w:t>
            </w:r>
          </w:p>
        </w:tc>
        <w:tc>
          <w:tcPr>
            <w:tcW w:type="dxa" w:w="960"/>
          </w:tcPr>
          <w:p>
            <w:r>
              <w:t>39, 43</w:t>
            </w:r>
          </w:p>
        </w:tc>
      </w:tr>
      <w:tr>
        <w:trPr>
          <w:cantSplit/>
        </w:trPr>
        <w:tc>
          <w:tcPr>
            <w:tcW w:type="dxa" w:w="1700"/>
          </w:tcPr>
          <w:p>
            <w:r>
              <w:rPr>
                <w:b/>
              </w:rPr>
              <w:t>N/mm²</w:t>
            </w:r>
          </w:p>
        </w:tc>
        <w:tc>
          <w:tcPr>
            <w:tcW w:type="dxa" w:w="2600"/>
          </w:tcPr>
          <w:p>
            <w:r>
              <w:t>Newton al millimetro quadro</w:t>
            </w:r>
          </w:p>
        </w:tc>
        <w:tc>
          <w:tcPr>
            <w:tcW w:type="dxa" w:w="4100"/>
          </w:tcPr>
          <w:p>
            <w:r>
              <w:t>Unità delle tensioni (uguale a MPa)</w:t>
            </w:r>
          </w:p>
        </w:tc>
        <w:tc>
          <w:tcPr>
            <w:tcW w:type="dxa" w:w="960"/>
          </w:tcPr>
          <w:p>
            <w:r>
              <w:t>17, 19, 36, 39–41, 43–44, 52</w:t>
            </w:r>
          </w:p>
        </w:tc>
      </w:tr>
      <w:tr>
        <w:trPr>
          <w:cantSplit/>
        </w:trPr>
        <w:tc>
          <w:tcPr>
            <w:tcW w:type="dxa" w:w="1700"/>
          </w:tcPr>
          <w:p>
            <w:r>
              <w:rPr>
                <w:b/>
              </w:rPr>
              <w:t>m³, m⁴</w:t>
            </w:r>
          </w:p>
        </w:tc>
        <w:tc>
          <w:tcPr>
            <w:tcW w:type="dxa" w:w="2600"/>
          </w:tcPr>
          <w:p>
            <w:r>
              <w:t>Metri cubi, metri alla quarta</w:t>
            </w:r>
          </w:p>
        </w:tc>
        <w:tc>
          <w:tcPr>
            <w:tcW w:type="dxa" w:w="4100"/>
          </w:tcPr>
          <w:p>
            <w:r>
              <w:t>Unità di momento statico e modulo (m³) e di momento d'inerzia (m⁴)</w:t>
            </w:r>
          </w:p>
        </w:tc>
        <w:tc>
          <w:tcPr>
            <w:tcW w:type="dxa" w:w="960"/>
          </w:tcPr>
          <w:p>
            <w:r>
              <w:t>37, 39–40, 44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E6B73"/>
        <w:sz w:val="16"/>
      </w:rPr>
      <w:t>© 2026 ing. Pietro Lauro 6497A-GE. Quest'opera è distribuita con licenza CC BY-NC-SA 4.0 (https://creativecommons.org/licenses/by-nc-sa/4.0/deed.it).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2A3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F2A3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