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Sigle e acronimi del corso</w:t>
      </w:r>
    </w:p>
    <w:p>
      <w:pPr>
        <w:pStyle w:val="Heading2"/>
      </w:pPr>
      <w:r>
        <w:t>Corso Direttivo Coperta 63 — file comune a tutte le lezioni</w:t>
      </w:r>
    </w:p>
    <w:p>
      <w:r>
        <w:t>Accademia Italiana della Marina Mercantile · aggiornato al 29 ottobre 2026</w:t>
      </w:r>
    </w:p>
    <w:p>
      <w:r>
        <w:t>Lezioni comprese: U.D. 2.1.4.2 (Stivaggio e rizzaggio dei carichi), U.D. 2.1.7 (Limitazioni operative e costruttive delle portarinfuse), U.D. 2.2.1 (Limiti di robustezza della portarinfuse), Ripasso U.D. 2.1.7 e 2.2.1, Approfondimento U.D. 2.1.7 e 2.2.1 (Struttura, ESP e sforzo di taglio).</w:t>
      </w:r>
    </w:p>
    <w:p>
      <w:r>
        <w:t>Fonti IACS aggiunte il 29/10/2026 (indicate nella stessa colonna): IACS Z (2005) = Requirements concerning Survey and Certification, raccolta della serie Z, edizione 2005; Rec. 47 = Shipbuilding and Repair Quality Standard, Rev. 6, maggio 2012; Rec. 74 = A Guide to Managing Maintenance, aprile 2001; UI IGF = Interpretazioni IACS del Codice IGF, 2017. Sono edizioni datate: le revisioni vigenti, verificate e scaricate il 29/10/2026, sono in DIRCOP63/Fonti/IACS_vigenti_2026-10-29 (es. UR Z10.2 Rev.37 2023, Rec. 47 Rev.10 Corr.1 2025, Rec. 74 Rev.2 2018, UI GF1–GF22).</w:t>
      </w:r>
    </w:p>
    <w:p>
      <w:r>
        <w:t>La colonna "Lezioni / fonti" indica dove la sigla compare (slide, note del docente o glossario), ricavata automaticamente dai testi. * Ripasso: slide e glossario non disponibili al momento della compilazione; sono indicate solo le sigle presenti nel suo file di stato, quindi l'elenco per il Ripasso è incompleto.</w:t>
      </w:r>
    </w:p>
    <w:p>
      <w:pPr>
        <w:pStyle w:val="Heading2"/>
      </w:pPr>
      <w:r>
        <w:t>Come si leggono i riferimenti</w:t>
      </w:r>
    </w:p>
    <w:p>
      <w:r>
        <w:t>SOLAS XII/12 = capitolo XII, regola 12; SOLAS II-1/3-10 = capitolo II-1, regola 3-10; XII/6.2 = regola 6, paragrafo 2. MSC.525(106) = risoluzione n. 525 del Comitato per la sicurezza marittima (MSC), adottata alla 106ª sessione; A.1049(27) = risoluzione n. 1049 dell'Assemblea IMO, 27ª sessione; MSC.1/Circ.1700 = circolare n. 1700 del MSC. IACS UR S11 = requisito uniforme IACS n. S11; Rec. 46 = raccomandazione IACS n. 46. CSR Pt 1 Ch 1 Sec 5 = Parte 1, Capitolo 1, Sezione 5 delle CSR. STCW A-II/2 = sezione A-II/2 del Codice STCW. Il simbolo § indica un paragrafo.</w:t>
      </w:r>
    </w:p>
    <w:p>
      <w:pPr>
        <w:pStyle w:val="Heading2"/>
      </w:pPr>
      <w:r>
        <w:t>Attenzione: sigle con più significati</w:t>
      </w:r>
    </w:p>
    <w:p>
      <w:r>
        <w:t>SF: nella U.D. 2.2.1 e nell'Approfondimento è lo sforzo di taglio (shear force); nella U.D. 2.1.7 il fattore di stivaggio è scritto FS proprio per evitare la confusione. B: nella U.D. 2.1.4.2 è il centro di carena; nelle U.D. 2.2.1 e nell'Approfondimento è la larghezza della nave. M: nella U.D. 2.1.4.2 è il metacentro; nella U.D. 2.2.1 è il fattore di distribuzione del momento d'onda (e, in σ = M/Z, il momento flettente). Il contesto della slide decide.</w:t>
      </w:r>
    </w:p>
    <w:p>
      <w:pPr>
        <w:pStyle w:val="Heading2"/>
      </w:pPr>
      <w:r>
        <w:t>Sigle e acronimi (ordine alfabetico)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1650"/>
        <w:gridCol w:w="2550"/>
        <w:gridCol w:w="4000"/>
        <w:gridCol w:w="1160"/>
      </w:tblGrid>
      <w:tr>
        <w:trPr>
          <w:tblHeader/>
          <w:cantSplit/>
        </w:trPr>
        <w:tc>
          <w:tcPr>
            <w:tcW w:type="dxa" w:w="1650"/>
            <w:shd w:val="clear" w:color="auto" w:fill="F2F2F2"/>
          </w:tcPr>
          <w:p>
            <w:r>
              <w:rPr>
                <w:b/>
              </w:rPr>
              <w:t>Sigla</w:t>
            </w:r>
          </w:p>
        </w:tc>
        <w:tc>
          <w:tcPr>
            <w:tcW w:type="dxa" w:w="2550"/>
            <w:shd w:val="clear" w:color="auto" w:fill="F2F2F2"/>
          </w:tcPr>
          <w:p>
            <w:r>
              <w:rPr>
                <w:b/>
              </w:rPr>
              <w:t>Per esteso</w:t>
            </w:r>
          </w:p>
        </w:tc>
        <w:tc>
          <w:tcPr>
            <w:tcW w:type="dxa" w:w="4000"/>
            <w:shd w:val="clear" w:color="auto" w:fill="F2F2F2"/>
          </w:tcPr>
          <w:p>
            <w:r>
              <w:rPr>
                <w:b/>
              </w:rPr>
              <w:t>Spiegazione in chiaro</w:t>
            </w:r>
          </w:p>
        </w:tc>
        <w:tc>
          <w:tcPr>
            <w:tcW w:type="dxa" w:w="1160"/>
            <w:shd w:val="clear" w:color="auto" w:fill="F2F2F2"/>
          </w:tcPr>
          <w:p>
            <w:r>
              <w:rPr>
                <w:b/>
              </w:rPr>
              <w:t>Lezioni / fonti</w:t>
            </w:r>
          </w:p>
        </w:tc>
      </w:tr>
      <w:tr>
        <w:trPr>
          <w:cantSplit/>
        </w:trPr>
        <w:tc>
          <w:tcPr>
            <w:tcW w:type="dxa" w:w="1650"/>
          </w:tcPr>
          <w:p>
            <w:r>
              <w:rPr>
                <w:b/>
              </w:rPr>
              <w:t>AD / AV</w:t>
            </w:r>
          </w:p>
        </w:tc>
        <w:tc>
          <w:tcPr>
            <w:tcW w:type="dxa" w:w="2550"/>
          </w:tcPr>
          <w:p>
            <w:r>
              <w:t>Addietro / avanti</w:t>
            </w:r>
          </w:p>
        </w:tc>
        <w:tc>
          <w:tcPr>
            <w:tcW w:type="dxa" w:w="4000"/>
          </w:tcPr>
          <w:p>
            <w:r>
              <w:t>Verso poppa / verso prora (perpendicolare AD e AV, gavone AD e AV)</w:t>
            </w:r>
          </w:p>
        </w:tc>
        <w:tc>
          <w:tcPr>
            <w:tcW w:type="dxa" w:w="1160"/>
          </w:tcPr>
          <w:p>
            <w:r>
              <w:t>Approf.</w:t>
            </w:r>
          </w:p>
        </w:tc>
      </w:tr>
      <w:tr>
        <w:trPr>
          <w:cantSplit/>
        </w:trPr>
        <w:tc>
          <w:tcPr>
            <w:tcW w:type="dxa" w:w="1650"/>
          </w:tcPr>
          <w:p>
            <w:r>
              <w:rPr>
                <w:b/>
              </w:rPr>
              <w:t>ADB</w:t>
            </w:r>
          </w:p>
        </w:tc>
        <w:tc>
          <w:tcPr>
            <w:tcW w:type="dxa" w:w="2550"/>
          </w:tcPr>
          <w:p>
            <w:r>
              <w:t>Apparecchiatura automatica raccolta dati</w:t>
            </w:r>
          </w:p>
        </w:tc>
        <w:tc>
          <w:tcPr>
            <w:tcW w:type="dxa" w:w="4000"/>
          </w:tcPr>
          <w:p>
            <w:r>
              <w:t>Voce del programma ministeriale: il calcolatore di bordo che raccoglie e controlla i dati di carico (U.D. 2.1.3)</w:t>
            </w:r>
          </w:p>
        </w:tc>
        <w:tc>
          <w:tcPr>
            <w:tcW w:type="dxa" w:w="1160"/>
          </w:tcPr>
          <w:p>
            <w:r>
              <w:t>2.1.7, 2.2.1</w:t>
            </w:r>
          </w:p>
        </w:tc>
      </w:tr>
      <w:tr>
        <w:trPr>
          <w:cantSplit/>
        </w:trPr>
        <w:tc>
          <w:tcPr>
            <w:tcW w:type="dxa" w:w="1650"/>
          </w:tcPr>
          <w:p>
            <w:r>
              <w:rPr>
                <w:b/>
              </w:rPr>
              <w:t>AH, DH, EH, FH</w:t>
            </w:r>
          </w:p>
        </w:tc>
        <w:tc>
          <w:tcPr>
            <w:tcW w:type="dxa" w:w="2550"/>
          </w:tcPr>
          <w:p>
            <w:r>
              <w:t>Gradi dell'acciaio ad alta resistenza</w:t>
            </w:r>
          </w:p>
        </w:tc>
        <w:tc>
          <w:tcPr>
            <w:tcW w:type="dxa" w:w="4000"/>
          </w:tcPr>
          <w:p>
            <w:r>
              <w:t>Acciai da scafo più resistenti del normale; il numero che segue (32, 36, 40) indica lo snervamento minimo in kgf/mm²</w:t>
            </w:r>
          </w:p>
        </w:tc>
        <w:tc>
          <w:tcPr>
            <w:tcW w:type="dxa" w:w="1160"/>
          </w:tcPr>
          <w:p>
            <w:r>
              <w:t>Approf., Rec. 47</w:t>
            </w:r>
          </w:p>
        </w:tc>
      </w:tr>
      <w:tr>
        <w:trPr>
          <w:cantSplit/>
        </w:trPr>
        <w:tc>
          <w:tcPr>
            <w:tcW w:type="dxa" w:w="1650"/>
          </w:tcPr>
          <w:p>
            <w:r>
              <w:rPr>
                <w:b/>
              </w:rPr>
              <w:t>AN</w:t>
            </w:r>
          </w:p>
        </w:tc>
        <w:tc>
          <w:tcPr>
            <w:tcW w:type="dxa" w:w="2550"/>
          </w:tcPr>
          <w:p>
            <w:r>
              <w:t>Asse neutro</w:t>
            </w:r>
          </w:p>
        </w:tc>
        <w:tc>
          <w:tcPr>
            <w:tcW w:type="dxa" w:w="4000"/>
          </w:tcPr>
          <w:p>
            <w:r>
              <w:t>Linea della sezione dove la flessione non dà tensione; lì il taglio è massimo</w:t>
            </w:r>
          </w:p>
        </w:tc>
        <w:tc>
          <w:tcPr>
            <w:tcW w:type="dxa" w:w="1160"/>
          </w:tcPr>
          <w:p>
            <w:r>
              <w:t>Approf.</w:t>
            </w:r>
          </w:p>
        </w:tc>
      </w:tr>
      <w:tr>
        <w:trPr>
          <w:cantSplit/>
        </w:trPr>
        <w:tc>
          <w:tcPr>
            <w:tcW w:type="dxa" w:w="1650"/>
          </w:tcPr>
          <w:p>
            <w:r>
              <w:rPr>
                <w:b/>
              </w:rPr>
              <w:t>ANSI/AWS</w:t>
            </w:r>
          </w:p>
        </w:tc>
        <w:tc>
          <w:tcPr>
            <w:tcW w:type="dxa" w:w="2550"/>
          </w:tcPr>
          <w:p>
            <w:r>
              <w:t>American National Standards Institute / American Welding Society</w:t>
            </w:r>
          </w:p>
        </w:tc>
        <w:tc>
          <w:tcPr>
            <w:tcW w:type="dxa" w:w="4000"/>
          </w:tcPr>
          <w:p>
            <w:r>
              <w:t>Norme americane di saldatura (AWS D1.1), accettate per qualificare saldatori e procedimenti</w:t>
            </w:r>
          </w:p>
        </w:tc>
        <w:tc>
          <w:tcPr>
            <w:tcW w:type="dxa" w:w="1160"/>
          </w:tcPr>
          <w:p>
            <w:r>
              <w:t>Rec. 47</w:t>
            </w:r>
          </w:p>
        </w:tc>
      </w:tr>
      <w:tr>
        <w:trPr>
          <w:cantSplit/>
        </w:trPr>
        <w:tc>
          <w:tcPr>
            <w:tcW w:type="dxa" w:w="1650"/>
          </w:tcPr>
          <w:p>
            <w:r>
              <w:rPr>
                <w:b/>
              </w:rPr>
              <w:t>ASME</w:t>
            </w:r>
          </w:p>
        </w:tc>
        <w:tc>
          <w:tcPr>
            <w:tcW w:type="dxa" w:w="2550"/>
          </w:tcPr>
          <w:p>
            <w:r>
              <w:t>American Society of Mechanical Engineers</w:t>
            </w:r>
          </w:p>
        </w:tc>
        <w:tc>
          <w:tcPr>
            <w:tcW w:type="dxa" w:w="4000"/>
          </w:tcPr>
          <w:p>
            <w:r>
              <w:t>Norme americane; la Sezione IX riguarda la qualifica di saldatori e procedimenti</w:t>
            </w:r>
          </w:p>
        </w:tc>
        <w:tc>
          <w:tcPr>
            <w:tcW w:type="dxa" w:w="1160"/>
          </w:tcPr>
          <w:p>
            <w:r>
              <w:t>Rec. 47</w:t>
            </w:r>
          </w:p>
        </w:tc>
      </w:tr>
      <w:tr>
        <w:trPr>
          <w:cantSplit/>
        </w:trPr>
        <w:tc>
          <w:tcPr>
            <w:tcW w:type="dxa" w:w="1650"/>
          </w:tcPr>
          <w:p>
            <w:r>
              <w:rPr>
                <w:b/>
              </w:rPr>
              <w:t>BC</w:t>
            </w:r>
          </w:p>
        </w:tc>
        <w:tc>
          <w:tcPr>
            <w:tcW w:type="dxa" w:w="2550"/>
          </w:tcPr>
          <w:p>
            <w:r>
              <w:t>Bulk Carrier</w:t>
            </w:r>
          </w:p>
        </w:tc>
        <w:tc>
          <w:tcPr>
            <w:tcW w:type="dxa" w:w="4000"/>
          </w:tcPr>
          <w:p>
            <w:r>
              <w:t>Nave portarinfuse</w:t>
            </w:r>
          </w:p>
        </w:tc>
        <w:tc>
          <w:tcPr>
            <w:tcW w:type="dxa" w:w="1160"/>
          </w:tcPr>
          <w:p>
            <w:r>
              <w:t>2.1.7, 2.2.1, Approf., IACS Z (2005)</w:t>
            </w:r>
          </w:p>
        </w:tc>
      </w:tr>
      <w:tr>
        <w:trPr>
          <w:cantSplit/>
        </w:trPr>
        <w:tc>
          <w:tcPr>
            <w:tcW w:type="dxa" w:w="1650"/>
          </w:tcPr>
          <w:p>
            <w:r>
              <w:rPr>
                <w:b/>
              </w:rPr>
              <w:t>BC-A / BC-B / BC-C</w:t>
            </w:r>
          </w:p>
        </w:tc>
        <w:tc>
          <w:tcPr>
            <w:tcW w:type="dxa" w:w="2550"/>
          </w:tcPr>
          <w:p>
            <w:r>
              <w:t>Notazioni di classe delle portarinfuse</w:t>
            </w:r>
          </w:p>
        </w:tc>
        <w:tc>
          <w:tcPr>
            <w:tcW w:type="dxa" w:w="4000"/>
          </w:tcPr>
          <w:p>
            <w:r>
              <w:t>BC-A: carichi pesanti anche a stive alterne vuote; BC-B: carichi pesanti con tutte le stive piene; BC-C: carichi leggeri (sotto 1,0 t/m³)</w:t>
            </w:r>
          </w:p>
        </w:tc>
        <w:tc>
          <w:tcPr>
            <w:tcW w:type="dxa" w:w="1160"/>
          </w:tcPr>
          <w:p>
            <w:r>
              <w:t>2.2.1</w:t>
            </w:r>
          </w:p>
        </w:tc>
      </w:tr>
      <w:tr>
        <w:trPr>
          <w:cantSplit/>
        </w:trPr>
        <w:tc>
          <w:tcPr>
            <w:tcW w:type="dxa" w:w="1650"/>
          </w:tcPr>
          <w:p>
            <w:r>
              <w:rPr>
                <w:b/>
              </w:rPr>
              <w:t>BLU</w:t>
            </w:r>
          </w:p>
        </w:tc>
        <w:tc>
          <w:tcPr>
            <w:tcW w:type="dxa" w:w="2550"/>
          </w:tcPr>
          <w:p>
            <w:r>
              <w:t>Bulk Loading and Unloading Code</w:t>
            </w:r>
          </w:p>
        </w:tc>
        <w:tc>
          <w:tcPr>
            <w:tcW w:type="dxa" w:w="4000"/>
          </w:tcPr>
          <w:p>
            <w:r>
              <w:t>Codice IMO per carico e scarico sicuro delle portarinfuse e il dialogo nave–terminale (U.D. 2.1.8)</w:t>
            </w:r>
          </w:p>
        </w:tc>
        <w:tc>
          <w:tcPr>
            <w:tcW w:type="dxa" w:w="1160"/>
          </w:tcPr>
          <w:p>
            <w:r>
              <w:t>2.1.7, 2.2.1, Approf.</w:t>
            </w:r>
          </w:p>
        </w:tc>
      </w:tr>
      <w:tr>
        <w:trPr>
          <w:cantSplit/>
        </w:trPr>
        <w:tc>
          <w:tcPr>
            <w:tcW w:type="dxa" w:w="1650"/>
          </w:tcPr>
          <w:p>
            <w:r>
              <w:rPr>
                <w:b/>
              </w:rPr>
              <w:t>BM</w:t>
            </w:r>
          </w:p>
        </w:tc>
        <w:tc>
          <w:tcPr>
            <w:tcW w:type="dxa" w:w="2550"/>
          </w:tcPr>
          <w:p>
            <w:r>
              <w:t>Bending Moment (momento flettente)</w:t>
            </w:r>
          </w:p>
        </w:tc>
        <w:tc>
          <w:tcPr>
            <w:tcW w:type="dxa" w:w="4000"/>
          </w:tcPr>
          <w:p>
            <w:r>
              <w:t>Lo sforzo che tende a piegare lo scafo come una trave (inarcamento o insellamento)</w:t>
            </w:r>
          </w:p>
        </w:tc>
        <w:tc>
          <w:tcPr>
            <w:tcW w:type="dxa" w:w="1160"/>
          </w:tcPr>
          <w:p>
            <w:r>
              <w:t>2.1.7, 2.2.1, Approf.</w:t>
            </w:r>
          </w:p>
        </w:tc>
      </w:tr>
      <w:tr>
        <w:trPr>
          <w:cantSplit/>
        </w:trPr>
        <w:tc>
          <w:tcPr>
            <w:tcW w:type="dxa" w:w="1650"/>
          </w:tcPr>
          <w:p>
            <w:r>
              <w:rPr>
                <w:b/>
              </w:rPr>
              <w:t>CC BY-NC-SA 4.0</w:t>
            </w:r>
          </w:p>
        </w:tc>
        <w:tc>
          <w:tcPr>
            <w:tcW w:type="dxa" w:w="2550"/>
          </w:tcPr>
          <w:p>
            <w:r>
              <w:t>Creative Commons Attribuzione – Non commerciale – Condividi allo stesso modo 4.0</w:t>
            </w:r>
          </w:p>
        </w:tc>
        <w:tc>
          <w:tcPr>
            <w:tcW w:type="dxa" w:w="4000"/>
          </w:tcPr>
          <w:p>
            <w:r>
              <w:t>Licenza del materiale: si può condividere e modificare citando l'autore, senza scopo commerciale e con la stessa licenza</w:t>
            </w:r>
          </w:p>
        </w:tc>
        <w:tc>
          <w:tcPr>
            <w:tcW w:type="dxa" w:w="1160"/>
          </w:tcPr>
          <w:p>
            <w:r>
              <w:t>2.1.7, 2.2.1, Approf.</w:t>
            </w:r>
          </w:p>
        </w:tc>
      </w:tr>
      <w:tr>
        <w:trPr>
          <w:cantSplit/>
        </w:trPr>
        <w:tc>
          <w:tcPr>
            <w:tcW w:type="dxa" w:w="1650"/>
          </w:tcPr>
          <w:p>
            <w:r>
              <w:rPr>
                <w:b/>
              </w:rPr>
              <w:t>CCC</w:t>
            </w:r>
          </w:p>
        </w:tc>
        <w:tc>
          <w:tcPr>
            <w:tcW w:type="dxa" w:w="2550"/>
          </w:tcPr>
          <w:p>
            <w:r>
              <w:t>Sub-Committee on Carriage of Cargoes and Containers</w:t>
            </w:r>
          </w:p>
        </w:tc>
        <w:tc>
          <w:tcPr>
            <w:tcW w:type="dxa" w:w="4000"/>
          </w:tcPr>
          <w:p>
            <w:r>
              <w:t>Sottocomitato IMO che prepara le regole sul trasporto di carichi e container (IMSBC, IMDG, fumigazione)</w:t>
            </w:r>
          </w:p>
        </w:tc>
        <w:tc>
          <w:tcPr>
            <w:tcW w:type="dxa" w:w="1160"/>
          </w:tcPr>
          <w:p>
            <w:r>
              <w:t>Ripasso*</w:t>
            </w:r>
          </w:p>
        </w:tc>
      </w:tr>
      <w:tr>
        <w:trPr>
          <w:cantSplit/>
        </w:trPr>
        <w:tc>
          <w:tcPr>
            <w:tcW w:type="dxa" w:w="1650"/>
          </w:tcPr>
          <w:p>
            <w:r>
              <w:rPr>
                <w:b/>
              </w:rPr>
              <w:t>CMS</w:t>
            </w:r>
          </w:p>
        </w:tc>
        <w:tc>
          <w:tcPr>
            <w:tcW w:type="dxa" w:w="2550"/>
          </w:tcPr>
          <w:p>
            <w:r>
              <w:t>Continuous Machinery Survey</w:t>
            </w:r>
          </w:p>
        </w:tc>
        <w:tc>
          <w:tcPr>
            <w:tcW w:type="dxa" w:w="4000"/>
          </w:tcPr>
          <w:p>
            <w:r>
              <w:t>Visita continua della macchina: le voci sono esaminate a rotazione nei cinque anni</w:t>
            </w:r>
          </w:p>
        </w:tc>
        <w:tc>
          <w:tcPr>
            <w:tcW w:type="dxa" w:w="1160"/>
          </w:tcPr>
          <w:p>
            <w:r>
              <w:t>IACS Z (2005)</w:t>
            </w:r>
          </w:p>
        </w:tc>
      </w:tr>
      <w:tr>
        <w:trPr>
          <w:cantSplit/>
        </w:trPr>
        <w:tc>
          <w:tcPr>
            <w:tcW w:type="dxa" w:w="1650"/>
          </w:tcPr>
          <w:p>
            <w:r>
              <w:rPr>
                <w:b/>
              </w:rPr>
              <w:t>COW</w:t>
            </w:r>
          </w:p>
        </w:tc>
        <w:tc>
          <w:tcPr>
            <w:tcW w:type="dxa" w:w="2550"/>
          </w:tcPr>
          <w:p>
            <w:r>
              <w:t>Crude Oil Washing</w:t>
            </w:r>
          </w:p>
        </w:tc>
        <w:tc>
          <w:tcPr>
            <w:tcW w:type="dxa" w:w="4000"/>
          </w:tcPr>
          <w:p>
            <w:r>
              <w:t>Lavaggio delle cisterne di carico di una petroliera con lo stesso greggio</w:t>
            </w:r>
          </w:p>
        </w:tc>
        <w:tc>
          <w:tcPr>
            <w:tcW w:type="dxa" w:w="1160"/>
          </w:tcPr>
          <w:p>
            <w:r>
              <w:t>IACS Z (2005)</w:t>
            </w:r>
          </w:p>
        </w:tc>
      </w:tr>
      <w:tr>
        <w:trPr>
          <w:cantSplit/>
        </w:trPr>
        <w:tc>
          <w:tcPr>
            <w:tcW w:type="dxa" w:w="1650"/>
          </w:tcPr>
          <w:p>
            <w:r>
              <w:rPr>
                <w:b/>
              </w:rPr>
              <w:t>CP</w:t>
            </w:r>
          </w:p>
        </w:tc>
        <w:tc>
          <w:tcPr>
            <w:tcW w:type="dxa" w:w="2550"/>
          </w:tcPr>
          <w:p>
            <w:r>
              <w:t>Capitanerie di porto</w:t>
            </w:r>
          </w:p>
        </w:tc>
        <w:tc>
          <w:tcPr>
            <w:tcW w:type="dxa" w:w="4000"/>
          </w:tcPr>
          <w:p>
            <w:r>
              <w:t>Comando generale del Corpo delle Capitanerie di porto – Guardia costiera, autorità marittima italiana</w:t>
            </w:r>
          </w:p>
        </w:tc>
        <w:tc>
          <w:tcPr>
            <w:tcW w:type="dxa" w:w="1160"/>
          </w:tcPr>
          <w:p>
            <w:r>
              <w:t>Ripasso*</w:t>
            </w:r>
          </w:p>
        </w:tc>
      </w:tr>
      <w:tr>
        <w:trPr>
          <w:cantSplit/>
        </w:trPr>
        <w:tc>
          <w:tcPr>
            <w:tcW w:type="dxa" w:w="1650"/>
          </w:tcPr>
          <w:p>
            <w:r>
              <w:rPr>
                <w:b/>
              </w:rPr>
              <w:t>CSM</w:t>
            </w:r>
          </w:p>
        </w:tc>
        <w:tc>
          <w:tcPr>
            <w:tcW w:type="dxa" w:w="2550"/>
          </w:tcPr>
          <w:p>
            <w:r>
              <w:t>Cargo Securing Manual</w:t>
            </w:r>
          </w:p>
        </w:tc>
        <w:tc>
          <w:tcPr>
            <w:tcW w:type="dxa" w:w="4000"/>
          </w:tcPr>
          <w:p>
            <w:r>
              <w:t>Manuale di rizzaggio approvato della singola nave: carichi ammessi, punti di rizzaggio, procedure</w:t>
            </w:r>
          </w:p>
        </w:tc>
        <w:tc>
          <w:tcPr>
            <w:tcW w:type="dxa" w:w="1160"/>
          </w:tcPr>
          <w:p>
            <w:r>
              <w:t>2.1.4.2</w:t>
            </w:r>
          </w:p>
        </w:tc>
      </w:tr>
      <w:tr>
        <w:trPr>
          <w:cantSplit/>
        </w:trPr>
        <w:tc>
          <w:tcPr>
            <w:tcW w:type="dxa" w:w="1650"/>
          </w:tcPr>
          <w:p>
            <w:r>
              <w:rPr>
                <w:b/>
              </w:rPr>
              <w:t>CSR</w:t>
            </w:r>
          </w:p>
        </w:tc>
        <w:tc>
          <w:tcPr>
            <w:tcW w:type="dxa" w:w="2550"/>
          </w:tcPr>
          <w:p>
            <w:r>
              <w:t>Common Structural Rules</w:t>
            </w:r>
          </w:p>
        </w:tc>
        <w:tc>
          <w:tcPr>
            <w:tcW w:type="dxa" w:w="4000"/>
          </w:tcPr>
          <w:p>
            <w:r>
              <w:t>Regole comuni delle società di classifica IACS per la struttura di portarinfuse e petroliere</w:t>
            </w:r>
          </w:p>
        </w:tc>
        <w:tc>
          <w:tcPr>
            <w:tcW w:type="dxa" w:w="1160"/>
          </w:tcPr>
          <w:p>
            <w:r>
              <w:t>2.1.7, 2.2.1, Approf.</w:t>
            </w:r>
          </w:p>
        </w:tc>
      </w:tr>
      <w:tr>
        <w:trPr>
          <w:cantSplit/>
        </w:trPr>
        <w:tc>
          <w:tcPr>
            <w:tcW w:type="dxa" w:w="1650"/>
          </w:tcPr>
          <w:p>
            <w:r>
              <w:rPr>
                <w:b/>
              </w:rPr>
              <w:t>CSR-BC</w:t>
            </w:r>
          </w:p>
        </w:tc>
        <w:tc>
          <w:tcPr>
            <w:tcW w:type="dxa" w:w="2550"/>
          </w:tcPr>
          <w:p>
            <w:r>
              <w:t>Common Structural Rules for Bulk Carriers</w:t>
            </w:r>
          </w:p>
        </w:tc>
        <w:tc>
          <w:tcPr>
            <w:tcW w:type="dxa" w:w="4000"/>
          </w:tcPr>
          <w:p>
            <w:r>
              <w:t>Prima edizione delle CSR, solo per portarinfuse; vi nascono le notazioni BC-A/B/C</w:t>
            </w:r>
          </w:p>
        </w:tc>
        <w:tc>
          <w:tcPr>
            <w:tcW w:type="dxa" w:w="1160"/>
          </w:tcPr>
          <w:p>
            <w:r>
              <w:t>2.1.7, 2.2.1</w:t>
            </w:r>
          </w:p>
        </w:tc>
      </w:tr>
      <w:tr>
        <w:trPr>
          <w:cantSplit/>
        </w:trPr>
        <w:tc>
          <w:tcPr>
            <w:tcW w:type="dxa" w:w="1650"/>
          </w:tcPr>
          <w:p>
            <w:r>
              <w:rPr>
                <w:b/>
              </w:rPr>
              <w:t>CSR-BC&amp;OT</w:t>
            </w:r>
          </w:p>
        </w:tc>
        <w:tc>
          <w:tcPr>
            <w:tcW w:type="dxa" w:w="2550"/>
          </w:tcPr>
          <w:p>
            <w:r>
              <w:t>Common Structural Rules for Bulk Carriers and Oil Tankers</w:t>
            </w:r>
          </w:p>
        </w:tc>
        <w:tc>
          <w:tcPr>
            <w:tcW w:type="dxa" w:w="4000"/>
          </w:tcPr>
          <w:p>
            <w:r>
              <w:t>Edizione unificata delle CSR per portarinfuse e petroliere</w:t>
            </w:r>
          </w:p>
        </w:tc>
        <w:tc>
          <w:tcPr>
            <w:tcW w:type="dxa" w:w="1160"/>
          </w:tcPr>
          <w:p>
            <w:r>
              <w:t>2.1.7</w:t>
            </w:r>
          </w:p>
        </w:tc>
      </w:tr>
      <w:tr>
        <w:trPr>
          <w:cantSplit/>
        </w:trPr>
        <w:tc>
          <w:tcPr>
            <w:tcW w:type="dxa" w:w="1650"/>
          </w:tcPr>
          <w:p>
            <w:r>
              <w:rPr>
                <w:b/>
              </w:rPr>
              <w:t>CSS Code</w:t>
            </w:r>
          </w:p>
        </w:tc>
        <w:tc>
          <w:tcPr>
            <w:tcW w:type="dxa" w:w="2550"/>
          </w:tcPr>
          <w:p>
            <w:r>
              <w:t>Code of Safe Practice for Cargo Stowage and Securing</w:t>
            </w:r>
          </w:p>
        </w:tc>
        <w:tc>
          <w:tcPr>
            <w:tcW w:type="dxa" w:w="4000"/>
          </w:tcPr>
          <w:p>
            <w:r>
              <w:t>Codice IMO sui criteri di stivaggio e rizzaggio; è la base del CSM</w:t>
            </w:r>
          </w:p>
        </w:tc>
        <w:tc>
          <w:tcPr>
            <w:tcW w:type="dxa" w:w="1160"/>
          </w:tcPr>
          <w:p>
            <w:r>
              <w:t>2.1.4.2</w:t>
            </w:r>
          </w:p>
        </w:tc>
      </w:tr>
      <w:tr>
        <w:trPr>
          <w:cantSplit/>
        </w:trPr>
        <w:tc>
          <w:tcPr>
            <w:tcW w:type="dxa" w:w="1650"/>
          </w:tcPr>
          <w:p>
            <w:r>
              <w:rPr>
                <w:b/>
              </w:rPr>
              <w:t>D.D.</w:t>
            </w:r>
          </w:p>
        </w:tc>
        <w:tc>
          <w:tcPr>
            <w:tcW w:type="dxa" w:w="2550"/>
          </w:tcPr>
          <w:p>
            <w:r>
              <w:t>Decreto Direttoriale</w:t>
            </w:r>
          </w:p>
        </w:tc>
        <w:tc>
          <w:tcPr>
            <w:tcW w:type="dxa" w:w="4000"/>
          </w:tcPr>
          <w:p>
            <w:r>
              <w:t>Atto del Ministero: D.D. 201/2024 fissa il programma del corso, D.D. 76/2025 gli esami</w:t>
            </w:r>
          </w:p>
        </w:tc>
        <w:tc>
          <w:tcPr>
            <w:tcW w:type="dxa" w:w="1160"/>
          </w:tcPr>
          <w:p>
            <w:r>
              <w:t>2.1.7, 2.2.1, Approf.</w:t>
            </w:r>
          </w:p>
        </w:tc>
      </w:tr>
      <w:tr>
        <w:trPr>
          <w:cantSplit/>
        </w:trPr>
        <w:tc>
          <w:tcPr>
            <w:tcW w:type="dxa" w:w="1650"/>
          </w:tcPr>
          <w:p>
            <w:r>
              <w:rPr>
                <w:b/>
              </w:rPr>
              <w:t>D.Lgs.</w:t>
            </w:r>
          </w:p>
        </w:tc>
        <w:tc>
          <w:tcPr>
            <w:tcW w:type="dxa" w:w="2550"/>
          </w:tcPr>
          <w:p>
            <w:r>
              <w:t>Decreto Legislativo</w:t>
            </w:r>
          </w:p>
        </w:tc>
        <w:tc>
          <w:tcPr>
            <w:tcW w:type="dxa" w:w="4000"/>
          </w:tcPr>
          <w:p>
            <w:r>
              <w:t>Legge nazionale italiana; qui 271/1999 e 272/1999 sulla sicurezza del lavoro a bordo e in porto</w:t>
            </w:r>
          </w:p>
        </w:tc>
        <w:tc>
          <w:tcPr>
            <w:tcW w:type="dxa" w:w="1160"/>
          </w:tcPr>
          <w:p>
            <w:r>
              <w:t>2.1.4.2</w:t>
            </w:r>
          </w:p>
        </w:tc>
      </w:tr>
      <w:tr>
        <w:trPr>
          <w:cantSplit/>
        </w:trPr>
        <w:tc>
          <w:tcPr>
            <w:tcW w:type="dxa" w:w="1650"/>
          </w:tcPr>
          <w:p>
            <w:r>
              <w:rPr>
                <w:b/>
              </w:rPr>
              <w:t>DF</w:t>
            </w:r>
          </w:p>
        </w:tc>
        <w:tc>
          <w:tcPr>
            <w:tcW w:type="dxa" w:w="2550"/>
          </w:tcPr>
          <w:p>
            <w:r>
              <w:t>Doppio fondo</w:t>
            </w:r>
          </w:p>
        </w:tc>
        <w:tc>
          <w:tcPr>
            <w:tcW w:type="dxa" w:w="4000"/>
          </w:tcPr>
          <w:p>
            <w:r>
              <w:t>Spazio tra il fondo esterno e il pavimento della stiva; contiene zavorra e combustibile</w:t>
            </w:r>
          </w:p>
        </w:tc>
        <w:tc>
          <w:tcPr>
            <w:tcW w:type="dxa" w:w="1160"/>
          </w:tcPr>
          <w:p>
            <w:r>
              <w:t>2.2.1, Approf.</w:t>
            </w:r>
          </w:p>
        </w:tc>
      </w:tr>
      <w:tr>
        <w:trPr>
          <w:cantSplit/>
        </w:trPr>
        <w:tc>
          <w:tcPr>
            <w:tcW w:type="dxa" w:w="1650"/>
          </w:tcPr>
          <w:p>
            <w:r>
              <w:rPr>
                <w:b/>
              </w:rPr>
              <w:t>DHT</w:t>
            </w:r>
          </w:p>
        </w:tc>
        <w:tc>
          <w:tcPr>
            <w:tcW w:type="dxa" w:w="2550"/>
          </w:tcPr>
          <w:p>
            <w:r>
              <w:t>Double Hull (Oil) Tanker</w:t>
            </w:r>
          </w:p>
        </w:tc>
        <w:tc>
          <w:tcPr>
            <w:tcW w:type="dxa" w:w="4000"/>
          </w:tcPr>
          <w:p>
            <w:r>
              <w:t>Petroliera a doppio scafo; sigla dei moduli di spessimetria TM-DHT</w:t>
            </w:r>
          </w:p>
        </w:tc>
        <w:tc>
          <w:tcPr>
            <w:tcW w:type="dxa" w:w="1160"/>
          </w:tcPr>
          <w:p>
            <w:r>
              <w:t>IACS Z (2005)</w:t>
            </w:r>
          </w:p>
        </w:tc>
      </w:tr>
      <w:tr>
        <w:trPr>
          <w:cantSplit/>
        </w:trPr>
        <w:tc>
          <w:tcPr>
            <w:tcW w:type="dxa" w:w="1650"/>
          </w:tcPr>
          <w:p>
            <w:r>
              <w:rPr>
                <w:b/>
              </w:rPr>
              <w:t>DPI</w:t>
            </w:r>
          </w:p>
        </w:tc>
        <w:tc>
          <w:tcPr>
            <w:tcW w:type="dxa" w:w="2550"/>
          </w:tcPr>
          <w:p>
            <w:r>
              <w:t>Dispositivi di protezione individuale</w:t>
            </w:r>
          </w:p>
        </w:tc>
        <w:tc>
          <w:tcPr>
            <w:tcW w:type="dxa" w:w="4000"/>
          </w:tcPr>
          <w:p>
            <w:r>
              <w:t>Casco, scarpe antinfortunistiche, guanti, gilet ad alta visibilità</w:t>
            </w:r>
          </w:p>
        </w:tc>
        <w:tc>
          <w:tcPr>
            <w:tcW w:type="dxa" w:w="1160"/>
          </w:tcPr>
          <w:p>
            <w:r>
              <w:t>2.1.4.2</w:t>
            </w:r>
          </w:p>
        </w:tc>
      </w:tr>
      <w:tr>
        <w:trPr>
          <w:cantSplit/>
        </w:trPr>
        <w:tc>
          <w:tcPr>
            <w:tcW w:type="dxa" w:w="1650"/>
          </w:tcPr>
          <w:p>
            <w:r>
              <w:rPr>
                <w:b/>
              </w:rPr>
              <w:t>DSBC</w:t>
            </w:r>
          </w:p>
        </w:tc>
        <w:tc>
          <w:tcPr>
            <w:tcW w:type="dxa" w:w="2550"/>
          </w:tcPr>
          <w:p>
            <w:r>
              <w:t>Double Side Skin Bulk Carrier</w:t>
            </w:r>
          </w:p>
        </w:tc>
        <w:tc>
          <w:tcPr>
            <w:tcW w:type="dxa" w:w="4000"/>
          </w:tcPr>
          <w:p>
            <w:r>
              <w:t>Portarinfuse a doppio fianco; sigla dei moduli di spessimetria TM-DSBC</w:t>
            </w:r>
          </w:p>
        </w:tc>
        <w:tc>
          <w:tcPr>
            <w:tcW w:type="dxa" w:w="1160"/>
          </w:tcPr>
          <w:p>
            <w:r>
              <w:t>IACS Z (2005)</w:t>
            </w:r>
          </w:p>
        </w:tc>
      </w:tr>
      <w:tr>
        <w:trPr>
          <w:cantSplit/>
        </w:trPr>
        <w:tc>
          <w:tcPr>
            <w:tcW w:type="dxa" w:w="1650"/>
          </w:tcPr>
          <w:p>
            <w:r>
              <w:rPr>
                <w:b/>
              </w:rPr>
              <w:t>E&amp;T</w:t>
            </w:r>
          </w:p>
        </w:tc>
        <w:tc>
          <w:tcPr>
            <w:tcW w:type="dxa" w:w="2550"/>
          </w:tcPr>
          <w:p>
            <w:r>
              <w:t>Editorial and Technical Group</w:t>
            </w:r>
          </w:p>
        </w:tc>
        <w:tc>
          <w:tcPr>
            <w:tcW w:type="dxa" w:w="4000"/>
          </w:tcPr>
          <w:p>
            <w:r>
              <w:t>Gruppo di lavoro IMO che prepara gli emendamenti al Codice IMSBC</w:t>
            </w:r>
          </w:p>
        </w:tc>
        <w:tc>
          <w:tcPr>
            <w:tcW w:type="dxa" w:w="1160"/>
          </w:tcPr>
          <w:p>
            <w:r>
              <w:t>Ripasso*</w:t>
            </w:r>
          </w:p>
        </w:tc>
      </w:tr>
      <w:tr>
        <w:trPr>
          <w:cantSplit/>
        </w:trPr>
        <w:tc>
          <w:tcPr>
            <w:tcW w:type="dxa" w:w="1650"/>
          </w:tcPr>
          <w:p>
            <w:r>
              <w:rPr>
                <w:b/>
              </w:rPr>
              <w:t>EmS</w:t>
            </w:r>
          </w:p>
        </w:tc>
        <w:tc>
          <w:tcPr>
            <w:tcW w:type="dxa" w:w="2550"/>
          </w:tcPr>
          <w:p>
            <w:r>
              <w:t>Emergency Schedules</w:t>
            </w:r>
          </w:p>
        </w:tc>
        <w:tc>
          <w:tcPr>
            <w:tcW w:type="dxa" w:w="4000"/>
          </w:tcPr>
          <w:p>
            <w:r>
              <w:t>Schede di emergenza del Codice IMDG: cosa fare in caso di incendio o perdita di una merce pericolosa</w:t>
            </w:r>
          </w:p>
        </w:tc>
        <w:tc>
          <w:tcPr>
            <w:tcW w:type="dxa" w:w="1160"/>
          </w:tcPr>
          <w:p>
            <w:r>
              <w:t>2.1.4.2</w:t>
            </w:r>
          </w:p>
        </w:tc>
      </w:tr>
      <w:tr>
        <w:trPr>
          <w:cantSplit/>
        </w:trPr>
        <w:tc>
          <w:tcPr>
            <w:tcW w:type="dxa" w:w="1650"/>
          </w:tcPr>
          <w:p>
            <w:r>
              <w:rPr>
                <w:b/>
              </w:rPr>
              <w:t>EN</w:t>
            </w:r>
          </w:p>
        </w:tc>
        <w:tc>
          <w:tcPr>
            <w:tcW w:type="dxa" w:w="2550"/>
          </w:tcPr>
          <w:p>
            <w:r>
              <w:t>European Norm (norma europea)</w:t>
            </w:r>
          </w:p>
        </w:tc>
        <w:tc>
          <w:tcPr>
            <w:tcW w:type="dxa" w:w="4000"/>
          </w:tcPr>
          <w:p>
            <w:r>
              <w:t>Norma tecnica europea: EN 1492 (fasce di sollevamento); EN 287 e EN 10163 (saldatori, finitura delle lamiere) nelle norme IACS</w:t>
            </w:r>
          </w:p>
        </w:tc>
        <w:tc>
          <w:tcPr>
            <w:tcW w:type="dxa" w:w="1160"/>
          </w:tcPr>
          <w:p>
            <w:r>
              <w:t>2.1.4.2, IACS Z (2005), Rec. 47</w:t>
            </w:r>
          </w:p>
        </w:tc>
      </w:tr>
      <w:tr>
        <w:trPr>
          <w:cantSplit/>
        </w:trPr>
        <w:tc>
          <w:tcPr>
            <w:tcW w:type="dxa" w:w="1650"/>
          </w:tcPr>
          <w:p>
            <w:r>
              <w:rPr>
                <w:b/>
              </w:rPr>
              <w:t>ESD</w:t>
            </w:r>
          </w:p>
        </w:tc>
        <w:tc>
          <w:tcPr>
            <w:tcW w:type="dxa" w:w="2550"/>
          </w:tcPr>
          <w:p>
            <w:r>
              <w:t>Emergency Shutdown</w:t>
            </w:r>
          </w:p>
        </w:tc>
        <w:tc>
          <w:tcPr>
            <w:tcW w:type="dxa" w:w="4000"/>
          </w:tcPr>
          <w:p>
            <w:r>
              <w:t>Arresto di emergenza: chiusura automatica dell'alimentazione del gas in caso di perdita (IGF)</w:t>
            </w:r>
          </w:p>
        </w:tc>
        <w:tc>
          <w:tcPr>
            <w:tcW w:type="dxa" w:w="1160"/>
          </w:tcPr>
          <w:p>
            <w:r>
              <w:t>UI IGF</w:t>
            </w:r>
          </w:p>
        </w:tc>
      </w:tr>
      <w:tr>
        <w:trPr>
          <w:cantSplit/>
        </w:trPr>
        <w:tc>
          <w:tcPr>
            <w:tcW w:type="dxa" w:w="1650"/>
          </w:tcPr>
          <w:p>
            <w:r>
              <w:rPr>
                <w:b/>
              </w:rPr>
              <w:t>ESP</w:t>
            </w:r>
          </w:p>
        </w:tc>
        <w:tc>
          <w:tcPr>
            <w:tcW w:type="dxa" w:w="2550"/>
          </w:tcPr>
          <w:p>
            <w:r>
              <w:t>Enhanced Survey Programme</w:t>
            </w:r>
          </w:p>
        </w:tc>
        <w:tc>
          <w:tcPr>
            <w:tcW w:type="dxa" w:w="4000"/>
          </w:tcPr>
          <w:p>
            <w:r>
              <w:t>Programma di ispezioni rafforzate di portarinfuse e petroliere: visite e misure di spessore che crescono con l'età della nave (2011 ESP Code)</w:t>
            </w:r>
          </w:p>
        </w:tc>
        <w:tc>
          <w:tcPr>
            <w:tcW w:type="dxa" w:w="1160"/>
          </w:tcPr>
          <w:p>
            <w:r>
              <w:t>2.1.7, Ripasso*, Approf., IACS Z (2005)</w:t>
            </w:r>
          </w:p>
        </w:tc>
      </w:tr>
      <w:tr>
        <w:trPr>
          <w:cantSplit/>
        </w:trPr>
        <w:tc>
          <w:tcPr>
            <w:tcW w:type="dxa" w:w="1650"/>
          </w:tcPr>
          <w:p>
            <w:r>
              <w:rPr>
                <w:b/>
              </w:rPr>
              <w:t>FEM</w:t>
            </w:r>
          </w:p>
        </w:tc>
        <w:tc>
          <w:tcPr>
            <w:tcW w:type="dxa" w:w="2550"/>
          </w:tcPr>
          <w:p>
            <w:r>
              <w:t>Finite Element Method (metodo degli elementi finiti)</w:t>
            </w:r>
          </w:p>
        </w:tc>
        <w:tc>
          <w:tcPr>
            <w:tcW w:type="dxa" w:w="4000"/>
          </w:tcPr>
          <w:p>
            <w:r>
              <w:t>Calcolo al computer che divide la struttura in tanti piccoli elementi; le CSR lo richiedono per verificare le stive</w:t>
            </w:r>
          </w:p>
        </w:tc>
        <w:tc>
          <w:tcPr>
            <w:tcW w:type="dxa" w:w="1160"/>
          </w:tcPr>
          <w:p>
            <w:r>
              <w:t>2.1.7</w:t>
            </w:r>
          </w:p>
        </w:tc>
      </w:tr>
      <w:tr>
        <w:trPr>
          <w:cantSplit/>
        </w:trPr>
        <w:tc>
          <w:tcPr>
            <w:tcW w:type="dxa" w:w="1650"/>
          </w:tcPr>
          <w:p>
            <w:r>
              <w:rPr>
                <w:b/>
              </w:rPr>
              <w:t>FEU</w:t>
            </w:r>
          </w:p>
        </w:tc>
        <w:tc>
          <w:tcPr>
            <w:tcW w:type="dxa" w:w="2550"/>
          </w:tcPr>
          <w:p>
            <w:r>
              <w:t>Forty-foot Equivalent Unit</w:t>
            </w:r>
          </w:p>
        </w:tc>
        <w:tc>
          <w:tcPr>
            <w:tcW w:type="dxa" w:w="4000"/>
          </w:tcPr>
          <w:p>
            <w:r>
              <w:t>Container da 40 piedi, pari a 2 TEU</w:t>
            </w:r>
          </w:p>
        </w:tc>
        <w:tc>
          <w:tcPr>
            <w:tcW w:type="dxa" w:w="1160"/>
          </w:tcPr>
          <w:p>
            <w:r>
              <w:t>2.1.4.2</w:t>
            </w:r>
          </w:p>
        </w:tc>
      </w:tr>
      <w:tr>
        <w:trPr>
          <w:cantSplit/>
        </w:trPr>
        <w:tc>
          <w:tcPr>
            <w:tcW w:type="dxa" w:w="1650"/>
          </w:tcPr>
          <w:p>
            <w:r>
              <w:rPr>
                <w:b/>
              </w:rPr>
              <w:t>FMP</w:t>
            </w:r>
          </w:p>
        </w:tc>
        <w:tc>
          <w:tcPr>
            <w:tcW w:type="dxa" w:w="2550"/>
          </w:tcPr>
          <w:p>
            <w:r>
              <w:t>Flow Moisture Point</w:t>
            </w:r>
          </w:p>
        </w:tc>
        <w:tc>
          <w:tcPr>
            <w:tcW w:type="dxa" w:w="4000"/>
          </w:tcPr>
          <w:p>
            <w:r>
              <w:t>Umidità alla quale un carico alla rinfusa comincia a scorrere come un fluido; si misura in laboratorio</w:t>
            </w:r>
          </w:p>
        </w:tc>
        <w:tc>
          <w:tcPr>
            <w:tcW w:type="dxa" w:w="1160"/>
          </w:tcPr>
          <w:p>
            <w:r>
              <w:t>2.1.4.2</w:t>
            </w:r>
          </w:p>
        </w:tc>
      </w:tr>
      <w:tr>
        <w:trPr>
          <w:cantSplit/>
        </w:trPr>
        <w:tc>
          <w:tcPr>
            <w:tcW w:type="dxa" w:w="1650"/>
          </w:tcPr>
          <w:p>
            <w:r>
              <w:rPr>
                <w:b/>
              </w:rPr>
              <w:t>FS</w:t>
            </w:r>
          </w:p>
        </w:tc>
        <w:tc>
          <w:tcPr>
            <w:tcW w:type="dxa" w:w="2550"/>
          </w:tcPr>
          <w:p>
            <w:r>
              <w:t>Fattore di stivaggio (stowage factor)</w:t>
            </w:r>
          </w:p>
        </w:tc>
        <w:tc>
          <w:tcPr>
            <w:tcW w:type="dxa" w:w="4000"/>
          </w:tcPr>
          <w:p>
            <w:r>
              <w:t>Volume occupato da una tonnellata di carico, in m³/t: basso per i carichi densi, alto per quelli leggeri</w:t>
            </w:r>
          </w:p>
        </w:tc>
        <w:tc>
          <w:tcPr>
            <w:tcW w:type="dxa" w:w="1160"/>
          </w:tcPr>
          <w:p>
            <w:r>
              <w:t>2.1.7</w:t>
            </w:r>
          </w:p>
        </w:tc>
      </w:tr>
      <w:tr>
        <w:trPr>
          <w:cantSplit/>
        </w:trPr>
        <w:tc>
          <w:tcPr>
            <w:tcW w:type="dxa" w:w="1650"/>
          </w:tcPr>
          <w:p>
            <w:r>
              <w:rPr>
                <w:b/>
              </w:rPr>
              <w:t>GBS</w:t>
            </w:r>
          </w:p>
        </w:tc>
        <w:tc>
          <w:tcPr>
            <w:tcW w:type="dxa" w:w="2550"/>
          </w:tcPr>
          <w:p>
            <w:r>
              <w:t>Goal-Based Standards</w:t>
            </w:r>
          </w:p>
        </w:tc>
        <w:tc>
          <w:tcPr>
            <w:tcW w:type="dxa" w:w="4000"/>
          </w:tcPr>
          <w:p>
            <w:r>
              <w:t>Norme IMO "per obiettivi" sulla costruzione di portarinfuse e petroliere (SOLAS II-1/3-10); le CSR sono il modo con cui le classi le rispettano</w:t>
            </w:r>
          </w:p>
        </w:tc>
        <w:tc>
          <w:tcPr>
            <w:tcW w:type="dxa" w:w="1160"/>
          </w:tcPr>
          <w:p>
            <w:r>
              <w:t>2.1.7, Ripasso*</w:t>
            </w:r>
          </w:p>
        </w:tc>
      </w:tr>
      <w:tr>
        <w:trPr>
          <w:cantSplit/>
        </w:trPr>
        <w:tc>
          <w:tcPr>
            <w:tcW w:type="dxa" w:w="1650"/>
          </w:tcPr>
          <w:p>
            <w:r>
              <w:rPr>
                <w:b/>
              </w:rPr>
              <w:t>GM</w:t>
            </w:r>
          </w:p>
        </w:tc>
        <w:tc>
          <w:tcPr>
            <w:tcW w:type="dxa" w:w="2550"/>
          </w:tcPr>
          <w:p>
            <w:r>
              <w:t>Altezza metacentrica (metacentric height)</w:t>
            </w:r>
          </w:p>
        </w:tc>
        <w:tc>
          <w:tcPr>
            <w:tcW w:type="dxa" w:w="4000"/>
          </w:tcPr>
          <w:p>
            <w:r>
              <w:t>Distanza tra baricentro e metacentro: misura la stabilità iniziale; pesi in alto la riducono</w:t>
            </w:r>
          </w:p>
        </w:tc>
        <w:tc>
          <w:tcPr>
            <w:tcW w:type="dxa" w:w="1160"/>
          </w:tcPr>
          <w:p>
            <w:r>
              <w:t>2.1.4.2, 2.1.7</w:t>
            </w:r>
          </w:p>
        </w:tc>
      </w:tr>
      <w:tr>
        <w:trPr>
          <w:cantSplit/>
        </w:trPr>
        <w:tc>
          <w:tcPr>
            <w:tcW w:type="dxa" w:w="1650"/>
          </w:tcPr>
          <w:p>
            <w:r>
              <w:rPr>
                <w:b/>
              </w:rPr>
              <w:t>GOOD / FAIR / POOR</w:t>
            </w:r>
          </w:p>
        </w:tc>
        <w:tc>
          <w:tcPr>
            <w:tcW w:type="dxa" w:w="2550"/>
          </w:tcPr>
          <w:p>
            <w:r>
              <w:t>Buono / discreto / scadente</w:t>
            </w:r>
          </w:p>
        </w:tc>
        <w:tc>
          <w:tcPr>
            <w:tcW w:type="dxa" w:w="4000"/>
          </w:tcPr>
          <w:p>
            <w:r>
              <w:t>Stato del rivestimento protettivo nei rapporti ESP: da pochi punti di ruggine (GOOD) a cedimento esteso (POOR)</w:t>
            </w:r>
          </w:p>
        </w:tc>
        <w:tc>
          <w:tcPr>
            <w:tcW w:type="dxa" w:w="1160"/>
          </w:tcPr>
          <w:p>
            <w:r>
              <w:t>Approf., IACS Z (2005)</w:t>
            </w:r>
          </w:p>
        </w:tc>
      </w:tr>
      <w:tr>
        <w:trPr>
          <w:cantSplit/>
        </w:trPr>
        <w:tc>
          <w:tcPr>
            <w:tcW w:type="dxa" w:w="1650"/>
          </w:tcPr>
          <w:p>
            <w:r>
              <w:rPr>
                <w:b/>
              </w:rPr>
              <w:t>GRAB [X]</w:t>
            </w:r>
          </w:p>
        </w:tc>
        <w:tc>
          <w:tcPr>
            <w:tcW w:type="dxa" w:w="2550"/>
          </w:tcPr>
          <w:p>
            <w:r>
              <w:t>Notazione di classe "benna"</w:t>
            </w:r>
          </w:p>
        </w:tc>
        <w:tc>
          <w:tcPr>
            <w:tcW w:type="dxa" w:w="4000"/>
          </w:tcPr>
          <w:p>
            <w:r>
              <w:t>Massa in tonnellate della benna vuota per cui il cielo del doppio fondo è rinforzato</w:t>
            </w:r>
          </w:p>
        </w:tc>
        <w:tc>
          <w:tcPr>
            <w:tcW w:type="dxa" w:w="1160"/>
          </w:tcPr>
          <w:p>
            <w:r>
              <w:t>2.2.1</w:t>
            </w:r>
          </w:p>
        </w:tc>
      </w:tr>
      <w:tr>
        <w:trPr>
          <w:cantSplit/>
        </w:trPr>
        <w:tc>
          <w:tcPr>
            <w:tcW w:type="dxa" w:w="1650"/>
          </w:tcPr>
          <w:p>
            <w:r>
              <w:rPr>
                <w:b/>
              </w:rPr>
              <w:t>GT</w:t>
            </w:r>
          </w:p>
        </w:tc>
        <w:tc>
          <w:tcPr>
            <w:tcW w:type="dxa" w:w="2550"/>
          </w:tcPr>
          <w:p>
            <w:r>
              <w:t>Gross Tonnage (stazza lorda)</w:t>
            </w:r>
          </w:p>
        </w:tc>
        <w:tc>
          <w:tcPr>
            <w:tcW w:type="dxa" w:w="4000"/>
          </w:tcPr>
          <w:p>
            <w:r>
              <w:t>Misura del volume interno della nave; molte regole si applicano sopra una certa stazza (es. 3 000 GT)</w:t>
            </w:r>
          </w:p>
        </w:tc>
        <w:tc>
          <w:tcPr>
            <w:tcW w:type="dxa" w:w="1160"/>
          </w:tcPr>
          <w:p>
            <w:r>
              <w:t>Ripasso*</w:t>
            </w:r>
          </w:p>
        </w:tc>
      </w:tr>
      <w:tr>
        <w:trPr>
          <w:cantSplit/>
        </w:trPr>
        <w:tc>
          <w:tcPr>
            <w:tcW w:type="dxa" w:w="1650"/>
          </w:tcPr>
          <w:p>
            <w:r>
              <w:rPr>
                <w:b/>
              </w:rPr>
              <w:t>HT / HTS</w:t>
            </w:r>
          </w:p>
        </w:tc>
        <w:tc>
          <w:tcPr>
            <w:tcW w:type="dxa" w:w="2550"/>
          </w:tcPr>
          <w:p>
            <w:r>
              <w:t>High Tensile (Steel)</w:t>
            </w:r>
          </w:p>
        </w:tc>
        <w:tc>
          <w:tcPr>
            <w:tcW w:type="dxa" w:w="4000"/>
          </w:tcPr>
          <w:p>
            <w:r>
              <w:t>Acciaio ad alta resistenza (vedi AH, DH, EH)</w:t>
            </w:r>
          </w:p>
        </w:tc>
        <w:tc>
          <w:tcPr>
            <w:tcW w:type="dxa" w:w="1160"/>
          </w:tcPr>
          <w:p>
            <w:r>
              <w:t>IACS Z (2005), Rec. 47</w:t>
            </w:r>
          </w:p>
        </w:tc>
      </w:tr>
      <w:tr>
        <w:trPr>
          <w:cantSplit/>
        </w:trPr>
        <w:tc>
          <w:tcPr>
            <w:tcW w:type="dxa" w:w="1650"/>
          </w:tcPr>
          <w:p>
            <w:r>
              <w:rPr>
                <w:b/>
              </w:rPr>
              <w:t>IACS</w:t>
            </w:r>
          </w:p>
        </w:tc>
        <w:tc>
          <w:tcPr>
            <w:tcW w:type="dxa" w:w="2550"/>
          </w:tcPr>
          <w:p>
            <w:r>
              <w:t>International Association of Classification Societies</w:t>
            </w:r>
          </w:p>
        </w:tc>
        <w:tc>
          <w:tcPr>
            <w:tcW w:type="dxa" w:w="4000"/>
          </w:tcPr>
          <w:p>
            <w:r>
              <w:t>Associazione delle principali società di classifica; scrive requisiti comuni (UR, raccomandazioni, CSR)</w:t>
            </w:r>
          </w:p>
        </w:tc>
        <w:tc>
          <w:tcPr>
            <w:tcW w:type="dxa" w:w="1160"/>
          </w:tcPr>
          <w:p>
            <w:r>
              <w:t>2.1.7, 2.2.1, Approf., IACS Z (2005), Rec. 47, Rec. 74, UI IGF</w:t>
            </w:r>
          </w:p>
        </w:tc>
      </w:tr>
      <w:tr>
        <w:trPr>
          <w:cantSplit/>
        </w:trPr>
        <w:tc>
          <w:tcPr>
            <w:tcW w:type="dxa" w:w="1650"/>
          </w:tcPr>
          <w:p>
            <w:r>
              <w:rPr>
                <w:b/>
              </w:rPr>
              <w:t>ICLL</w:t>
            </w:r>
          </w:p>
        </w:tc>
        <w:tc>
          <w:tcPr>
            <w:tcW w:type="dxa" w:w="2550"/>
          </w:tcPr>
          <w:p>
            <w:r>
              <w:t>International Convention on Load Lines</w:t>
            </w:r>
          </w:p>
        </w:tc>
        <w:tc>
          <w:tcPr>
            <w:tcW w:type="dxa" w:w="4000"/>
          </w:tcPr>
          <w:p>
            <w:r>
              <w:t>Convenzione sul bordo libero; fissa anche l'altezza minima delle mastre dei boccaporti</w:t>
            </w:r>
          </w:p>
        </w:tc>
        <w:tc>
          <w:tcPr>
            <w:tcW w:type="dxa" w:w="1160"/>
          </w:tcPr>
          <w:p>
            <w:r>
              <w:t>2.1.4.2, 2.1.7</w:t>
            </w:r>
          </w:p>
        </w:tc>
      </w:tr>
      <w:tr>
        <w:trPr>
          <w:cantSplit/>
        </w:trPr>
        <w:tc>
          <w:tcPr>
            <w:tcW w:type="dxa" w:w="1650"/>
          </w:tcPr>
          <w:p>
            <w:r>
              <w:rPr>
                <w:b/>
              </w:rPr>
              <w:t>IEC</w:t>
            </w:r>
          </w:p>
        </w:tc>
        <w:tc>
          <w:tcPr>
            <w:tcW w:type="dxa" w:w="2550"/>
          </w:tcPr>
          <w:p>
            <w:r>
              <w:t>International Electrotechnical Commission</w:t>
            </w:r>
          </w:p>
        </w:tc>
        <w:tc>
          <w:tcPr>
            <w:tcW w:type="dxa" w:w="4000"/>
          </w:tcPr>
          <w:p>
            <w:r>
              <w:t>Ente delle norme elettrotecniche internazionali (es. IEC 61996 per i VDR)</w:t>
            </w:r>
          </w:p>
        </w:tc>
        <w:tc>
          <w:tcPr>
            <w:tcW w:type="dxa" w:w="1160"/>
          </w:tcPr>
          <w:p>
            <w:r>
              <w:t>IACS Z (2005)</w:t>
            </w:r>
          </w:p>
        </w:tc>
      </w:tr>
      <w:tr>
        <w:trPr>
          <w:cantSplit/>
        </w:trPr>
        <w:tc>
          <w:tcPr>
            <w:tcW w:type="dxa" w:w="1650"/>
          </w:tcPr>
          <w:p>
            <w:r>
              <w:rPr>
                <w:b/>
              </w:rPr>
              <w:t>IGF</w:t>
            </w:r>
          </w:p>
        </w:tc>
        <w:tc>
          <w:tcPr>
            <w:tcW w:type="dxa" w:w="2550"/>
          </w:tcPr>
          <w:p>
            <w:r>
              <w:t>International Code of Safety for Ships using Gases or other Low-flashpoint Fuels</w:t>
            </w:r>
          </w:p>
        </w:tc>
        <w:tc>
          <w:tcPr>
            <w:tcW w:type="dxa" w:w="4000"/>
          </w:tcPr>
          <w:p>
            <w:r>
              <w:t>Codice IMO per le navi che usano gas (es. GNL) o altri combustibili a basso punto di infiammabilità</w:t>
            </w:r>
          </w:p>
        </w:tc>
        <w:tc>
          <w:tcPr>
            <w:tcW w:type="dxa" w:w="1160"/>
          </w:tcPr>
          <w:p>
            <w:r>
              <w:t>UI IGF</w:t>
            </w:r>
          </w:p>
        </w:tc>
      </w:tr>
      <w:tr>
        <w:trPr>
          <w:cantSplit/>
        </w:trPr>
        <w:tc>
          <w:tcPr>
            <w:tcW w:type="dxa" w:w="1650"/>
          </w:tcPr>
          <w:p>
            <w:r>
              <w:rPr>
                <w:b/>
              </w:rPr>
              <w:t>ILO</w:t>
            </w:r>
          </w:p>
        </w:tc>
        <w:tc>
          <w:tcPr>
            <w:tcW w:type="dxa" w:w="2550"/>
          </w:tcPr>
          <w:p>
            <w:r>
              <w:t>International Labour Organization</w:t>
            </w:r>
          </w:p>
        </w:tc>
        <w:tc>
          <w:tcPr>
            <w:tcW w:type="dxa" w:w="4000"/>
          </w:tcPr>
          <w:p>
            <w:r>
              <w:t>Organizzazione ONU del lavoro; la convenzione ILO 152 riguarda sicurezza e mezzi di sollevamento nei porti</w:t>
            </w:r>
          </w:p>
        </w:tc>
        <w:tc>
          <w:tcPr>
            <w:tcW w:type="dxa" w:w="1160"/>
          </w:tcPr>
          <w:p>
            <w:r>
              <w:t>2.1.4.2</w:t>
            </w:r>
          </w:p>
        </w:tc>
      </w:tr>
      <w:tr>
        <w:trPr>
          <w:cantSplit/>
        </w:trPr>
        <w:tc>
          <w:tcPr>
            <w:tcW w:type="dxa" w:w="1650"/>
          </w:tcPr>
          <w:p>
            <w:r>
              <w:rPr>
                <w:b/>
              </w:rPr>
              <w:t>IMDG</w:t>
            </w:r>
          </w:p>
        </w:tc>
        <w:tc>
          <w:tcPr>
            <w:tcW w:type="dxa" w:w="2550"/>
          </w:tcPr>
          <w:p>
            <w:r>
              <w:t>International Maritime Dangerous Goods Code</w:t>
            </w:r>
          </w:p>
        </w:tc>
        <w:tc>
          <w:tcPr>
            <w:tcW w:type="dxa" w:w="4000"/>
          </w:tcPr>
          <w:p>
            <w:r>
              <w:t>Codice IMO delle merci pericolose in colli: classi, etichette, separazione (U.D. 2.1.9)</w:t>
            </w:r>
          </w:p>
        </w:tc>
        <w:tc>
          <w:tcPr>
            <w:tcW w:type="dxa" w:w="1160"/>
          </w:tcPr>
          <w:p>
            <w:r>
              <w:t>2.1.4.2, 2.1.7, 2.2.1</w:t>
            </w:r>
          </w:p>
        </w:tc>
      </w:tr>
      <w:tr>
        <w:trPr>
          <w:cantSplit/>
        </w:trPr>
        <w:tc>
          <w:tcPr>
            <w:tcW w:type="dxa" w:w="1650"/>
          </w:tcPr>
          <w:p>
            <w:r>
              <w:rPr>
                <w:b/>
              </w:rPr>
              <w:t>IMO</w:t>
            </w:r>
          </w:p>
        </w:tc>
        <w:tc>
          <w:tcPr>
            <w:tcW w:type="dxa" w:w="2550"/>
          </w:tcPr>
          <w:p>
            <w:r>
              <w:t>International Maritime Organization</w:t>
            </w:r>
          </w:p>
        </w:tc>
        <w:tc>
          <w:tcPr>
            <w:tcW w:type="dxa" w:w="4000"/>
          </w:tcPr>
          <w:p>
            <w:r>
              <w:t>Agenzia dell'ONU che scrive le convenzioni marittime internazionali</w:t>
            </w:r>
          </w:p>
        </w:tc>
        <w:tc>
          <w:tcPr>
            <w:tcW w:type="dxa" w:w="1160"/>
          </w:tcPr>
          <w:p>
            <w:r>
              <w:t>2.1.4.2, 2.1.7, 2.2.1, Ripasso*, Approf., IACS Z (2005), UI IGF</w:t>
            </w:r>
          </w:p>
        </w:tc>
      </w:tr>
      <w:tr>
        <w:trPr>
          <w:cantSplit/>
        </w:trPr>
        <w:tc>
          <w:tcPr>
            <w:tcW w:type="dxa" w:w="1650"/>
          </w:tcPr>
          <w:p>
            <w:r>
              <w:rPr>
                <w:b/>
              </w:rPr>
              <w:t>IMSBC</w:t>
            </w:r>
          </w:p>
        </w:tc>
        <w:tc>
          <w:tcPr>
            <w:tcW w:type="dxa" w:w="2550"/>
          </w:tcPr>
          <w:p>
            <w:r>
              <w:t>International Maritime Solid Bulk Cargoes Code</w:t>
            </w:r>
          </w:p>
        </w:tc>
        <w:tc>
          <w:tcPr>
            <w:tcW w:type="dxa" w:w="4000"/>
          </w:tcPr>
          <w:p>
            <w:r>
              <w:t>Codice IMO dei carichi solidi alla rinfusa: schede dei carichi, gruppi A, B, C, limiti di umidità (U.D. 2.1.9)</w:t>
            </w:r>
          </w:p>
        </w:tc>
        <w:tc>
          <w:tcPr>
            <w:tcW w:type="dxa" w:w="1160"/>
          </w:tcPr>
          <w:p>
            <w:r>
              <w:t>2.1.4.2, 2.1.7, 2.2.1, Ripasso*</w:t>
            </w:r>
          </w:p>
        </w:tc>
      </w:tr>
      <w:tr>
        <w:trPr>
          <w:cantSplit/>
        </w:trPr>
        <w:tc>
          <w:tcPr>
            <w:tcW w:type="dxa" w:w="1650"/>
          </w:tcPr>
          <w:p>
            <w:r>
              <w:rPr>
                <w:b/>
              </w:rPr>
              <w:t>ISM</w:t>
            </w:r>
          </w:p>
        </w:tc>
        <w:tc>
          <w:tcPr>
            <w:tcW w:type="dxa" w:w="2550"/>
          </w:tcPr>
          <w:p>
            <w:r>
              <w:t>International Safety Management Code</w:t>
            </w:r>
          </w:p>
        </w:tc>
        <w:tc>
          <w:tcPr>
            <w:tcW w:type="dxa" w:w="4000"/>
          </w:tcPr>
          <w:p>
            <w:r>
              <w:t>Sistema di gestione della sicurezza di nave e Compagnia; il par. 5.2 fissa l'autorità del Comandante</w:t>
            </w:r>
          </w:p>
        </w:tc>
        <w:tc>
          <w:tcPr>
            <w:tcW w:type="dxa" w:w="1160"/>
          </w:tcPr>
          <w:p>
            <w:r>
              <w:t>2.1.4.2, 2.1.7, 2.2.1, Approf., IACS Z (2005), Rec. 74</w:t>
            </w:r>
          </w:p>
        </w:tc>
      </w:tr>
      <w:tr>
        <w:trPr>
          <w:cantSplit/>
        </w:trPr>
        <w:tc>
          <w:tcPr>
            <w:tcW w:type="dxa" w:w="1650"/>
          </w:tcPr>
          <w:p>
            <w:r>
              <w:rPr>
                <w:b/>
              </w:rPr>
              <w:t>ISO</w:t>
            </w:r>
          </w:p>
        </w:tc>
        <w:tc>
          <w:tcPr>
            <w:tcW w:type="dxa" w:w="2550"/>
          </w:tcPr>
          <w:p>
            <w:r>
              <w:t>International Organization for Standardization</w:t>
            </w:r>
          </w:p>
        </w:tc>
        <w:tc>
          <w:tcPr>
            <w:tcW w:type="dxa" w:w="4000"/>
          </w:tcPr>
          <w:p>
            <w:r>
              <w:t>Ente che pubblica norme tecniche internazionali; qui ISO 1161 (angolari dei container), ISO 4309 (scarto delle funi), ISO 9606 (qualifica dei saldatori)</w:t>
            </w:r>
          </w:p>
        </w:tc>
        <w:tc>
          <w:tcPr>
            <w:tcW w:type="dxa" w:w="1160"/>
          </w:tcPr>
          <w:p>
            <w:r>
              <w:t>2.1.4.2, IACS Z (2005), Rec. 47</w:t>
            </w:r>
          </w:p>
        </w:tc>
      </w:tr>
      <w:tr>
        <w:trPr>
          <w:cantSplit/>
        </w:trPr>
        <w:tc>
          <w:tcPr>
            <w:tcW w:type="dxa" w:w="1650"/>
          </w:tcPr>
          <w:p>
            <w:r>
              <w:rPr>
                <w:b/>
              </w:rPr>
              <w:t>ITC (69)</w:t>
            </w:r>
          </w:p>
        </w:tc>
        <w:tc>
          <w:tcPr>
            <w:tcW w:type="dxa" w:w="2550"/>
          </w:tcPr>
          <w:p>
            <w:r>
              <w:t>International Convention on Tonnage Measurement of Ships, 1969</w:t>
            </w:r>
          </w:p>
        </w:tc>
        <w:tc>
          <w:tcPr>
            <w:tcW w:type="dxa" w:w="4000"/>
          </w:tcPr>
          <w:p>
            <w:r>
              <w:t>Convenzione sulla stazza delle navi: definisce stazza lorda e netta</w:t>
            </w:r>
          </w:p>
        </w:tc>
        <w:tc>
          <w:tcPr>
            <w:tcW w:type="dxa" w:w="1160"/>
          </w:tcPr>
          <w:p>
            <w:r>
              <w:t>IACS Z (2005)</w:t>
            </w:r>
          </w:p>
        </w:tc>
      </w:tr>
      <w:tr>
        <w:trPr>
          <w:cantSplit/>
        </w:trPr>
        <w:tc>
          <w:tcPr>
            <w:tcW w:type="dxa" w:w="1650"/>
          </w:tcPr>
          <w:p>
            <w:r>
              <w:rPr>
                <w:b/>
              </w:rPr>
              <w:t>LC</w:t>
            </w:r>
          </w:p>
        </w:tc>
        <w:tc>
          <w:tcPr>
            <w:tcW w:type="dxa" w:w="2550"/>
          </w:tcPr>
          <w:p>
            <w:r>
              <w:t>Linea di carico</w:t>
            </w:r>
          </w:p>
        </w:tc>
        <w:tc>
          <w:tcPr>
            <w:tcW w:type="dxa" w:w="4000"/>
          </w:tcPr>
          <w:p>
            <w:r>
              <w:t>La linea di galleggiamento della nave</w:t>
            </w:r>
          </w:p>
        </w:tc>
        <w:tc>
          <w:tcPr>
            <w:tcW w:type="dxa" w:w="1160"/>
          </w:tcPr>
          <w:p>
            <w:r>
              <w:t>2.1.4.2, Approf.</w:t>
            </w:r>
          </w:p>
        </w:tc>
      </w:tr>
      <w:tr>
        <w:trPr>
          <w:cantSplit/>
        </w:trPr>
        <w:tc>
          <w:tcPr>
            <w:tcW w:type="dxa" w:w="1650"/>
          </w:tcPr>
          <w:p>
            <w:r>
              <w:rPr>
                <w:b/>
              </w:rPr>
              <w:t>Lpp</w:t>
            </w:r>
          </w:p>
        </w:tc>
        <w:tc>
          <w:tcPr>
            <w:tcW w:type="dxa" w:w="2550"/>
          </w:tcPr>
          <w:p>
            <w:r>
              <w:t>Lunghezza tra le perpendicolari</w:t>
            </w:r>
          </w:p>
        </w:tc>
        <w:tc>
          <w:tcPr>
            <w:tcW w:type="dxa" w:w="4000"/>
          </w:tcPr>
          <w:p>
            <w:r>
              <w:t>Distanza tra la perpendicolare avanti e quella addietro</w:t>
            </w:r>
          </w:p>
        </w:tc>
        <w:tc>
          <w:tcPr>
            <w:tcW w:type="dxa" w:w="1160"/>
          </w:tcPr>
          <w:p>
            <w:r>
              <w:t>Approf.</w:t>
            </w:r>
          </w:p>
        </w:tc>
      </w:tr>
      <w:tr>
        <w:trPr>
          <w:cantSplit/>
        </w:trPr>
        <w:tc>
          <w:tcPr>
            <w:tcW w:type="dxa" w:w="1650"/>
          </w:tcPr>
          <w:p>
            <w:r>
              <w:rPr>
                <w:b/>
              </w:rPr>
              <w:t>MAIB</w:t>
            </w:r>
          </w:p>
        </w:tc>
        <w:tc>
          <w:tcPr>
            <w:tcW w:type="dxa" w:w="2550"/>
          </w:tcPr>
          <w:p>
            <w:r>
              <w:t>Marine Accident Investigation Branch</w:t>
            </w:r>
          </w:p>
        </w:tc>
        <w:tc>
          <w:tcPr>
            <w:tcW w:type="dxa" w:w="4000"/>
          </w:tcPr>
          <w:p>
            <w:r>
              <w:t>Ente britannico che indaga sui sinistri marittimi; i suoi rapporti sono usati come casi di studio</w:t>
            </w:r>
          </w:p>
        </w:tc>
        <w:tc>
          <w:tcPr>
            <w:tcW w:type="dxa" w:w="1160"/>
          </w:tcPr>
          <w:p>
            <w:r>
              <w:t>2.1.4.2, 2.1.7</w:t>
            </w:r>
          </w:p>
        </w:tc>
      </w:tr>
      <w:tr>
        <w:trPr>
          <w:cantSplit/>
        </w:trPr>
        <w:tc>
          <w:tcPr>
            <w:tcW w:type="dxa" w:w="1650"/>
          </w:tcPr>
          <w:p>
            <w:r>
              <w:rPr>
                <w:b/>
              </w:rPr>
              <w:t>MARPOL</w:t>
            </w:r>
          </w:p>
        </w:tc>
        <w:tc>
          <w:tcPr>
            <w:tcW w:type="dxa" w:w="2550"/>
          </w:tcPr>
          <w:p>
            <w:r>
              <w:t>International Convention for the Prevention of Pollution from Ships</w:t>
            </w:r>
          </w:p>
        </w:tc>
        <w:tc>
          <w:tcPr>
            <w:tcW w:type="dxa" w:w="4000"/>
          </w:tcPr>
          <w:p>
            <w:r>
              <w:t>Convenzione IMO contro l'inquinamento dalle navi</w:t>
            </w:r>
          </w:p>
        </w:tc>
        <w:tc>
          <w:tcPr>
            <w:tcW w:type="dxa" w:w="1160"/>
          </w:tcPr>
          <w:p>
            <w:r>
              <w:t>IACS Z (2005), Rec. 74</w:t>
            </w:r>
          </w:p>
        </w:tc>
      </w:tr>
      <w:tr>
        <w:trPr>
          <w:cantSplit/>
        </w:trPr>
        <w:tc>
          <w:tcPr>
            <w:tcW w:type="dxa" w:w="1650"/>
          </w:tcPr>
          <w:p>
            <w:r>
              <w:rPr>
                <w:b/>
              </w:rPr>
              <w:t>MARVS</w:t>
            </w:r>
          </w:p>
        </w:tc>
        <w:tc>
          <w:tcPr>
            <w:tcW w:type="dxa" w:w="2550"/>
          </w:tcPr>
          <w:p>
            <w:r>
              <w:t>Maximum Allowable Relief Valve Setting</w:t>
            </w:r>
          </w:p>
        </w:tc>
        <w:tc>
          <w:tcPr>
            <w:tcW w:type="dxa" w:w="4000"/>
          </w:tcPr>
          <w:p>
            <w:r>
              <w:t>Pressione massima di taratura delle valvole di sicurezza di una cisterna di gas liquefatto</w:t>
            </w:r>
          </w:p>
        </w:tc>
        <w:tc>
          <w:tcPr>
            <w:tcW w:type="dxa" w:w="1160"/>
          </w:tcPr>
          <w:p>
            <w:r>
              <w:t>IACS Z (2005)</w:t>
            </w:r>
          </w:p>
        </w:tc>
      </w:tr>
      <w:tr>
        <w:trPr>
          <w:cantSplit/>
        </w:trPr>
        <w:tc>
          <w:tcPr>
            <w:tcW w:type="dxa" w:w="1650"/>
          </w:tcPr>
          <w:p>
            <w:r>
              <w:rPr>
                <w:b/>
              </w:rPr>
              <w:t>MBL</w:t>
            </w:r>
          </w:p>
        </w:tc>
        <w:tc>
          <w:tcPr>
            <w:tcW w:type="dxa" w:w="2550"/>
          </w:tcPr>
          <w:p>
            <w:r>
              <w:t>Minimum Breaking Load</w:t>
            </w:r>
          </w:p>
        </w:tc>
        <w:tc>
          <w:tcPr>
            <w:tcW w:type="dxa" w:w="4000"/>
          </w:tcPr>
          <w:p>
            <w:r>
              <w:t>Carico di rottura minimo garantito di una fune o di un accessorio</w:t>
            </w:r>
          </w:p>
        </w:tc>
        <w:tc>
          <w:tcPr>
            <w:tcW w:type="dxa" w:w="1160"/>
          </w:tcPr>
          <w:p>
            <w:r>
              <w:t>2.1.4.2</w:t>
            </w:r>
          </w:p>
        </w:tc>
      </w:tr>
      <w:tr>
        <w:trPr>
          <w:cantSplit/>
        </w:trPr>
        <w:tc>
          <w:tcPr>
            <w:tcW w:type="dxa" w:w="1650"/>
          </w:tcPr>
          <w:p>
            <w:r>
              <w:rPr>
                <w:b/>
              </w:rPr>
              <w:t>MF/HF</w:t>
            </w:r>
          </w:p>
        </w:tc>
        <w:tc>
          <w:tcPr>
            <w:tcW w:type="dxa" w:w="2550"/>
          </w:tcPr>
          <w:p>
            <w:r>
              <w:t>Medium Frequency / High Frequency</w:t>
            </w:r>
          </w:p>
        </w:tc>
        <w:tc>
          <w:tcPr>
            <w:tcW w:type="dxa" w:w="4000"/>
          </w:tcPr>
          <w:p>
            <w:r>
              <w:t>Bande radio a onde medie e corte del GMDSS</w:t>
            </w:r>
          </w:p>
        </w:tc>
        <w:tc>
          <w:tcPr>
            <w:tcW w:type="dxa" w:w="1160"/>
          </w:tcPr>
          <w:p>
            <w:r>
              <w:t>IACS Z (2005)</w:t>
            </w:r>
          </w:p>
        </w:tc>
      </w:tr>
      <w:tr>
        <w:trPr>
          <w:cantSplit/>
        </w:trPr>
        <w:tc>
          <w:tcPr>
            <w:tcW w:type="dxa" w:w="1650"/>
          </w:tcPr>
          <w:p>
            <w:r>
              <w:rPr>
                <w:b/>
              </w:rPr>
              <w:t>MIT</w:t>
            </w:r>
          </w:p>
        </w:tc>
        <w:tc>
          <w:tcPr>
            <w:tcW w:type="dxa" w:w="2550"/>
          </w:tcPr>
          <w:p>
            <w:r>
              <w:t>Ministero delle Infrastrutture e dei Trasporti</w:t>
            </w:r>
          </w:p>
        </w:tc>
        <w:tc>
          <w:tcPr>
            <w:tcW w:type="dxa" w:w="4000"/>
          </w:tcPr>
          <w:p>
            <w:r>
              <w:t>Il Ministero che emana i decreti su programmi ed esami (D.D.)</w:t>
            </w:r>
          </w:p>
        </w:tc>
        <w:tc>
          <w:tcPr>
            <w:tcW w:type="dxa" w:w="1160"/>
          </w:tcPr>
          <w:p>
            <w:r>
              <w:t>2.1.7</w:t>
            </w:r>
          </w:p>
        </w:tc>
      </w:tr>
      <w:tr>
        <w:trPr>
          <w:cantSplit/>
        </w:trPr>
        <w:tc>
          <w:tcPr>
            <w:tcW w:type="dxa" w:w="1650"/>
          </w:tcPr>
          <w:p>
            <w:r>
              <w:rPr>
                <w:b/>
              </w:rPr>
              <w:t>MP / no MP</w:t>
            </w:r>
          </w:p>
        </w:tc>
        <w:tc>
          <w:tcPr>
            <w:tcW w:type="dxa" w:w="2550"/>
          </w:tcPr>
          <w:p>
            <w:r>
              <w:t>Multi-Port / No Multi-Port</w:t>
            </w:r>
          </w:p>
        </w:tc>
        <w:tc>
          <w:tcPr>
            <w:tcW w:type="dxa" w:w="4000"/>
          </w:tcPr>
          <w:p>
            <w:r>
              <w:t>Notazione di classe: la nave è (MP) o non è (no MP) progettata per caricare o scaricare in più porti</w:t>
            </w:r>
          </w:p>
        </w:tc>
        <w:tc>
          <w:tcPr>
            <w:tcW w:type="dxa" w:w="1160"/>
          </w:tcPr>
          <w:p>
            <w:r>
              <w:t>2.2.1</w:t>
            </w:r>
          </w:p>
        </w:tc>
      </w:tr>
      <w:tr>
        <w:trPr>
          <w:cantSplit/>
        </w:trPr>
        <w:tc>
          <w:tcPr>
            <w:tcW w:type="dxa" w:w="1650"/>
          </w:tcPr>
          <w:p>
            <w:r>
              <w:rPr>
                <w:b/>
              </w:rPr>
              <w:t>MPI</w:t>
            </w:r>
          </w:p>
        </w:tc>
        <w:tc>
          <w:tcPr>
            <w:tcW w:type="dxa" w:w="2550"/>
          </w:tcPr>
          <w:p>
            <w:r>
              <w:t>Magnetic Particle Inspection</w:t>
            </w:r>
          </w:p>
        </w:tc>
        <w:tc>
          <w:tcPr>
            <w:tcW w:type="dxa" w:w="4000"/>
          </w:tcPr>
          <w:p>
            <w:r>
              <w:t>Controllo magnetoscopico: rivela cricche superficiali nelle saldature</w:t>
            </w:r>
          </w:p>
        </w:tc>
        <w:tc>
          <w:tcPr>
            <w:tcW w:type="dxa" w:w="1160"/>
          </w:tcPr>
          <w:p>
            <w:r>
              <w:t>Rec. 47</w:t>
            </w:r>
          </w:p>
        </w:tc>
      </w:tr>
      <w:tr>
        <w:trPr>
          <w:cantSplit/>
        </w:trPr>
        <w:tc>
          <w:tcPr>
            <w:tcW w:type="dxa" w:w="1650"/>
          </w:tcPr>
          <w:p>
            <w:r>
              <w:rPr>
                <w:b/>
              </w:rPr>
              <w:t>MSC</w:t>
            </w:r>
          </w:p>
        </w:tc>
        <w:tc>
          <w:tcPr>
            <w:tcW w:type="dxa" w:w="2550"/>
          </w:tcPr>
          <w:p>
            <w:r>
              <w:t>Maritime Safety Committee</w:t>
            </w:r>
          </w:p>
        </w:tc>
        <w:tc>
          <w:tcPr>
            <w:tcW w:type="dxa" w:w="4000"/>
          </w:tcPr>
          <w:p>
            <w:r>
              <w:t>Comitato IMO per la sicurezza marittima: approva gli emendamenti a SOLAS e ai codici</w:t>
            </w:r>
          </w:p>
        </w:tc>
        <w:tc>
          <w:tcPr>
            <w:tcW w:type="dxa" w:w="1160"/>
          </w:tcPr>
          <w:p>
            <w:r>
              <w:t>2.1.4.2, 2.1.7, Ripasso*, Approf., IACS Z (2005), UI IGF</w:t>
            </w:r>
          </w:p>
        </w:tc>
      </w:tr>
      <w:tr>
        <w:trPr>
          <w:cantSplit/>
        </w:trPr>
        <w:tc>
          <w:tcPr>
            <w:tcW w:type="dxa" w:w="1650"/>
          </w:tcPr>
          <w:p>
            <w:r>
              <w:rPr>
                <w:b/>
              </w:rPr>
              <w:t>MSL</w:t>
            </w:r>
          </w:p>
        </w:tc>
        <w:tc>
          <w:tcPr>
            <w:tcW w:type="dxa" w:w="2550"/>
          </w:tcPr>
          <w:p>
            <w:r>
              <w:t>Maximum Securing Load</w:t>
            </w:r>
          </w:p>
        </w:tc>
        <w:tc>
          <w:tcPr>
            <w:tcW w:type="dxa" w:w="4000"/>
          </w:tcPr>
          <w:p>
            <w:r>
              <w:t>Carico massimo ammesso per un dispositivo di rizzaggio (catena, cinghia, tenditore), indicato nel CSM</w:t>
            </w:r>
          </w:p>
        </w:tc>
        <w:tc>
          <w:tcPr>
            <w:tcW w:type="dxa" w:w="1160"/>
          </w:tcPr>
          <w:p>
            <w:r>
              <w:t>2.1.4.2</w:t>
            </w:r>
          </w:p>
        </w:tc>
      </w:tr>
      <w:tr>
        <w:trPr>
          <w:cantSplit/>
        </w:trPr>
        <w:tc>
          <w:tcPr>
            <w:tcW w:type="dxa" w:w="1650"/>
          </w:tcPr>
          <w:p>
            <w:r>
              <w:rPr>
                <w:b/>
              </w:rPr>
              <w:t>Mw</w:t>
            </w:r>
          </w:p>
        </w:tc>
        <w:tc>
          <w:tcPr>
            <w:tcW w:type="dxa" w:w="2550"/>
          </w:tcPr>
          <w:p>
            <w:r>
              <w:t>Wave bending moment (momento d'onda)</w:t>
            </w:r>
          </w:p>
        </w:tc>
        <w:tc>
          <w:tcPr>
            <w:tcW w:type="dxa" w:w="4000"/>
          </w:tcPr>
          <w:p>
            <w:r>
              <w:t>Parte del momento flettente dovuta all'onda di progetto; è già considerata nei limiti di navigazione</w:t>
            </w:r>
          </w:p>
        </w:tc>
        <w:tc>
          <w:tcPr>
            <w:tcW w:type="dxa" w:w="1160"/>
          </w:tcPr>
          <w:p>
            <w:r>
              <w:t>2.2.1</w:t>
            </w:r>
          </w:p>
        </w:tc>
      </w:tr>
      <w:tr>
        <w:trPr>
          <w:cantSplit/>
        </w:trPr>
        <w:tc>
          <w:tcPr>
            <w:tcW w:type="dxa" w:w="1650"/>
          </w:tcPr>
          <w:p>
            <w:r>
              <w:rPr>
                <w:b/>
              </w:rPr>
              <w:t>N. 1 … N. 4</w:t>
            </w:r>
          </w:p>
        </w:tc>
        <w:tc>
          <w:tcPr>
            <w:tcW w:type="dxa" w:w="2550"/>
          </w:tcPr>
          <w:p>
            <w:r>
              <w:t>Numero della visita di rinnovo ESP</w:t>
            </w:r>
          </w:p>
        </w:tc>
        <w:tc>
          <w:tcPr>
            <w:tcW w:type="dxa" w:w="4000"/>
          </w:tcPr>
          <w:p>
            <w:r>
              <w:t>N. 1 fino a 5 anni di età, N. 2 da 5 a 10, N. 3 da 10 a 15, N. 4 e seguenti oltre 15</w:t>
            </w:r>
          </w:p>
        </w:tc>
        <w:tc>
          <w:tcPr>
            <w:tcW w:type="dxa" w:w="1160"/>
          </w:tcPr>
          <w:p>
            <w:r>
              <w:t>Approf.</w:t>
            </w:r>
          </w:p>
        </w:tc>
      </w:tr>
      <w:tr>
        <w:trPr>
          <w:cantSplit/>
        </w:trPr>
        <w:tc>
          <w:tcPr>
            <w:tcW w:type="dxa" w:w="1650"/>
          </w:tcPr>
          <w:p>
            <w:r>
              <w:rPr>
                <w:b/>
              </w:rPr>
              <w:t>NDE / NDT</w:t>
            </w:r>
          </w:p>
        </w:tc>
        <w:tc>
          <w:tcPr>
            <w:tcW w:type="dxa" w:w="2550"/>
          </w:tcPr>
          <w:p>
            <w:r>
              <w:t>Non-Destructive Examination / Testing</w:t>
            </w:r>
          </w:p>
        </w:tc>
        <w:tc>
          <w:tcPr>
            <w:tcW w:type="dxa" w:w="4000"/>
          </w:tcPr>
          <w:p>
            <w:r>
              <w:t>Controlli non distruttivi (ultrasuoni, magnetoscopia, liquidi penetranti, radiografia)</w:t>
            </w:r>
          </w:p>
        </w:tc>
        <w:tc>
          <w:tcPr>
            <w:tcW w:type="dxa" w:w="1160"/>
          </w:tcPr>
          <w:p>
            <w:r>
              <w:t>IACS Z (2005), Rec. 47</w:t>
            </w:r>
          </w:p>
        </w:tc>
      </w:tr>
      <w:tr>
        <w:trPr>
          <w:cantSplit/>
        </w:trPr>
        <w:tc>
          <w:tcPr>
            <w:tcW w:type="dxa" w:w="1650"/>
          </w:tcPr>
          <w:p>
            <w:r>
              <w:rPr>
                <w:b/>
              </w:rPr>
              <w:t>NP</w:t>
            </w:r>
          </w:p>
        </w:tc>
        <w:tc>
          <w:tcPr>
            <w:tcW w:type="dxa" w:w="2550"/>
          </w:tcPr>
          <w:p>
            <w:r>
              <w:t>No Protection</w:t>
            </w:r>
          </w:p>
        </w:tc>
        <w:tc>
          <w:tcPr>
            <w:tcW w:type="dxa" w:w="4000"/>
          </w:tcPr>
          <w:p>
            <w:r>
              <w:t>Nei moduli dei rapporti: spazio senza protezione (C = rivestimento, A = anodi)</w:t>
            </w:r>
          </w:p>
        </w:tc>
        <w:tc>
          <w:tcPr>
            <w:tcW w:type="dxa" w:w="1160"/>
          </w:tcPr>
          <w:p>
            <w:r>
              <w:t>IACS Z (2005)</w:t>
            </w:r>
          </w:p>
        </w:tc>
      </w:tr>
      <w:tr>
        <w:trPr>
          <w:cantSplit/>
        </w:trPr>
        <w:tc>
          <w:tcPr>
            <w:tcW w:type="dxa" w:w="1650"/>
          </w:tcPr>
          <w:p>
            <w:r>
              <w:rPr>
                <w:b/>
              </w:rPr>
              <w:t>OBO</w:t>
            </w:r>
          </w:p>
        </w:tc>
        <w:tc>
          <w:tcPr>
            <w:tcW w:type="dxa" w:w="2550"/>
          </w:tcPr>
          <w:p>
            <w:r>
              <w:t>Ore / Bulk / Oil</w:t>
            </w:r>
          </w:p>
        </w:tc>
        <w:tc>
          <w:tcPr>
            <w:tcW w:type="dxa" w:w="4000"/>
          </w:tcPr>
          <w:p>
            <w:r>
              <w:t>Nave combinata che può portare minerale, rinfuse secche o petrolio</w:t>
            </w:r>
          </w:p>
        </w:tc>
        <w:tc>
          <w:tcPr>
            <w:tcW w:type="dxa" w:w="1160"/>
          </w:tcPr>
          <w:p>
            <w:r>
              <w:t>2.1.7, IACS Z (2005)</w:t>
            </w:r>
          </w:p>
        </w:tc>
      </w:tr>
      <w:tr>
        <w:trPr>
          <w:cantSplit/>
        </w:trPr>
        <w:tc>
          <w:tcPr>
            <w:tcW w:type="dxa" w:w="1650"/>
          </w:tcPr>
          <w:p>
            <w:r>
              <w:rPr>
                <w:b/>
              </w:rPr>
              <w:t>ONU</w:t>
            </w:r>
          </w:p>
        </w:tc>
        <w:tc>
          <w:tcPr>
            <w:tcW w:type="dxa" w:w="2550"/>
          </w:tcPr>
          <w:p>
            <w:r>
              <w:t>Organizzazione delle Nazioni Unite</w:t>
            </w:r>
          </w:p>
        </w:tc>
        <w:tc>
          <w:tcPr>
            <w:tcW w:type="dxa" w:w="4000"/>
          </w:tcPr>
          <w:p>
            <w:r>
              <w:t>IMO e ILO sono agenzie specializzate dell'ONU</w:t>
            </w:r>
          </w:p>
        </w:tc>
        <w:tc>
          <w:tcPr>
            <w:tcW w:type="dxa" w:w="1160"/>
          </w:tcPr>
          <w:p>
            <w:r>
              <w:t>2.1.4.2, 2.1.7, 2.2.1, Approf.</w:t>
            </w:r>
          </w:p>
        </w:tc>
      </w:tr>
      <w:tr>
        <w:trPr>
          <w:cantSplit/>
        </w:trPr>
        <w:tc>
          <w:tcPr>
            <w:tcW w:type="dxa" w:w="1650"/>
          </w:tcPr>
          <w:p>
            <w:r>
              <w:rPr>
                <w:b/>
              </w:rPr>
              <w:t>OT</w:t>
            </w:r>
          </w:p>
        </w:tc>
        <w:tc>
          <w:tcPr>
            <w:tcW w:type="dxa" w:w="2550"/>
          </w:tcPr>
          <w:p>
            <w:r>
              <w:t>Oil Tanker</w:t>
            </w:r>
          </w:p>
        </w:tc>
        <w:tc>
          <w:tcPr>
            <w:tcW w:type="dxa" w:w="4000"/>
          </w:tcPr>
          <w:p>
            <w:r>
              <w:t>Petroliera</w:t>
            </w:r>
          </w:p>
        </w:tc>
        <w:tc>
          <w:tcPr>
            <w:tcW w:type="dxa" w:w="1160"/>
          </w:tcPr>
          <w:p>
            <w:r>
              <w:t>2.1.7, Approf.</w:t>
            </w:r>
          </w:p>
        </w:tc>
      </w:tr>
      <w:tr>
        <w:trPr>
          <w:cantSplit/>
        </w:trPr>
        <w:tc>
          <w:tcPr>
            <w:tcW w:type="dxa" w:w="1650"/>
          </w:tcPr>
          <w:p>
            <w:r>
              <w:rPr>
                <w:b/>
              </w:rPr>
              <w:t>PD</w:t>
            </w:r>
          </w:p>
        </w:tc>
        <w:tc>
          <w:tcPr>
            <w:tcW w:type="dxa" w:w="2550"/>
          </w:tcPr>
          <w:p>
            <w:r>
              <w:t>Piano diametrale</w:t>
            </w:r>
          </w:p>
        </w:tc>
        <w:tc>
          <w:tcPr>
            <w:tcW w:type="dxa" w:w="4000"/>
          </w:tcPr>
          <w:p>
            <w:r>
              <w:t>Il piano verticale di simmetria della nave, da prora a poppa</w:t>
            </w:r>
          </w:p>
        </w:tc>
        <w:tc>
          <w:tcPr>
            <w:tcW w:type="dxa" w:w="1160"/>
          </w:tcPr>
          <w:p>
            <w:r>
              <w:t>Approf.</w:t>
            </w:r>
          </w:p>
        </w:tc>
      </w:tr>
      <w:tr>
        <w:trPr>
          <w:cantSplit/>
        </w:trPr>
        <w:tc>
          <w:tcPr>
            <w:tcW w:type="dxa" w:w="1650"/>
          </w:tcPr>
          <w:p>
            <w:r>
              <w:rPr>
                <w:b/>
              </w:rPr>
              <w:t>PMS</w:t>
            </w:r>
          </w:p>
        </w:tc>
        <w:tc>
          <w:tcPr>
            <w:tcW w:type="dxa" w:w="2550"/>
          </w:tcPr>
          <w:p>
            <w:r>
              <w:t>Planned Maintenance System / Scheme</w:t>
            </w:r>
          </w:p>
        </w:tc>
        <w:tc>
          <w:tcPr>
            <w:tcW w:type="dxa" w:w="4000"/>
          </w:tcPr>
          <w:p>
            <w:r>
              <w:t>Manutenzione pianificata: scadenze, schede di lavoro, registrazioni. Per la classe (UR Z20) può sostituire la visita continua della macchina</w:t>
            </w:r>
          </w:p>
        </w:tc>
        <w:tc>
          <w:tcPr>
            <w:tcW w:type="dxa" w:w="1160"/>
          </w:tcPr>
          <w:p>
            <w:r>
              <w:t>2.1.4.2, IACS Z (2005)</w:t>
            </w:r>
          </w:p>
        </w:tc>
      </w:tr>
      <w:tr>
        <w:trPr>
          <w:cantSplit/>
        </w:trPr>
        <w:tc>
          <w:tcPr>
            <w:tcW w:type="dxa" w:w="1650"/>
          </w:tcPr>
          <w:p>
            <w:r>
              <w:rPr>
                <w:b/>
              </w:rPr>
              <w:t>PP</w:t>
            </w:r>
          </w:p>
        </w:tc>
        <w:tc>
          <w:tcPr>
            <w:tcW w:type="dxa" w:w="2550"/>
          </w:tcPr>
          <w:p>
            <w:r>
              <w:t>Perpendicolare</w:t>
            </w:r>
          </w:p>
        </w:tc>
        <w:tc>
          <w:tcPr>
            <w:tcW w:type="dxa" w:w="4000"/>
          </w:tcPr>
          <w:p>
            <w:r>
              <w:t>Verticale di riferimento a prora (PP AV) o a poppa (PP AD)</w:t>
            </w:r>
          </w:p>
        </w:tc>
        <w:tc>
          <w:tcPr>
            <w:tcW w:type="dxa" w:w="1160"/>
          </w:tcPr>
          <w:p>
            <w:r>
              <w:t>Approf.</w:t>
            </w:r>
          </w:p>
        </w:tc>
      </w:tr>
      <w:tr>
        <w:trPr>
          <w:cantSplit/>
        </w:trPr>
        <w:tc>
          <w:tcPr>
            <w:tcW w:type="dxa" w:w="1650"/>
          </w:tcPr>
          <w:p>
            <w:r>
              <w:rPr>
                <w:b/>
              </w:rPr>
              <w:t>PR</w:t>
            </w:r>
          </w:p>
        </w:tc>
        <w:tc>
          <w:tcPr>
            <w:tcW w:type="dxa" w:w="2550"/>
          </w:tcPr>
          <w:p>
            <w:r>
              <w:t>Procedural Requirement (IACS)</w:t>
            </w:r>
          </w:p>
        </w:tc>
        <w:tc>
          <w:tcPr>
            <w:tcW w:type="dxa" w:w="4000"/>
          </w:tcPr>
          <w:p>
            <w:r>
              <w:t>Requisito procedurale IACS, per il modo di lavorare delle società (es. PR 29, PR 37)</w:t>
            </w:r>
          </w:p>
        </w:tc>
        <w:tc>
          <w:tcPr>
            <w:tcW w:type="dxa" w:w="1160"/>
          </w:tcPr>
          <w:p>
            <w:r>
              <w:t>UI IGF</w:t>
            </w:r>
          </w:p>
        </w:tc>
      </w:tr>
      <w:tr>
        <w:trPr>
          <w:cantSplit/>
        </w:trPr>
        <w:tc>
          <w:tcPr>
            <w:tcW w:type="dxa" w:w="1650"/>
          </w:tcPr>
          <w:p>
            <w:r>
              <w:rPr>
                <w:b/>
              </w:rPr>
              <w:t>PSC</w:t>
            </w:r>
          </w:p>
        </w:tc>
        <w:tc>
          <w:tcPr>
            <w:tcW w:type="dxa" w:w="2550"/>
          </w:tcPr>
          <w:p>
            <w:r>
              <w:t>Port State Control</w:t>
            </w:r>
          </w:p>
        </w:tc>
        <w:tc>
          <w:tcPr>
            <w:tcW w:type="dxa" w:w="4000"/>
          </w:tcPr>
          <w:p>
            <w:r>
              <w:t>Ispezione di una nave straniera da parte delle autorità del porto in cui si trova</w:t>
            </w:r>
          </w:p>
        </w:tc>
        <w:tc>
          <w:tcPr>
            <w:tcW w:type="dxa" w:w="1160"/>
          </w:tcPr>
          <w:p>
            <w:r>
              <w:t>Approf.</w:t>
            </w:r>
          </w:p>
        </w:tc>
      </w:tr>
      <w:tr>
        <w:trPr>
          <w:cantSplit/>
        </w:trPr>
        <w:tc>
          <w:tcPr>
            <w:tcW w:type="dxa" w:w="1650"/>
          </w:tcPr>
          <w:p>
            <w:r>
              <w:rPr>
                <w:b/>
              </w:rPr>
              <w:t>Pt / Ch / Sec</w:t>
            </w:r>
          </w:p>
        </w:tc>
        <w:tc>
          <w:tcPr>
            <w:tcW w:type="dxa" w:w="2550"/>
          </w:tcPr>
          <w:p>
            <w:r>
              <w:t>Part / Chapter / Section</w:t>
            </w:r>
          </w:p>
        </w:tc>
        <w:tc>
          <w:tcPr>
            <w:tcW w:type="dxa" w:w="4000"/>
          </w:tcPr>
          <w:p>
            <w:r>
              <w:t>Parte, capitolo e sezione delle CSR (es. Pt 1 Ch 13)</w:t>
            </w:r>
          </w:p>
        </w:tc>
        <w:tc>
          <w:tcPr>
            <w:tcW w:type="dxa" w:w="1160"/>
          </w:tcPr>
          <w:p>
            <w:r>
              <w:t>2.2.1, Approf.</w:t>
            </w:r>
          </w:p>
        </w:tc>
      </w:tr>
      <w:tr>
        <w:trPr>
          <w:cantSplit/>
        </w:trPr>
        <w:tc>
          <w:tcPr>
            <w:tcW w:type="dxa" w:w="1650"/>
          </w:tcPr>
          <w:p>
            <w:r>
              <w:rPr>
                <w:b/>
              </w:rPr>
              <w:t>PTW</w:t>
            </w:r>
          </w:p>
        </w:tc>
        <w:tc>
          <w:tcPr>
            <w:tcW w:type="dxa" w:w="2550"/>
          </w:tcPr>
          <w:p>
            <w:r>
              <w:t>Permit To Work</w:t>
            </w:r>
          </w:p>
        </w:tc>
        <w:tc>
          <w:tcPr>
            <w:tcW w:type="dxa" w:w="4000"/>
          </w:tcPr>
          <w:p>
            <w:r>
              <w:t>Permesso di lavoro scritto per attività a rischio, rilasciato prima di iniziare</w:t>
            </w:r>
          </w:p>
        </w:tc>
        <w:tc>
          <w:tcPr>
            <w:tcW w:type="dxa" w:w="1160"/>
          </w:tcPr>
          <w:p>
            <w:r>
              <w:t>2.1.4.2</w:t>
            </w:r>
          </w:p>
        </w:tc>
      </w:tr>
      <w:tr>
        <w:trPr>
          <w:cantSplit/>
        </w:trPr>
        <w:tc>
          <w:tcPr>
            <w:tcW w:type="dxa" w:w="1650"/>
          </w:tcPr>
          <w:p>
            <w:r>
              <w:rPr>
                <w:b/>
              </w:rPr>
              <w:t>Rec.</w:t>
            </w:r>
          </w:p>
        </w:tc>
        <w:tc>
          <w:tcPr>
            <w:tcW w:type="dxa" w:w="2550"/>
          </w:tcPr>
          <w:p>
            <w:r>
              <w:t>Recommendation (IACS)</w:t>
            </w:r>
          </w:p>
        </w:tc>
        <w:tc>
          <w:tcPr>
            <w:tcW w:type="dxa" w:w="4000"/>
          </w:tcPr>
          <w:p>
            <w:r>
              <w:t>Raccomandazione IACS, non obbligatoria; la n. 46 riguarda carico e scarico delle portarinfuse</w:t>
            </w:r>
          </w:p>
        </w:tc>
        <w:tc>
          <w:tcPr>
            <w:tcW w:type="dxa" w:w="1160"/>
          </w:tcPr>
          <w:p>
            <w:r>
              <w:t>2.2.1</w:t>
            </w:r>
          </w:p>
        </w:tc>
      </w:tr>
      <w:tr>
        <w:trPr>
          <w:cantSplit/>
        </w:trPr>
        <w:tc>
          <w:tcPr>
            <w:tcW w:type="dxa" w:w="1650"/>
          </w:tcPr>
          <w:p>
            <w:r>
              <w:rPr>
                <w:b/>
              </w:rPr>
              <w:t>Rec. 47</w:t>
            </w:r>
          </w:p>
        </w:tc>
        <w:tc>
          <w:tcPr>
            <w:tcW w:type="dxa" w:w="2550"/>
          </w:tcPr>
          <w:p>
            <w:r>
              <w:t>IACS Recommendation 47</w:t>
            </w:r>
          </w:p>
        </w:tc>
        <w:tc>
          <w:tcPr>
            <w:tcW w:type="dxa" w:w="4000"/>
          </w:tcPr>
          <w:p>
            <w:r>
              <w:t>Standard di qualità di costruzione e riparazione dello scafo: tolleranze, saldature, rimedi</w:t>
            </w:r>
          </w:p>
        </w:tc>
        <w:tc>
          <w:tcPr>
            <w:tcW w:type="dxa" w:w="1160"/>
          </w:tcPr>
          <w:p>
            <w:r>
              <w:t>Rec. 47</w:t>
            </w:r>
          </w:p>
        </w:tc>
      </w:tr>
      <w:tr>
        <w:trPr>
          <w:cantSplit/>
        </w:trPr>
        <w:tc>
          <w:tcPr>
            <w:tcW w:type="dxa" w:w="1650"/>
          </w:tcPr>
          <w:p>
            <w:r>
              <w:rPr>
                <w:b/>
              </w:rPr>
              <w:t>Rec. 74</w:t>
            </w:r>
          </w:p>
        </w:tc>
        <w:tc>
          <w:tcPr>
            <w:tcW w:type="dxa" w:w="2550"/>
          </w:tcPr>
          <w:p>
            <w:r>
              <w:t>IACS Recommendation 74</w:t>
            </w:r>
          </w:p>
        </w:tc>
        <w:tc>
          <w:tcPr>
            <w:tcW w:type="dxa" w:w="4000"/>
          </w:tcPr>
          <w:p>
            <w:r>
              <w:t>Guida alla gestione della manutenzione di bordo nel sistema ISM</w:t>
            </w:r>
          </w:p>
        </w:tc>
        <w:tc>
          <w:tcPr>
            <w:tcW w:type="dxa" w:w="1160"/>
          </w:tcPr>
          <w:p>
            <w:r>
              <w:t>Rec. 74</w:t>
            </w:r>
          </w:p>
        </w:tc>
      </w:tr>
      <w:tr>
        <w:trPr>
          <w:cantSplit/>
        </w:trPr>
        <w:tc>
          <w:tcPr>
            <w:tcW w:type="dxa" w:w="1650"/>
          </w:tcPr>
          <w:p>
            <w:r>
              <w:rPr>
                <w:b/>
              </w:rPr>
              <w:t>ReH</w:t>
            </w:r>
          </w:p>
        </w:tc>
        <w:tc>
          <w:tcPr>
            <w:tcW w:type="dxa" w:w="2550"/>
          </w:tcPr>
          <w:p>
            <w:r>
              <w:t>Snervamento minimo</w:t>
            </w:r>
          </w:p>
        </w:tc>
        <w:tc>
          <w:tcPr>
            <w:tcW w:type="dxa" w:w="4000"/>
          </w:tcPr>
          <w:p>
            <w:r>
              <w:t>La tensione oltre la quale l'acciaio si deforma in modo permanente</w:t>
            </w:r>
          </w:p>
        </w:tc>
        <w:tc>
          <w:tcPr>
            <w:tcW w:type="dxa" w:w="1160"/>
          </w:tcPr>
          <w:p>
            <w:r>
              <w:t>Approf.</w:t>
            </w:r>
          </w:p>
        </w:tc>
      </w:tr>
      <w:tr>
        <w:trPr>
          <w:cantSplit/>
        </w:trPr>
        <w:tc>
          <w:tcPr>
            <w:tcW w:type="dxa" w:w="1650"/>
          </w:tcPr>
          <w:p>
            <w:r>
              <w:rPr>
                <w:b/>
              </w:rPr>
              <w:t>RINA</w:t>
            </w:r>
          </w:p>
        </w:tc>
        <w:tc>
          <w:tcPr>
            <w:tcW w:type="dxa" w:w="2550"/>
          </w:tcPr>
          <w:p>
            <w:r>
              <w:t>Registro Italiano Navale</w:t>
            </w:r>
          </w:p>
        </w:tc>
        <w:tc>
          <w:tcPr>
            <w:tcW w:type="dxa" w:w="4000"/>
          </w:tcPr>
          <w:p>
            <w:r>
              <w:t>Società di classifica italiana, membro IACS</w:t>
            </w:r>
          </w:p>
        </w:tc>
        <w:tc>
          <w:tcPr>
            <w:tcW w:type="dxa" w:w="1160"/>
          </w:tcPr>
          <w:p>
            <w:r>
              <w:t>2.1.7</w:t>
            </w:r>
          </w:p>
        </w:tc>
      </w:tr>
      <w:tr>
        <w:trPr>
          <w:cantSplit/>
        </w:trPr>
        <w:tc>
          <w:tcPr>
            <w:tcW w:type="dxa" w:w="1650"/>
          </w:tcPr>
          <w:p>
            <w:r>
              <w:rPr>
                <w:b/>
              </w:rPr>
              <w:t>RIT</w:t>
            </w:r>
          </w:p>
        </w:tc>
        <w:tc>
          <w:tcPr>
            <w:tcW w:type="dxa" w:w="2550"/>
          </w:tcPr>
          <w:p>
            <w:r>
              <w:t>Remote Inspection Techniques</w:t>
            </w:r>
          </w:p>
        </w:tc>
        <w:tc>
          <w:tcPr>
            <w:tcW w:type="dxa" w:w="4000"/>
          </w:tcPr>
          <w:p>
            <w:r>
              <w:t>Ispezioni a distanza con droni, robot e telecamere, ammesse nelle visite ESP dal 1/1/2028</w:t>
            </w:r>
          </w:p>
        </w:tc>
        <w:tc>
          <w:tcPr>
            <w:tcW w:type="dxa" w:w="1160"/>
          </w:tcPr>
          <w:p>
            <w:r>
              <w:t>Ripasso*, Approf.</w:t>
            </w:r>
          </w:p>
        </w:tc>
      </w:tr>
      <w:tr>
        <w:trPr>
          <w:cantSplit/>
        </w:trPr>
        <w:tc>
          <w:tcPr>
            <w:tcW w:type="dxa" w:w="1650"/>
          </w:tcPr>
          <w:p>
            <w:r>
              <w:rPr>
                <w:b/>
              </w:rPr>
              <w:t>RITS / SoC</w:t>
            </w:r>
          </w:p>
        </w:tc>
        <w:tc>
          <w:tcPr>
            <w:tcW w:type="dxa" w:w="2550"/>
          </w:tcPr>
          <w:p>
            <w:r>
              <w:t>RIT System / Statement of Capability</w:t>
            </w:r>
          </w:p>
        </w:tc>
        <w:tc>
          <w:tcPr>
            <w:tcW w:type="dxa" w:w="4000"/>
          </w:tcPr>
          <w:p>
            <w:r>
              <w:t>Sistema di ispezione a distanza certificato e dichiarazione delle sue capacità e limiti (MSC.1/Circ.1700)</w:t>
            </w:r>
          </w:p>
        </w:tc>
        <w:tc>
          <w:tcPr>
            <w:tcW w:type="dxa" w:w="1160"/>
          </w:tcPr>
          <w:p>
            <w:r>
              <w:t>Approf.</w:t>
            </w:r>
          </w:p>
        </w:tc>
      </w:tr>
      <w:tr>
        <w:trPr>
          <w:cantSplit/>
        </w:trPr>
        <w:tc>
          <w:tcPr>
            <w:tcW w:type="dxa" w:w="1650"/>
          </w:tcPr>
          <w:p>
            <w:r>
              <w:rPr>
                <w:b/>
              </w:rPr>
              <w:t>Ro-Ro</w:t>
            </w:r>
          </w:p>
        </w:tc>
        <w:tc>
          <w:tcPr>
            <w:tcW w:type="dxa" w:w="2550"/>
          </w:tcPr>
          <w:p>
            <w:r>
              <w:t>Roll-on / Roll-off</w:t>
            </w:r>
          </w:p>
        </w:tc>
        <w:tc>
          <w:tcPr>
            <w:tcW w:type="dxa" w:w="4000"/>
          </w:tcPr>
          <w:p>
            <w:r>
              <w:t>Nave o traffico in cui il carico sale e scende su ruote</w:t>
            </w:r>
          </w:p>
        </w:tc>
        <w:tc>
          <w:tcPr>
            <w:tcW w:type="dxa" w:w="1160"/>
          </w:tcPr>
          <w:p>
            <w:r>
              <w:t>2.1.4.2, IACS Z (2005)</w:t>
            </w:r>
          </w:p>
        </w:tc>
      </w:tr>
      <w:tr>
        <w:trPr>
          <w:cantSplit/>
        </w:trPr>
        <w:tc>
          <w:tcPr>
            <w:tcW w:type="dxa" w:w="1650"/>
          </w:tcPr>
          <w:p>
            <w:r>
              <w:rPr>
                <w:b/>
              </w:rPr>
              <w:t>SCF</w:t>
            </w:r>
          </w:p>
        </w:tc>
        <w:tc>
          <w:tcPr>
            <w:tcW w:type="dxa" w:w="2550"/>
          </w:tcPr>
          <w:p>
            <w:r>
              <w:t>Ship Construction File</w:t>
            </w:r>
          </w:p>
        </w:tc>
        <w:tc>
          <w:tcPr>
            <w:tcW w:type="dxa" w:w="4000"/>
          </w:tcPr>
          <w:p>
            <w:r>
              <w:t>Fascicolo di costruzione della nave previsto dalle GBS, conservato a bordo e a terra</w:t>
            </w:r>
          </w:p>
        </w:tc>
        <w:tc>
          <w:tcPr>
            <w:tcW w:type="dxa" w:w="1160"/>
          </w:tcPr>
          <w:p>
            <w:r>
              <w:t>2.1.7</w:t>
            </w:r>
          </w:p>
        </w:tc>
      </w:tr>
      <w:tr>
        <w:trPr>
          <w:cantSplit/>
        </w:trPr>
        <w:tc>
          <w:tcPr>
            <w:tcW w:type="dxa" w:w="1650"/>
          </w:tcPr>
          <w:p>
            <w:r>
              <w:rPr>
                <w:b/>
              </w:rPr>
              <w:t>SF</w:t>
            </w:r>
          </w:p>
        </w:tc>
        <w:tc>
          <w:tcPr>
            <w:tcW w:type="dxa" w:w="2550"/>
          </w:tcPr>
          <w:p>
            <w:r>
              <w:t>Shear Force (sforzo di taglio)</w:t>
            </w:r>
          </w:p>
        </w:tc>
        <w:tc>
          <w:tcPr>
            <w:tcW w:type="dxa" w:w="4000"/>
          </w:tcPr>
          <w:p>
            <w:r>
              <w:t>La forza che tende a far scorrere una sezione dello scafo rispetto alla vicina. Vedi l'avvertenza su SF/FS</w:t>
            </w:r>
          </w:p>
        </w:tc>
        <w:tc>
          <w:tcPr>
            <w:tcW w:type="dxa" w:w="1160"/>
          </w:tcPr>
          <w:p>
            <w:r>
              <w:t>2.1.7, 2.2.1, Approf.</w:t>
            </w:r>
          </w:p>
        </w:tc>
      </w:tr>
      <w:tr>
        <w:trPr>
          <w:cantSplit/>
        </w:trPr>
        <w:tc>
          <w:tcPr>
            <w:tcW w:type="dxa" w:w="1650"/>
          </w:tcPr>
          <w:p>
            <w:r>
              <w:rPr>
                <w:b/>
              </w:rPr>
              <w:t>SMS</w:t>
            </w:r>
          </w:p>
        </w:tc>
        <w:tc>
          <w:tcPr>
            <w:tcW w:type="dxa" w:w="2550"/>
          </w:tcPr>
          <w:p>
            <w:r>
              <w:t>Safety Management System</w:t>
            </w:r>
          </w:p>
        </w:tc>
        <w:tc>
          <w:tcPr>
            <w:tcW w:type="dxa" w:w="4000"/>
          </w:tcPr>
          <w:p>
            <w:r>
              <w:t>Sistema di gestione della sicurezza della Compagnia e della nave, previsto dal Codice ISM</w:t>
            </w:r>
          </w:p>
        </w:tc>
        <w:tc>
          <w:tcPr>
            <w:tcW w:type="dxa" w:w="1160"/>
          </w:tcPr>
          <w:p>
            <w:r>
              <w:t>Rec. 74</w:t>
            </w:r>
          </w:p>
        </w:tc>
      </w:tr>
      <w:tr>
        <w:trPr>
          <w:cantSplit/>
        </w:trPr>
        <w:tc>
          <w:tcPr>
            <w:tcW w:type="dxa" w:w="1650"/>
          </w:tcPr>
          <w:p>
            <w:r>
              <w:rPr>
                <w:b/>
              </w:rPr>
              <w:t>SOLAS</w:t>
            </w:r>
          </w:p>
        </w:tc>
        <w:tc>
          <w:tcPr>
            <w:tcW w:type="dxa" w:w="2550"/>
          </w:tcPr>
          <w:p>
            <w:r>
              <w:t>International Convention for the Safety of Life at Sea</w:t>
            </w:r>
          </w:p>
        </w:tc>
        <w:tc>
          <w:tcPr>
            <w:tcW w:type="dxa" w:w="4000"/>
          </w:tcPr>
          <w:p>
            <w:r>
              <w:t>Convenzione internazionale per la sicurezza della vita umana in mare; il cap. XII riguarda le portarinfuse, il cap. VI i carichi, il cap. VII le merci pericolose</w:t>
            </w:r>
          </w:p>
        </w:tc>
        <w:tc>
          <w:tcPr>
            <w:tcW w:type="dxa" w:w="1160"/>
          </w:tcPr>
          <w:p>
            <w:r>
              <w:t>2.1.4.2, 2.1.7, 2.2.1, Ripasso*, Approf., IACS Z (2005), Rec. 74, UI IGF</w:t>
            </w:r>
          </w:p>
        </w:tc>
      </w:tr>
      <w:tr>
        <w:trPr>
          <w:cantSplit/>
        </w:trPr>
        <w:tc>
          <w:tcPr>
            <w:tcW w:type="dxa" w:w="1650"/>
          </w:tcPr>
          <w:p>
            <w:r>
              <w:rPr>
                <w:b/>
              </w:rPr>
              <w:t>STCW</w:t>
            </w:r>
          </w:p>
        </w:tc>
        <w:tc>
          <w:tcPr>
            <w:tcW w:type="dxa" w:w="2550"/>
          </w:tcPr>
          <w:p>
            <w:r>
              <w:t>Standards of Training, Certification and Watchkeeping</w:t>
            </w:r>
          </w:p>
        </w:tc>
        <w:tc>
          <w:tcPr>
            <w:tcW w:type="dxa" w:w="4000"/>
          </w:tcPr>
          <w:p>
            <w:r>
              <w:t>Convenzione sulla formazione dei marittimi; la tabella A-II/2 contiene le competenze di Comandante e Primo ufficiale</w:t>
            </w:r>
          </w:p>
        </w:tc>
        <w:tc>
          <w:tcPr>
            <w:tcW w:type="dxa" w:w="1160"/>
          </w:tcPr>
          <w:p>
            <w:r>
              <w:t>2.2.1</w:t>
            </w:r>
          </w:p>
        </w:tc>
      </w:tr>
      <w:tr>
        <w:trPr>
          <w:cantSplit/>
        </w:trPr>
        <w:tc>
          <w:tcPr>
            <w:tcW w:type="dxa" w:w="1650"/>
          </w:tcPr>
          <w:p>
            <w:r>
              <w:rPr>
                <w:b/>
              </w:rPr>
              <w:t>SWL</w:t>
            </w:r>
          </w:p>
        </w:tc>
        <w:tc>
          <w:tcPr>
            <w:tcW w:type="dxa" w:w="2550"/>
          </w:tcPr>
          <w:p>
            <w:r>
              <w:t>Safe Working Load</w:t>
            </w:r>
          </w:p>
        </w:tc>
        <w:tc>
          <w:tcPr>
            <w:tcW w:type="dxa" w:w="4000"/>
          </w:tcPr>
          <w:p>
            <w:r>
              <w:t>Carico di lavoro sicuro di un apparecchio di sollevamento (gru, picco); diminuisce allungando il braccio</w:t>
            </w:r>
          </w:p>
        </w:tc>
        <w:tc>
          <w:tcPr>
            <w:tcW w:type="dxa" w:w="1160"/>
          </w:tcPr>
          <w:p>
            <w:r>
              <w:t>2.1.4.2</w:t>
            </w:r>
          </w:p>
        </w:tc>
      </w:tr>
      <w:tr>
        <w:trPr>
          <w:cantSplit/>
        </w:trPr>
        <w:tc>
          <w:tcPr>
            <w:tcW w:type="dxa" w:w="1650"/>
          </w:tcPr>
          <w:p>
            <w:r>
              <w:rPr>
                <w:b/>
              </w:rPr>
              <w:t>SWSF / SWBM</w:t>
            </w:r>
          </w:p>
        </w:tc>
        <w:tc>
          <w:tcPr>
            <w:tcW w:type="dxa" w:w="2550"/>
          </w:tcPr>
          <w:p>
            <w:r>
              <w:t>Still Water Shear Force / Bending Moment</w:t>
            </w:r>
          </w:p>
        </w:tc>
        <w:tc>
          <w:tcPr>
            <w:tcW w:type="dxa" w:w="4000"/>
          </w:tcPr>
          <w:p>
            <w:r>
              <w:t>Taglio e momento flettente in acqua calma: i valori calcolati a bordo dallo strumento di carico</w:t>
            </w:r>
          </w:p>
        </w:tc>
        <w:tc>
          <w:tcPr>
            <w:tcW w:type="dxa" w:w="1160"/>
          </w:tcPr>
          <w:p>
            <w:r>
              <w:t>2.2.1</w:t>
            </w:r>
          </w:p>
        </w:tc>
      </w:tr>
      <w:tr>
        <w:trPr>
          <w:cantSplit/>
        </w:trPr>
        <w:tc>
          <w:tcPr>
            <w:tcW w:type="dxa" w:w="1650"/>
          </w:tcPr>
          <w:p>
            <w:r>
              <w:rPr>
                <w:b/>
              </w:rPr>
              <w:t>t c</w:t>
            </w:r>
          </w:p>
        </w:tc>
        <w:tc>
          <w:tcPr>
            <w:tcW w:type="dxa" w:w="2550"/>
          </w:tcPr>
          <w:p>
            <w:r>
              <w:t>Margine di corrosione</w:t>
            </w:r>
          </w:p>
        </w:tc>
        <w:tc>
          <w:tcPr>
            <w:tcW w:type="dxa" w:w="4000"/>
          </w:tcPr>
          <w:p>
            <w:r>
              <w:t>Spessore in più dato alla lamiera perché la corrosione lo consumi senza scendere sotto il necessario</w:t>
            </w:r>
          </w:p>
        </w:tc>
        <w:tc>
          <w:tcPr>
            <w:tcW w:type="dxa" w:w="1160"/>
          </w:tcPr>
          <w:p>
            <w:r>
              <w:t>Approf.</w:t>
            </w:r>
          </w:p>
        </w:tc>
      </w:tr>
      <w:tr>
        <w:trPr>
          <w:cantSplit/>
        </w:trPr>
        <w:tc>
          <w:tcPr>
            <w:tcW w:type="dxa" w:w="1650"/>
          </w:tcPr>
          <w:p>
            <w:r>
              <w:rPr>
                <w:b/>
              </w:rPr>
              <w:t>TEU</w:t>
            </w:r>
          </w:p>
        </w:tc>
        <w:tc>
          <w:tcPr>
            <w:tcW w:type="dxa" w:w="2550"/>
          </w:tcPr>
          <w:p>
            <w:r>
              <w:t>Twenty-foot Equivalent Unit</w:t>
            </w:r>
          </w:p>
        </w:tc>
        <w:tc>
          <w:tcPr>
            <w:tcW w:type="dxa" w:w="4000"/>
          </w:tcPr>
          <w:p>
            <w:r>
              <w:t>Unità di misura pari a un container da 20 piedi</w:t>
            </w:r>
          </w:p>
        </w:tc>
        <w:tc>
          <w:tcPr>
            <w:tcW w:type="dxa" w:w="1160"/>
          </w:tcPr>
          <w:p>
            <w:r>
              <w:t>2.1.4.2</w:t>
            </w:r>
          </w:p>
        </w:tc>
      </w:tr>
      <w:tr>
        <w:trPr>
          <w:cantSplit/>
        </w:trPr>
        <w:tc>
          <w:tcPr>
            <w:tcW w:type="dxa" w:w="1650"/>
          </w:tcPr>
          <w:p>
            <w:r>
              <w:rPr>
                <w:b/>
              </w:rPr>
              <w:t>TM1 … TM7</w:t>
            </w:r>
          </w:p>
        </w:tc>
        <w:tc>
          <w:tcPr>
            <w:tcW w:type="dxa" w:w="2550"/>
          </w:tcPr>
          <w:p>
            <w:r>
              <w:t>Thickness Measurement report forms</w:t>
            </w:r>
          </w:p>
        </w:tc>
        <w:tc>
          <w:tcPr>
            <w:tcW w:type="dxa" w:w="4000"/>
          </w:tcPr>
          <w:p>
            <w:r>
              <w:t>Moduli standard dei rapporti di spessimetria (es. TM2 corsi di fasciame, TM3 longitudinali)</w:t>
            </w:r>
          </w:p>
        </w:tc>
        <w:tc>
          <w:tcPr>
            <w:tcW w:type="dxa" w:w="1160"/>
          </w:tcPr>
          <w:p>
            <w:r>
              <w:t>IACS Z (2005)</w:t>
            </w:r>
          </w:p>
        </w:tc>
      </w:tr>
      <w:tr>
        <w:trPr>
          <w:cantSplit/>
        </w:trPr>
        <w:tc>
          <w:tcPr>
            <w:tcW w:type="dxa" w:w="1650"/>
          </w:tcPr>
          <w:p>
            <w:r>
              <w:rPr>
                <w:b/>
              </w:rPr>
              <w:t>TMCP</w:t>
            </w:r>
          </w:p>
        </w:tc>
        <w:tc>
          <w:tcPr>
            <w:tcW w:type="dxa" w:w="2550"/>
          </w:tcPr>
          <w:p>
            <w:r>
              <w:t>Thermo-Mechanical Controlled Process</w:t>
            </w:r>
          </w:p>
        </w:tc>
        <w:tc>
          <w:tcPr>
            <w:tcW w:type="dxa" w:w="4000"/>
          </w:tcPr>
          <w:p>
            <w:r>
              <w:t>Acciaio laminato con processo termomeccanico controllato; teme il riscaldamento eccessivo</w:t>
            </w:r>
          </w:p>
        </w:tc>
        <w:tc>
          <w:tcPr>
            <w:tcW w:type="dxa" w:w="1160"/>
          </w:tcPr>
          <w:p>
            <w:r>
              <w:t>Rec. 47</w:t>
            </w:r>
          </w:p>
        </w:tc>
      </w:tr>
      <w:tr>
        <w:trPr>
          <w:cantSplit/>
        </w:trPr>
        <w:tc>
          <w:tcPr>
            <w:tcW w:type="dxa" w:w="1650"/>
          </w:tcPr>
          <w:p>
            <w:r>
              <w:rPr>
                <w:b/>
              </w:rPr>
              <w:t>TML</w:t>
            </w:r>
          </w:p>
        </w:tc>
        <w:tc>
          <w:tcPr>
            <w:tcW w:type="dxa" w:w="2550"/>
          </w:tcPr>
          <w:p>
            <w:r>
              <w:t>Transportable Moisture Limit</w:t>
            </w:r>
          </w:p>
        </w:tc>
        <w:tc>
          <w:tcPr>
            <w:tcW w:type="dxa" w:w="4000"/>
          </w:tcPr>
          <w:p>
            <w:r>
              <w:t>Umidità massima con cui un carico che può liquefarsi (gruppo A) può essere imbarcato; vale il 90 % dell'FMP</w:t>
            </w:r>
          </w:p>
        </w:tc>
        <w:tc>
          <w:tcPr>
            <w:tcW w:type="dxa" w:w="1160"/>
          </w:tcPr>
          <w:p>
            <w:r>
              <w:t>2.1.4.2</w:t>
            </w:r>
          </w:p>
        </w:tc>
      </w:tr>
      <w:tr>
        <w:trPr>
          <w:cantSplit/>
        </w:trPr>
        <w:tc>
          <w:tcPr>
            <w:tcW w:type="dxa" w:w="1650"/>
          </w:tcPr>
          <w:p>
            <w:r>
              <w:rPr>
                <w:b/>
              </w:rPr>
              <w:t>tpl</w:t>
            </w:r>
          </w:p>
        </w:tc>
        <w:tc>
          <w:tcPr>
            <w:tcW w:type="dxa" w:w="2550"/>
          </w:tcPr>
          <w:p>
            <w:r>
              <w:t>Tonnellate di portata lorda (deadweight)</w:t>
            </w:r>
          </w:p>
        </w:tc>
        <w:tc>
          <w:tcPr>
            <w:tcW w:type="dxa" w:w="4000"/>
          </w:tcPr>
          <w:p>
            <w:r>
              <w:t>Quanto peso la nave può caricare tra carico, combustibile, acqua e provviste</w:t>
            </w:r>
          </w:p>
        </w:tc>
        <w:tc>
          <w:tcPr>
            <w:tcW w:type="dxa" w:w="1160"/>
          </w:tcPr>
          <w:p>
            <w:r>
              <w:t>Approf.</w:t>
            </w:r>
          </w:p>
        </w:tc>
      </w:tr>
      <w:tr>
        <w:trPr>
          <w:cantSplit/>
        </w:trPr>
        <w:tc>
          <w:tcPr>
            <w:tcW w:type="dxa" w:w="1650"/>
          </w:tcPr>
          <w:p>
            <w:r>
              <w:rPr>
                <w:b/>
              </w:rPr>
              <w:t>TSCF</w:t>
            </w:r>
          </w:p>
        </w:tc>
        <w:tc>
          <w:tcPr>
            <w:tcW w:type="dxa" w:w="2550"/>
          </w:tcPr>
          <w:p>
            <w:r>
              <w:t>Tanker Structure Co-operative Forum</w:t>
            </w:r>
          </w:p>
        </w:tc>
        <w:tc>
          <w:tcPr>
            <w:tcW w:type="dxa" w:w="4000"/>
          </w:tcPr>
          <w:p>
            <w:r>
              <w:t>Forum tecnico di armatori e classi sulle strutture delle petroliere; pubblica guide di ispezione</w:t>
            </w:r>
          </w:p>
        </w:tc>
        <w:tc>
          <w:tcPr>
            <w:tcW w:type="dxa" w:w="1160"/>
          </w:tcPr>
          <w:p>
            <w:r>
              <w:t>IACS Z (2005), Rec. 47</w:t>
            </w:r>
          </w:p>
        </w:tc>
      </w:tr>
      <w:tr>
        <w:trPr>
          <w:cantSplit/>
        </w:trPr>
        <w:tc>
          <w:tcPr>
            <w:tcW w:type="dxa" w:w="1650"/>
          </w:tcPr>
          <w:p>
            <w:r>
              <w:rPr>
                <w:b/>
              </w:rPr>
              <w:t>U.D. (Ud)</w:t>
            </w:r>
          </w:p>
        </w:tc>
        <w:tc>
          <w:tcPr>
            <w:tcW w:type="dxa" w:w="2550"/>
          </w:tcPr>
          <w:p>
            <w:r>
              <w:t>Unità didattica</w:t>
            </w:r>
          </w:p>
        </w:tc>
        <w:tc>
          <w:tcPr>
            <w:tcW w:type="dxa" w:w="4000"/>
          </w:tcPr>
          <w:p>
            <w:r>
              <w:t>Parte numerata del programma del corso (es. U.D. 2.2.1)</w:t>
            </w:r>
          </w:p>
        </w:tc>
        <w:tc>
          <w:tcPr>
            <w:tcW w:type="dxa" w:w="1160"/>
          </w:tcPr>
          <w:p>
            <w:r>
              <w:t>2.1.4.2, 2.1.7, 2.2.1, Ripasso*, Approf.</w:t>
            </w:r>
          </w:p>
        </w:tc>
      </w:tr>
      <w:tr>
        <w:trPr>
          <w:cantSplit/>
        </w:trPr>
        <w:tc>
          <w:tcPr>
            <w:tcW w:type="dxa" w:w="1650"/>
          </w:tcPr>
          <w:p>
            <w:r>
              <w:rPr>
                <w:b/>
              </w:rPr>
              <w:t>UI</w:t>
            </w:r>
          </w:p>
        </w:tc>
        <w:tc>
          <w:tcPr>
            <w:tcW w:type="dxa" w:w="2550"/>
          </w:tcPr>
          <w:p>
            <w:r>
              <w:t>Unified Interpretation (IACS)</w:t>
            </w:r>
          </w:p>
        </w:tc>
        <w:tc>
          <w:tcPr>
            <w:tcW w:type="dxa" w:w="4000"/>
          </w:tcPr>
          <w:p>
            <w:r>
              <w:t>Interpretazione uniforme IACS di una regola IMO (es. UI GF sul Codice IGF)</w:t>
            </w:r>
          </w:p>
        </w:tc>
        <w:tc>
          <w:tcPr>
            <w:tcW w:type="dxa" w:w="1160"/>
          </w:tcPr>
          <w:p>
            <w:r>
              <w:t>UI IGF</w:t>
            </w:r>
          </w:p>
        </w:tc>
      </w:tr>
      <w:tr>
        <w:trPr>
          <w:cantSplit/>
        </w:trPr>
        <w:tc>
          <w:tcPr>
            <w:tcW w:type="dxa" w:w="1650"/>
          </w:tcPr>
          <w:p>
            <w:r>
              <w:rPr>
                <w:b/>
              </w:rPr>
              <w:t>UKC</w:t>
            </w:r>
          </w:p>
        </w:tc>
        <w:tc>
          <w:tcPr>
            <w:tcW w:type="dxa" w:w="2550"/>
          </w:tcPr>
          <w:p>
            <w:r>
              <w:t>Under Keel Clearance</w:t>
            </w:r>
          </w:p>
        </w:tc>
        <w:tc>
          <w:tcPr>
            <w:tcW w:type="dxa" w:w="4000"/>
          </w:tcPr>
          <w:p>
            <w:r>
              <w:t>Acqua disponibile sotto la chiglia</w:t>
            </w:r>
          </w:p>
        </w:tc>
        <w:tc>
          <w:tcPr>
            <w:tcW w:type="dxa" w:w="1160"/>
          </w:tcPr>
          <w:p>
            <w:r>
              <w:t>2.1.7</w:t>
            </w:r>
          </w:p>
        </w:tc>
      </w:tr>
      <w:tr>
        <w:trPr>
          <w:cantSplit/>
        </w:trPr>
        <w:tc>
          <w:tcPr>
            <w:tcW w:type="dxa" w:w="1650"/>
          </w:tcPr>
          <w:p>
            <w:r>
              <w:rPr>
                <w:b/>
              </w:rPr>
              <w:t>UR</w:t>
            </w:r>
          </w:p>
        </w:tc>
        <w:tc>
          <w:tcPr>
            <w:tcW w:type="dxa" w:w="2550"/>
          </w:tcPr>
          <w:p>
            <w:r>
              <w:t>Unified Requirement (IACS)</w:t>
            </w:r>
          </w:p>
        </w:tc>
        <w:tc>
          <w:tcPr>
            <w:tcW w:type="dxa" w:w="4000"/>
          </w:tcPr>
          <w:p>
            <w:r>
              <w:t>Requisito uniforme IACS, applicato da tutte le società di classifica membri. Vedi la tabella dei requisiti citati</w:t>
            </w:r>
          </w:p>
        </w:tc>
        <w:tc>
          <w:tcPr>
            <w:tcW w:type="dxa" w:w="1160"/>
          </w:tcPr>
          <w:p>
            <w:r>
              <w:t>2.2.1, Approf., IACS Z (2005), Rec. 47</w:t>
            </w:r>
          </w:p>
        </w:tc>
      </w:tr>
      <w:tr>
        <w:trPr>
          <w:cantSplit/>
        </w:trPr>
        <w:tc>
          <w:tcPr>
            <w:tcW w:type="dxa" w:w="1650"/>
          </w:tcPr>
          <w:p>
            <w:r>
              <w:rPr>
                <w:b/>
              </w:rPr>
              <w:t>UV</w:t>
            </w:r>
          </w:p>
        </w:tc>
        <w:tc>
          <w:tcPr>
            <w:tcW w:type="dxa" w:w="2550"/>
          </w:tcPr>
          <w:p>
            <w:r>
              <w:t>Ultravioletto</w:t>
            </w:r>
          </w:p>
        </w:tc>
        <w:tc>
          <w:tcPr>
            <w:tcW w:type="dxa" w:w="4000"/>
          </w:tcPr>
          <w:p>
            <w:r>
              <w:t>Radiazione solare che degrada le fasce di sollevamento in fibra sintetica</w:t>
            </w:r>
          </w:p>
        </w:tc>
        <w:tc>
          <w:tcPr>
            <w:tcW w:type="dxa" w:w="1160"/>
          </w:tcPr>
          <w:p>
            <w:r>
              <w:t>2.1.4.2</w:t>
            </w:r>
          </w:p>
        </w:tc>
      </w:tr>
      <w:tr>
        <w:trPr>
          <w:cantSplit/>
        </w:trPr>
        <w:tc>
          <w:tcPr>
            <w:tcW w:type="dxa" w:w="1650"/>
          </w:tcPr>
          <w:p>
            <w:r>
              <w:rPr>
                <w:b/>
              </w:rPr>
              <w:t>VDR</w:t>
            </w:r>
          </w:p>
        </w:tc>
        <w:tc>
          <w:tcPr>
            <w:tcW w:type="dxa" w:w="2550"/>
          </w:tcPr>
          <w:p>
            <w:r>
              <w:t>Voyage Data Recorder</w:t>
            </w:r>
          </w:p>
        </w:tc>
        <w:tc>
          <w:tcPr>
            <w:tcW w:type="dxa" w:w="4000"/>
          </w:tcPr>
          <w:p>
            <w:r>
              <w:t>"Scatola nera" della nave: registra i dati di navigazione</w:t>
            </w:r>
          </w:p>
        </w:tc>
        <w:tc>
          <w:tcPr>
            <w:tcW w:type="dxa" w:w="1160"/>
          </w:tcPr>
          <w:p>
            <w:r>
              <w:t>IACS Z (2005)</w:t>
            </w:r>
          </w:p>
        </w:tc>
      </w:tr>
      <w:tr>
        <w:trPr>
          <w:cantSplit/>
        </w:trPr>
        <w:tc>
          <w:tcPr>
            <w:tcW w:type="dxa" w:w="1650"/>
          </w:tcPr>
          <w:p>
            <w:r>
              <w:rPr>
                <w:b/>
              </w:rPr>
              <w:t>VGM</w:t>
            </w:r>
          </w:p>
        </w:tc>
        <w:tc>
          <w:tcPr>
            <w:tcW w:type="dxa" w:w="2550"/>
          </w:tcPr>
          <w:p>
            <w:r>
              <w:t>Verified Gross Mass</w:t>
            </w:r>
          </w:p>
        </w:tc>
        <w:tc>
          <w:tcPr>
            <w:tcW w:type="dxa" w:w="4000"/>
          </w:tcPr>
          <w:p>
            <w:r>
              <w:t>Massa lorda verificata del container, dichiarata dal caricatore prima dell'imbarco</w:t>
            </w:r>
          </w:p>
        </w:tc>
        <w:tc>
          <w:tcPr>
            <w:tcW w:type="dxa" w:w="1160"/>
          </w:tcPr>
          <w:p>
            <w:r>
              <w:t>2.1.4.2</w:t>
            </w:r>
          </w:p>
        </w:tc>
      </w:tr>
      <w:tr>
        <w:trPr>
          <w:cantSplit/>
        </w:trPr>
        <w:tc>
          <w:tcPr>
            <w:tcW w:type="dxa" w:w="1650"/>
          </w:tcPr>
          <w:p>
            <w:r>
              <w:rPr>
                <w:b/>
              </w:rPr>
              <w:t>VHF</w:t>
            </w:r>
          </w:p>
        </w:tc>
        <w:tc>
          <w:tcPr>
            <w:tcW w:type="dxa" w:w="2550"/>
          </w:tcPr>
          <w:p>
            <w:r>
              <w:t>Very High Frequency</w:t>
            </w:r>
          </w:p>
        </w:tc>
        <w:tc>
          <w:tcPr>
            <w:tcW w:type="dxa" w:w="4000"/>
          </w:tcPr>
          <w:p>
            <w:r>
              <w:t>Banda radio usata a bordo, anche tra gruista e segnalatore</w:t>
            </w:r>
          </w:p>
        </w:tc>
        <w:tc>
          <w:tcPr>
            <w:tcW w:type="dxa" w:w="1160"/>
          </w:tcPr>
          <w:p>
            <w:r>
              <w:t>2.1.4.2, IACS Z (2005), Rec. 74</w:t>
            </w:r>
          </w:p>
        </w:tc>
      </w:tr>
      <w:tr>
        <w:trPr>
          <w:cantSplit/>
        </w:trPr>
        <w:tc>
          <w:tcPr>
            <w:tcW w:type="dxa" w:w="1650"/>
          </w:tcPr>
          <w:p>
            <w:r>
              <w:rPr>
                <w:b/>
              </w:rPr>
              <w:t>VLOC</w:t>
            </w:r>
          </w:p>
        </w:tc>
        <w:tc>
          <w:tcPr>
            <w:tcW w:type="dxa" w:w="2550"/>
          </w:tcPr>
          <w:p>
            <w:r>
              <w:t>Very Large Ore Carrier</w:t>
            </w:r>
          </w:p>
        </w:tc>
        <w:tc>
          <w:tcPr>
            <w:tcW w:type="dxa" w:w="4000"/>
          </w:tcPr>
          <w:p>
            <w:r>
              <w:t>Portaminerali molto grande, oltre 200 000 t di portata</w:t>
            </w:r>
          </w:p>
        </w:tc>
        <w:tc>
          <w:tcPr>
            <w:tcW w:type="dxa" w:w="1160"/>
          </w:tcPr>
          <w:p>
            <w:r>
              <w:t>2.1.7</w:t>
            </w:r>
          </w:p>
        </w:tc>
      </w:tr>
      <w:tr>
        <w:trPr>
          <w:cantSplit/>
        </w:trPr>
        <w:tc>
          <w:tcPr>
            <w:tcW w:type="dxa" w:w="1650"/>
          </w:tcPr>
          <w:p>
            <w:r>
              <w:rPr>
                <w:b/>
              </w:rPr>
              <w:t>WLL</w:t>
            </w:r>
          </w:p>
        </w:tc>
        <w:tc>
          <w:tcPr>
            <w:tcW w:type="dxa" w:w="2550"/>
          </w:tcPr>
          <w:p>
            <w:r>
              <w:t>Working Load Limit</w:t>
            </w:r>
          </w:p>
        </w:tc>
        <w:tc>
          <w:tcPr>
            <w:tcW w:type="dxa" w:w="4000"/>
          </w:tcPr>
          <w:p>
            <w:r>
              <w:t>Carico di lavoro massimo di un accessorio di sollevamento (braca, grillo, gancio), marcato sul pezzo</w:t>
            </w:r>
          </w:p>
        </w:tc>
        <w:tc>
          <w:tcPr>
            <w:tcW w:type="dxa" w:w="1160"/>
          </w:tcPr>
          <w:p>
            <w:r>
              <w:t>2.1.4.2</w:t>
            </w:r>
          </w:p>
        </w:tc>
      </w:tr>
      <w:tr>
        <w:trPr>
          <w:cantSplit/>
        </w:trPr>
        <w:tc>
          <w:tcPr>
            <w:tcW w:type="dxa" w:w="1650"/>
          </w:tcPr>
          <w:p>
            <w:r>
              <w:rPr>
                <w:b/>
              </w:rPr>
              <w:t>WT</w:t>
            </w:r>
          </w:p>
        </w:tc>
        <w:tc>
          <w:tcPr>
            <w:tcW w:type="dxa" w:w="2550"/>
          </w:tcPr>
          <w:p>
            <w:r>
              <w:t>Watertight</w:t>
            </w:r>
          </w:p>
        </w:tc>
        <w:tc>
          <w:tcPr>
            <w:tcW w:type="dxa" w:w="4000"/>
          </w:tcPr>
          <w:p>
            <w:r>
              <w:t>Stagno (es. WT floors, madieri stagni)</w:t>
            </w:r>
          </w:p>
        </w:tc>
        <w:tc>
          <w:tcPr>
            <w:tcW w:type="dxa" w:w="1160"/>
          </w:tcPr>
          <w:p>
            <w:r>
              <w:t>IACS Z (2005)</w:t>
            </w:r>
          </w:p>
        </w:tc>
      </w:tr>
    </w:tbl>
    <w:p/>
    <w:p>
      <w:pPr>
        <w:pStyle w:val="Heading2"/>
      </w:pPr>
      <w:r>
        <w:t>Requisiti IACS citati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1650"/>
        <w:gridCol w:w="2550"/>
        <w:gridCol w:w="4000"/>
        <w:gridCol w:w="1160"/>
      </w:tblGrid>
      <w:tr>
        <w:trPr>
          <w:tblHeader/>
          <w:cantSplit/>
        </w:trPr>
        <w:tc>
          <w:tcPr>
            <w:tcW w:type="dxa" w:w="1650"/>
            <w:shd w:val="clear" w:color="auto" w:fill="F2F2F2"/>
          </w:tcPr>
          <w:p>
            <w:r>
              <w:rPr>
                <w:b/>
              </w:rPr>
              <w:t>Sigla</w:t>
            </w:r>
          </w:p>
        </w:tc>
        <w:tc>
          <w:tcPr>
            <w:tcW w:type="dxa" w:w="2550"/>
            <w:shd w:val="clear" w:color="auto" w:fill="F2F2F2"/>
          </w:tcPr>
          <w:p>
            <w:r>
              <w:rPr>
                <w:b/>
              </w:rPr>
              <w:t>Per esteso</w:t>
            </w:r>
          </w:p>
        </w:tc>
        <w:tc>
          <w:tcPr>
            <w:tcW w:type="dxa" w:w="4000"/>
            <w:shd w:val="clear" w:color="auto" w:fill="F2F2F2"/>
          </w:tcPr>
          <w:p>
            <w:r>
              <w:rPr>
                <w:b/>
              </w:rPr>
              <w:t>Spiegazione in chiaro</w:t>
            </w:r>
          </w:p>
        </w:tc>
        <w:tc>
          <w:tcPr>
            <w:tcW w:type="dxa" w:w="1160"/>
            <w:shd w:val="clear" w:color="auto" w:fill="F2F2F2"/>
          </w:tcPr>
          <w:p>
            <w:r>
              <w:rPr>
                <w:b/>
              </w:rPr>
              <w:t>Lezioni / fonti</w:t>
            </w:r>
          </w:p>
        </w:tc>
      </w:tr>
      <w:tr>
        <w:trPr>
          <w:cantSplit/>
        </w:trPr>
        <w:tc>
          <w:tcPr>
            <w:tcW w:type="dxa" w:w="1650"/>
          </w:tcPr>
          <w:p>
            <w:r>
              <w:rPr>
                <w:b/>
              </w:rPr>
              <w:t>UR S11</w:t>
            </w:r>
          </w:p>
        </w:tc>
        <w:tc>
          <w:tcPr>
            <w:tcW w:type="dxa" w:w="2550"/>
          </w:tcPr>
          <w:p>
            <w:r>
              <w:t>Unified Requirement S11</w:t>
            </w:r>
          </w:p>
        </w:tc>
        <w:tc>
          <w:tcPr>
            <w:tcW w:type="dxa" w:w="4000"/>
          </w:tcPr>
          <w:p>
            <w:r>
              <w:t>Robustezza longitudinale: momento d'onda e tensioni ammesse 175/k (flessione) e 110/k (taglio) N/mm²</w:t>
            </w:r>
          </w:p>
        </w:tc>
        <w:tc>
          <w:tcPr>
            <w:tcW w:type="dxa" w:w="1160"/>
          </w:tcPr>
          <w:p>
            <w:r>
              <w:t>2.2.1, Approf., IACS Z (2005)</w:t>
            </w:r>
          </w:p>
        </w:tc>
      </w:tr>
      <w:tr>
        <w:trPr>
          <w:cantSplit/>
        </w:trPr>
        <w:tc>
          <w:tcPr>
            <w:tcW w:type="dxa" w:w="1650"/>
          </w:tcPr>
          <w:p>
            <w:r>
              <w:rPr>
                <w:b/>
              </w:rPr>
              <w:t>UR S12</w:t>
            </w:r>
          </w:p>
        </w:tc>
        <w:tc>
          <w:tcPr>
            <w:tcW w:type="dxa" w:w="2550"/>
          </w:tcPr>
          <w:p>
            <w:r>
              <w:t>Unified Requirement S12</w:t>
            </w:r>
          </w:p>
        </w:tc>
        <w:tc>
          <w:tcPr>
            <w:tcW w:type="dxa" w:w="4000"/>
          </w:tcPr>
          <w:p>
            <w:r>
              <w:t>Struttura del fianco (ossature di stiva) delle portarinfuse a scafo singolo</w:t>
            </w:r>
          </w:p>
        </w:tc>
        <w:tc>
          <w:tcPr>
            <w:tcW w:type="dxa" w:w="1160"/>
          </w:tcPr>
          <w:p>
            <w:r>
              <w:t>Approf., IACS Z (2005)</w:t>
            </w:r>
          </w:p>
        </w:tc>
      </w:tr>
      <w:tr>
        <w:trPr>
          <w:cantSplit/>
        </w:trPr>
        <w:tc>
          <w:tcPr>
            <w:tcW w:type="dxa" w:w="1650"/>
          </w:tcPr>
          <w:p>
            <w:r>
              <w:rPr>
                <w:b/>
              </w:rPr>
              <w:t>UR S17</w:t>
            </w:r>
          </w:p>
        </w:tc>
        <w:tc>
          <w:tcPr>
            <w:tcW w:type="dxa" w:w="2550"/>
          </w:tcPr>
          <w:p>
            <w:r>
              <w:t>Unified Requirement S17</w:t>
            </w:r>
          </w:p>
        </w:tc>
        <w:tc>
          <w:tcPr>
            <w:tcW w:type="dxa" w:w="4000"/>
          </w:tcPr>
          <w:p>
            <w:r>
              <w:t>Robustezza longitudinale con una stiva allagata</w:t>
            </w:r>
          </w:p>
        </w:tc>
        <w:tc>
          <w:tcPr>
            <w:tcW w:type="dxa" w:w="1160"/>
          </w:tcPr>
          <w:p>
            <w:r>
              <w:t>2.2.1</w:t>
            </w:r>
          </w:p>
        </w:tc>
      </w:tr>
      <w:tr>
        <w:trPr>
          <w:cantSplit/>
        </w:trPr>
        <w:tc>
          <w:tcPr>
            <w:tcW w:type="dxa" w:w="1650"/>
          </w:tcPr>
          <w:p>
            <w:r>
              <w:rPr>
                <w:b/>
              </w:rPr>
              <w:t>UR S18</w:t>
            </w:r>
          </w:p>
        </w:tc>
        <w:tc>
          <w:tcPr>
            <w:tcW w:type="dxa" w:w="2550"/>
          </w:tcPr>
          <w:p>
            <w:r>
              <w:t>Unified Requirement S18</w:t>
            </w:r>
          </w:p>
        </w:tc>
        <w:tc>
          <w:tcPr>
            <w:tcW w:type="dxa" w:w="4000"/>
          </w:tcPr>
          <w:p>
            <w:r>
              <w:t>Paratie corrugate tra le stive, verificate con stiva allagata</w:t>
            </w:r>
          </w:p>
        </w:tc>
        <w:tc>
          <w:tcPr>
            <w:tcW w:type="dxa" w:w="1160"/>
          </w:tcPr>
          <w:p>
            <w:r>
              <w:t>2.2.1, Approf.</w:t>
            </w:r>
          </w:p>
        </w:tc>
      </w:tr>
      <w:tr>
        <w:trPr>
          <w:cantSplit/>
        </w:trPr>
        <w:tc>
          <w:tcPr>
            <w:tcW w:type="dxa" w:w="1650"/>
          </w:tcPr>
          <w:p>
            <w:r>
              <w:rPr>
                <w:b/>
              </w:rPr>
              <w:t>UR S1A</w:t>
            </w:r>
          </w:p>
        </w:tc>
        <w:tc>
          <w:tcPr>
            <w:tcW w:type="dxa" w:w="2550"/>
          </w:tcPr>
          <w:p>
            <w:r>
              <w:t>Unified Requirement S1A</w:t>
            </w:r>
          </w:p>
        </w:tc>
        <w:tc>
          <w:tcPr>
            <w:tcW w:type="dxa" w:w="4000"/>
          </w:tcPr>
          <w:p>
            <w:r>
              <w:t>Manuale di carico e strumento di carico per le navi non costruite secondo le CSR</w:t>
            </w:r>
          </w:p>
        </w:tc>
        <w:tc>
          <w:tcPr>
            <w:tcW w:type="dxa" w:w="1160"/>
          </w:tcPr>
          <w:p>
            <w:r>
              <w:t>2.2.1</w:t>
            </w:r>
          </w:p>
        </w:tc>
      </w:tr>
      <w:tr>
        <w:trPr>
          <w:cantSplit/>
        </w:trPr>
        <w:tc>
          <w:tcPr>
            <w:tcW w:type="dxa" w:w="1650"/>
          </w:tcPr>
          <w:p>
            <w:r>
              <w:rPr>
                <w:b/>
              </w:rPr>
              <w:t>UR S21</w:t>
            </w:r>
          </w:p>
        </w:tc>
        <w:tc>
          <w:tcPr>
            <w:tcW w:type="dxa" w:w="2550"/>
          </w:tcPr>
          <w:p>
            <w:r>
              <w:t>Unified Requirement S21</w:t>
            </w:r>
          </w:p>
        </w:tc>
        <w:tc>
          <w:tcPr>
            <w:tcW w:type="dxa" w:w="4000"/>
          </w:tcPr>
          <w:p>
            <w:r>
              <w:t>Robustezza dei coperchi dei boccaporti</w:t>
            </w:r>
          </w:p>
        </w:tc>
        <w:tc>
          <w:tcPr>
            <w:tcW w:type="dxa" w:w="1160"/>
          </w:tcPr>
          <w:p>
            <w:r>
              <w:t>2.2.1, Approf.</w:t>
            </w:r>
          </w:p>
        </w:tc>
      </w:tr>
      <w:tr>
        <w:trPr>
          <w:cantSplit/>
        </w:trPr>
        <w:tc>
          <w:tcPr>
            <w:tcW w:type="dxa" w:w="1650"/>
          </w:tcPr>
          <w:p>
            <w:r>
              <w:rPr>
                <w:b/>
              </w:rPr>
              <w:t>UR S31</w:t>
            </w:r>
          </w:p>
        </w:tc>
        <w:tc>
          <w:tcPr>
            <w:tcW w:type="dxa" w:w="2550"/>
          </w:tcPr>
          <w:p>
            <w:r>
              <w:t>Unified Requirement S31</w:t>
            </w:r>
          </w:p>
        </w:tc>
        <w:tc>
          <w:tcPr>
            <w:tcW w:type="dxa" w:w="4000"/>
          </w:tcPr>
          <w:p>
            <w:r>
              <w:t>Quando rinnovare le ossature di stiva e i braccioli corrosi</w:t>
            </w:r>
          </w:p>
        </w:tc>
        <w:tc>
          <w:tcPr>
            <w:tcW w:type="dxa" w:w="1160"/>
          </w:tcPr>
          <w:p>
            <w:r>
              <w:t>Approf., IACS Z (2005)</w:t>
            </w:r>
          </w:p>
        </w:tc>
      </w:tr>
      <w:tr>
        <w:trPr>
          <w:cantSplit/>
        </w:trPr>
        <w:tc>
          <w:tcPr>
            <w:tcW w:type="dxa" w:w="1650"/>
          </w:tcPr>
          <w:p>
            <w:r>
              <w:rPr>
                <w:b/>
              </w:rPr>
              <w:t>UR W11</w:t>
            </w:r>
          </w:p>
        </w:tc>
        <w:tc>
          <w:tcPr>
            <w:tcW w:type="dxa" w:w="2550"/>
          </w:tcPr>
          <w:p>
            <w:r>
              <w:t>Unified Requirement W11</w:t>
            </w:r>
          </w:p>
        </w:tc>
        <w:tc>
          <w:tcPr>
            <w:tcW w:type="dxa" w:w="4000"/>
          </w:tcPr>
          <w:p>
            <w:r>
              <w:t>Acciai da scafo di resistenza normale e alta (gradi A–FH)</w:t>
            </w:r>
          </w:p>
        </w:tc>
        <w:tc>
          <w:tcPr>
            <w:tcW w:type="dxa" w:w="1160"/>
          </w:tcPr>
          <w:p>
            <w:r>
              <w:t>Rec. 47</w:t>
            </w:r>
          </w:p>
        </w:tc>
      </w:tr>
      <w:tr>
        <w:trPr>
          <w:cantSplit/>
        </w:trPr>
        <w:tc>
          <w:tcPr>
            <w:tcW w:type="dxa" w:w="1650"/>
          </w:tcPr>
          <w:p>
            <w:r>
              <w:rPr>
                <w:b/>
              </w:rPr>
              <w:t>UR W28</w:t>
            </w:r>
          </w:p>
        </w:tc>
        <w:tc>
          <w:tcPr>
            <w:tcW w:type="dxa" w:w="2550"/>
          </w:tcPr>
          <w:p>
            <w:r>
              <w:t>Unified Requirement W28</w:t>
            </w:r>
          </w:p>
        </w:tc>
        <w:tc>
          <w:tcPr>
            <w:tcW w:type="dxa" w:w="4000"/>
          </w:tcPr>
          <w:p>
            <w:r>
              <w:t>Prove di qualifica dei procedimenti di saldatura per lo scafo</w:t>
            </w:r>
          </w:p>
        </w:tc>
        <w:tc>
          <w:tcPr>
            <w:tcW w:type="dxa" w:w="1160"/>
          </w:tcPr>
          <w:p>
            <w:r>
              <w:t>Rec. 47</w:t>
            </w:r>
          </w:p>
        </w:tc>
      </w:tr>
      <w:tr>
        <w:trPr>
          <w:cantSplit/>
        </w:trPr>
        <w:tc>
          <w:tcPr>
            <w:tcW w:type="dxa" w:w="1650"/>
          </w:tcPr>
          <w:p>
            <w:r>
              <w:rPr>
                <w:b/>
              </w:rPr>
              <w:t>UR Z1</w:t>
            </w:r>
          </w:p>
        </w:tc>
        <w:tc>
          <w:tcPr>
            <w:tcW w:type="dxa" w:w="2550"/>
          </w:tcPr>
          <w:p>
            <w:r>
              <w:t>Unified Requirement Z1</w:t>
            </w:r>
          </w:p>
        </w:tc>
        <w:tc>
          <w:tcPr>
            <w:tcW w:type="dxa" w:w="4000"/>
          </w:tcPr>
          <w:p>
            <w:r>
              <w:t>Visite annuali e intermedie di classe allineate alla risoluzione IMO A.746(18)</w:t>
            </w:r>
          </w:p>
        </w:tc>
        <w:tc>
          <w:tcPr>
            <w:tcW w:type="dxa" w:w="1160"/>
          </w:tcPr>
          <w:p>
            <w:r>
              <w:t>IACS Z (2005)</w:t>
            </w:r>
          </w:p>
        </w:tc>
      </w:tr>
      <w:tr>
        <w:trPr>
          <w:cantSplit/>
        </w:trPr>
        <w:tc>
          <w:tcPr>
            <w:tcW w:type="dxa" w:w="1650"/>
          </w:tcPr>
          <w:p>
            <w:r>
              <w:rPr>
                <w:b/>
              </w:rPr>
              <w:t>UR Z10.1 / Z10.3 / Z10.4</w:t>
            </w:r>
          </w:p>
        </w:tc>
        <w:tc>
          <w:tcPr>
            <w:tcW w:type="dxa" w:w="2550"/>
          </w:tcPr>
          <w:p>
            <w:r>
              <w:t>Unified Requirement Z10.1 / Z10.3 / Z10.4</w:t>
            </w:r>
          </w:p>
        </w:tc>
        <w:tc>
          <w:tcPr>
            <w:tcW w:type="dxa" w:w="4000"/>
          </w:tcPr>
          <w:p>
            <w:r>
              <w:t>Visite rafforzate di petroliere, chimichiere e petroliere a doppio scafo</w:t>
            </w:r>
          </w:p>
        </w:tc>
        <w:tc>
          <w:tcPr>
            <w:tcW w:type="dxa" w:w="1160"/>
          </w:tcPr>
          <w:p>
            <w:r>
              <w:t>IACS Z (2005)</w:t>
            </w:r>
          </w:p>
        </w:tc>
      </w:tr>
      <w:tr>
        <w:trPr>
          <w:cantSplit/>
        </w:trPr>
        <w:tc>
          <w:tcPr>
            <w:tcW w:type="dxa" w:w="1650"/>
          </w:tcPr>
          <w:p>
            <w:r>
              <w:rPr>
                <w:b/>
              </w:rPr>
              <w:t>UR Z10.2</w:t>
            </w:r>
          </w:p>
        </w:tc>
        <w:tc>
          <w:tcPr>
            <w:tcW w:type="dxa" w:w="2550"/>
          </w:tcPr>
          <w:p>
            <w:r>
              <w:t>Unified Requirement Z10.2</w:t>
            </w:r>
          </w:p>
        </w:tc>
        <w:tc>
          <w:tcPr>
            <w:tcW w:type="dxa" w:w="4000"/>
          </w:tcPr>
          <w:p>
            <w:r>
              <w:t>Visite di classe delle portarinfuse a scafo singolo (equivalenti all'ESP)</w:t>
            </w:r>
          </w:p>
        </w:tc>
        <w:tc>
          <w:tcPr>
            <w:tcW w:type="dxa" w:w="1160"/>
          </w:tcPr>
          <w:p>
            <w:r>
              <w:t>Approf., IACS Z (2005), Rec. 47</w:t>
            </w:r>
          </w:p>
        </w:tc>
      </w:tr>
      <w:tr>
        <w:trPr>
          <w:cantSplit/>
        </w:trPr>
        <w:tc>
          <w:tcPr>
            <w:tcW w:type="dxa" w:w="1650"/>
          </w:tcPr>
          <w:p>
            <w:r>
              <w:rPr>
                <w:b/>
              </w:rPr>
              <w:t>UR Z10.5</w:t>
            </w:r>
          </w:p>
        </w:tc>
        <w:tc>
          <w:tcPr>
            <w:tcW w:type="dxa" w:w="2550"/>
          </w:tcPr>
          <w:p>
            <w:r>
              <w:t>Unified Requirement Z10.5</w:t>
            </w:r>
          </w:p>
        </w:tc>
        <w:tc>
          <w:tcPr>
            <w:tcW w:type="dxa" w:w="4000"/>
          </w:tcPr>
          <w:p>
            <w:r>
              <w:t>Visite di classe delle portarinfuse a doppio fianco</w:t>
            </w:r>
          </w:p>
        </w:tc>
        <w:tc>
          <w:tcPr>
            <w:tcW w:type="dxa" w:w="1160"/>
          </w:tcPr>
          <w:p>
            <w:r>
              <w:t>Approf., IACS Z (2005)</w:t>
            </w:r>
          </w:p>
        </w:tc>
      </w:tr>
      <w:tr>
        <w:trPr>
          <w:cantSplit/>
        </w:trPr>
        <w:tc>
          <w:tcPr>
            <w:tcW w:type="dxa" w:w="1650"/>
          </w:tcPr>
          <w:p>
            <w:r>
              <w:rPr>
                <w:b/>
              </w:rPr>
              <w:t>UR Z11</w:t>
            </w:r>
          </w:p>
        </w:tc>
        <w:tc>
          <w:tcPr>
            <w:tcW w:type="dxa" w:w="2550"/>
          </w:tcPr>
          <w:p>
            <w:r>
              <w:t>Unified Requirement Z11</w:t>
            </w:r>
          </w:p>
        </w:tc>
        <w:tc>
          <w:tcPr>
            <w:tcW w:type="dxa" w:w="4000"/>
          </w:tcPr>
          <w:p>
            <w:r>
              <w:t>Notazioni obbligatorie di tipo nave ed ESP</w:t>
            </w:r>
          </w:p>
        </w:tc>
        <w:tc>
          <w:tcPr>
            <w:tcW w:type="dxa" w:w="1160"/>
          </w:tcPr>
          <w:p>
            <w:r>
              <w:t>IACS Z (2005)</w:t>
            </w:r>
          </w:p>
        </w:tc>
      </w:tr>
      <w:tr>
        <w:trPr>
          <w:cantSplit/>
        </w:trPr>
        <w:tc>
          <w:tcPr>
            <w:tcW w:type="dxa" w:w="1650"/>
          </w:tcPr>
          <w:p>
            <w:r>
              <w:rPr>
                <w:b/>
              </w:rPr>
              <w:t>UR Z13</w:t>
            </w:r>
          </w:p>
        </w:tc>
        <w:tc>
          <w:tcPr>
            <w:tcW w:type="dxa" w:w="2550"/>
          </w:tcPr>
          <w:p>
            <w:r>
              <w:t>Unified Requirement Z13</w:t>
            </w:r>
          </w:p>
        </w:tc>
        <w:tc>
          <w:tcPr>
            <w:tcW w:type="dxa" w:w="4000"/>
          </w:tcPr>
          <w:p>
            <w:r>
              <w:t>Riparazioni e manutenzione durante il viaggio</w:t>
            </w:r>
          </w:p>
        </w:tc>
        <w:tc>
          <w:tcPr>
            <w:tcW w:type="dxa" w:w="1160"/>
          </w:tcPr>
          <w:p>
            <w:r>
              <w:t>IACS Z (2005)</w:t>
            </w:r>
          </w:p>
        </w:tc>
      </w:tr>
      <w:tr>
        <w:trPr>
          <w:cantSplit/>
        </w:trPr>
        <w:tc>
          <w:tcPr>
            <w:tcW w:type="dxa" w:w="1650"/>
          </w:tcPr>
          <w:p>
            <w:r>
              <w:rPr>
                <w:b/>
              </w:rPr>
              <w:t>UR Z17</w:t>
            </w:r>
          </w:p>
        </w:tc>
        <w:tc>
          <w:tcPr>
            <w:tcW w:type="dxa" w:w="2550"/>
          </w:tcPr>
          <w:p>
            <w:r>
              <w:t>Unified Requirement Z17</w:t>
            </w:r>
          </w:p>
        </w:tc>
        <w:tc>
          <w:tcPr>
            <w:tcW w:type="dxa" w:w="4000"/>
          </w:tcPr>
          <w:p>
            <w:r>
              <w:t>Requisiti per i fornitori di servizi (es. ditte di spessimetria)</w:t>
            </w:r>
          </w:p>
        </w:tc>
        <w:tc>
          <w:tcPr>
            <w:tcW w:type="dxa" w:w="1160"/>
          </w:tcPr>
          <w:p>
            <w:r>
              <w:t>IACS Z (2005)</w:t>
            </w:r>
          </w:p>
        </w:tc>
      </w:tr>
      <w:tr>
        <w:trPr>
          <w:cantSplit/>
        </w:trPr>
        <w:tc>
          <w:tcPr>
            <w:tcW w:type="dxa" w:w="1650"/>
          </w:tcPr>
          <w:p>
            <w:r>
              <w:rPr>
                <w:b/>
              </w:rPr>
              <w:t>UR Z20</w:t>
            </w:r>
          </w:p>
        </w:tc>
        <w:tc>
          <w:tcPr>
            <w:tcW w:type="dxa" w:w="2550"/>
          </w:tcPr>
          <w:p>
            <w:r>
              <w:t>Unified Requirement Z20</w:t>
            </w:r>
          </w:p>
        </w:tc>
        <w:tc>
          <w:tcPr>
            <w:tcW w:type="dxa" w:w="4000"/>
          </w:tcPr>
          <w:p>
            <w:r>
              <w:t>Manutenzione pianificata della macchina (PMS) al posto della visita continua</w:t>
            </w:r>
          </w:p>
        </w:tc>
        <w:tc>
          <w:tcPr>
            <w:tcW w:type="dxa" w:w="1160"/>
          </w:tcPr>
          <w:p>
            <w:r>
              <w:t>IACS Z (2005)</w:t>
            </w:r>
          </w:p>
        </w:tc>
      </w:tr>
      <w:tr>
        <w:trPr>
          <w:cantSplit/>
        </w:trPr>
        <w:tc>
          <w:tcPr>
            <w:tcW w:type="dxa" w:w="1650"/>
          </w:tcPr>
          <w:p>
            <w:r>
              <w:rPr>
                <w:b/>
              </w:rPr>
              <w:t>UR Z21</w:t>
            </w:r>
          </w:p>
        </w:tc>
        <w:tc>
          <w:tcPr>
            <w:tcW w:type="dxa" w:w="2550"/>
          </w:tcPr>
          <w:p>
            <w:r>
              <w:t>Unified Requirement Z21</w:t>
            </w:r>
          </w:p>
        </w:tc>
        <w:tc>
          <w:tcPr>
            <w:tcW w:type="dxa" w:w="4000"/>
          </w:tcPr>
          <w:p>
            <w:r>
              <w:t>Visite degli assi portaelica e degli assi intermedi</w:t>
            </w:r>
          </w:p>
        </w:tc>
        <w:tc>
          <w:tcPr>
            <w:tcW w:type="dxa" w:w="1160"/>
          </w:tcPr>
          <w:p>
            <w:r>
              <w:t>IACS Z (2005)</w:t>
            </w:r>
          </w:p>
        </w:tc>
      </w:tr>
      <w:tr>
        <w:trPr>
          <w:cantSplit/>
        </w:trPr>
        <w:tc>
          <w:tcPr>
            <w:tcW w:type="dxa" w:w="1650"/>
          </w:tcPr>
          <w:p>
            <w:r>
              <w:rPr>
                <w:b/>
              </w:rPr>
              <w:t>UR Z23</w:t>
            </w:r>
          </w:p>
        </w:tc>
        <w:tc>
          <w:tcPr>
            <w:tcW w:type="dxa" w:w="2550"/>
          </w:tcPr>
          <w:p>
            <w:r>
              <w:t>Unified Requirement Z23</w:t>
            </w:r>
          </w:p>
        </w:tc>
        <w:tc>
          <w:tcPr>
            <w:tcW w:type="dxa" w:w="4000"/>
          </w:tcPr>
          <w:p>
            <w:r>
              <w:t>Visita dello scafo durante la nuova costruzione</w:t>
            </w:r>
          </w:p>
        </w:tc>
        <w:tc>
          <w:tcPr>
            <w:tcW w:type="dxa" w:w="1160"/>
          </w:tcPr>
          <w:p>
            <w:r>
              <w:t>Rec. 47</w:t>
            </w:r>
          </w:p>
        </w:tc>
      </w:tr>
      <w:tr>
        <w:trPr>
          <w:cantSplit/>
        </w:trPr>
        <w:tc>
          <w:tcPr>
            <w:tcW w:type="dxa" w:w="1650"/>
          </w:tcPr>
          <w:p>
            <w:r>
              <w:rPr>
                <w:b/>
              </w:rPr>
              <w:t>UR Z3</w:t>
            </w:r>
          </w:p>
        </w:tc>
        <w:tc>
          <w:tcPr>
            <w:tcW w:type="dxa" w:w="2550"/>
          </w:tcPr>
          <w:p>
            <w:r>
              <w:t>Unified Requirement Z3</w:t>
            </w:r>
          </w:p>
        </w:tc>
        <w:tc>
          <w:tcPr>
            <w:tcW w:type="dxa" w:w="4000"/>
          </w:tcPr>
          <w:p>
            <w:r>
              <w:t>Visita periodica del fondo esterno e parti collegate (bacino o visita in acqua)</w:t>
            </w:r>
          </w:p>
        </w:tc>
        <w:tc>
          <w:tcPr>
            <w:tcW w:type="dxa" w:w="1160"/>
          </w:tcPr>
          <w:p>
            <w:r>
              <w:t>IACS Z (2005)</w:t>
            </w:r>
          </w:p>
        </w:tc>
      </w:tr>
      <w:tr>
        <w:trPr>
          <w:cantSplit/>
        </w:trPr>
        <w:tc>
          <w:tcPr>
            <w:tcW w:type="dxa" w:w="1650"/>
          </w:tcPr>
          <w:p>
            <w:r>
              <w:rPr>
                <w:b/>
              </w:rPr>
              <w:t>UR Z4</w:t>
            </w:r>
          </w:p>
        </w:tc>
        <w:tc>
          <w:tcPr>
            <w:tcW w:type="dxa" w:w="2550"/>
          </w:tcPr>
          <w:p>
            <w:r>
              <w:t>Unified Requirement Z4</w:t>
            </w:r>
          </w:p>
        </w:tc>
        <w:tc>
          <w:tcPr>
            <w:tcW w:type="dxa" w:w="4000"/>
          </w:tcPr>
          <w:p>
            <w:r>
              <w:t>Visite di coperchi e mastre dei boccaporti. CANCELLATO da IACS nel maggio 2013</w:t>
            </w:r>
          </w:p>
        </w:tc>
        <w:tc>
          <w:tcPr>
            <w:tcW w:type="dxa" w:w="1160"/>
          </w:tcPr>
          <w:p>
            <w:r>
              <w:t>IACS Z (2005)</w:t>
            </w:r>
          </w:p>
        </w:tc>
      </w:tr>
      <w:tr>
        <w:trPr>
          <w:cantSplit/>
        </w:trPr>
        <w:tc>
          <w:tcPr>
            <w:tcW w:type="dxa" w:w="1650"/>
          </w:tcPr>
          <w:p>
            <w:r>
              <w:rPr>
                <w:b/>
              </w:rPr>
              <w:t>UR Z6</w:t>
            </w:r>
          </w:p>
        </w:tc>
        <w:tc>
          <w:tcPr>
            <w:tcW w:type="dxa" w:w="2550"/>
          </w:tcPr>
          <w:p>
            <w:r>
              <w:t>Unified Requirement Z6</w:t>
            </w:r>
          </w:p>
        </w:tc>
        <w:tc>
          <w:tcPr>
            <w:tcW w:type="dxa" w:w="4000"/>
          </w:tcPr>
          <w:p>
            <w:r>
              <w:t>Sistema di visita continua dello scafo</w:t>
            </w:r>
          </w:p>
        </w:tc>
        <w:tc>
          <w:tcPr>
            <w:tcW w:type="dxa" w:w="1160"/>
          </w:tcPr>
          <w:p>
            <w:r>
              <w:t>IACS Z (2005)</w:t>
            </w:r>
          </w:p>
        </w:tc>
      </w:tr>
      <w:tr>
        <w:trPr>
          <w:cantSplit/>
        </w:trPr>
        <w:tc>
          <w:tcPr>
            <w:tcW w:type="dxa" w:w="1650"/>
          </w:tcPr>
          <w:p>
            <w:r>
              <w:rPr>
                <w:b/>
              </w:rPr>
              <w:t>UR Z7 / Z7.1</w:t>
            </w:r>
          </w:p>
        </w:tc>
        <w:tc>
          <w:tcPr>
            <w:tcW w:type="dxa" w:w="2550"/>
          </w:tcPr>
          <w:p>
            <w:r>
              <w:t>Unified Requirement Z7 / Z7.1</w:t>
            </w:r>
          </w:p>
        </w:tc>
        <w:tc>
          <w:tcPr>
            <w:tcW w:type="dxa" w:w="4000"/>
          </w:tcPr>
          <w:p>
            <w:r>
              <w:t>Visite di classe dello scafo in generale (Z7) e delle navi da carico secco (Z7.1)</w:t>
            </w:r>
          </w:p>
        </w:tc>
        <w:tc>
          <w:tcPr>
            <w:tcW w:type="dxa" w:w="1160"/>
          </w:tcPr>
          <w:p>
            <w:r>
              <w:t>IACS Z (2005)</w:t>
            </w:r>
          </w:p>
        </w:tc>
      </w:tr>
      <w:tr>
        <w:trPr>
          <w:cantSplit/>
        </w:trPr>
        <w:tc>
          <w:tcPr>
            <w:tcW w:type="dxa" w:w="1650"/>
          </w:tcPr>
          <w:p>
            <w:r>
              <w:rPr>
                <w:b/>
              </w:rPr>
              <w:t>UR Z8 / Z9</w:t>
            </w:r>
          </w:p>
        </w:tc>
        <w:tc>
          <w:tcPr>
            <w:tcW w:type="dxa" w:w="2550"/>
          </w:tcPr>
          <w:p>
            <w:r>
              <w:t>Unified Requirement Z8 / Z9</w:t>
            </w:r>
          </w:p>
        </w:tc>
        <w:tc>
          <w:tcPr>
            <w:tcW w:type="dxa" w:w="4000"/>
          </w:tcPr>
          <w:p>
            <w:r>
              <w:t>Rivestimenti protettivi delle cisterne di zavorra (Z8) e delle stive delle portarinfuse (Z9)</w:t>
            </w:r>
          </w:p>
        </w:tc>
        <w:tc>
          <w:tcPr>
            <w:tcW w:type="dxa" w:w="1160"/>
          </w:tcPr>
          <w:p>
            <w:r>
              <w:t>IACS Z (2005)</w:t>
            </w:r>
          </w:p>
        </w:tc>
      </w:tr>
    </w:tbl>
    <w:p/>
    <w:p>
      <w:pPr>
        <w:pStyle w:val="Heading2"/>
      </w:pPr>
      <w:r>
        <w:t>Risoluzioni e circolari IMO citate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1650"/>
        <w:gridCol w:w="2550"/>
        <w:gridCol w:w="4000"/>
        <w:gridCol w:w="1160"/>
      </w:tblGrid>
      <w:tr>
        <w:trPr>
          <w:tblHeader/>
          <w:cantSplit/>
        </w:trPr>
        <w:tc>
          <w:tcPr>
            <w:tcW w:type="dxa" w:w="1650"/>
            <w:shd w:val="clear" w:color="auto" w:fill="F2F2F2"/>
          </w:tcPr>
          <w:p>
            <w:r>
              <w:rPr>
                <w:b/>
              </w:rPr>
              <w:t>Sigla</w:t>
            </w:r>
          </w:p>
        </w:tc>
        <w:tc>
          <w:tcPr>
            <w:tcW w:type="dxa" w:w="2550"/>
            <w:shd w:val="clear" w:color="auto" w:fill="F2F2F2"/>
          </w:tcPr>
          <w:p>
            <w:r>
              <w:rPr>
                <w:b/>
              </w:rPr>
              <w:t>Per esteso</w:t>
            </w:r>
          </w:p>
        </w:tc>
        <w:tc>
          <w:tcPr>
            <w:tcW w:type="dxa" w:w="4000"/>
            <w:shd w:val="clear" w:color="auto" w:fill="F2F2F2"/>
          </w:tcPr>
          <w:p>
            <w:r>
              <w:rPr>
                <w:b/>
              </w:rPr>
              <w:t>Spiegazione in chiaro</w:t>
            </w:r>
          </w:p>
        </w:tc>
        <w:tc>
          <w:tcPr>
            <w:tcW w:type="dxa" w:w="1160"/>
            <w:shd w:val="clear" w:color="auto" w:fill="F2F2F2"/>
          </w:tcPr>
          <w:p>
            <w:r>
              <w:rPr>
                <w:b/>
              </w:rPr>
              <w:t>Lezioni / fonti</w:t>
            </w:r>
          </w:p>
        </w:tc>
      </w:tr>
      <w:tr>
        <w:trPr>
          <w:cantSplit/>
        </w:trPr>
        <w:tc>
          <w:tcPr>
            <w:tcW w:type="dxa" w:w="1650"/>
          </w:tcPr>
          <w:p>
            <w:r>
              <w:rPr>
                <w:b/>
              </w:rPr>
              <w:t>A.1049(27)</w:t>
            </w:r>
          </w:p>
        </w:tc>
        <w:tc>
          <w:tcPr>
            <w:tcW w:type="dxa" w:w="2550"/>
          </w:tcPr>
          <w:p>
            <w:r>
              <w:t>Risoluzione dell'Assemblea IMO, 2011</w:t>
            </w:r>
          </w:p>
        </w:tc>
        <w:tc>
          <w:tcPr>
            <w:tcW w:type="dxa" w:w="4000"/>
          </w:tcPr>
          <w:p>
            <w:r>
              <w:t>Adotta il 2011 ESP Code, il codice delle ispezioni rafforzate oggi in vigore</w:t>
            </w:r>
          </w:p>
        </w:tc>
        <w:tc>
          <w:tcPr>
            <w:tcW w:type="dxa" w:w="1160"/>
          </w:tcPr>
          <w:p>
            <w:r>
              <w:t>2.1.7, Approf.</w:t>
            </w:r>
          </w:p>
        </w:tc>
      </w:tr>
      <w:tr>
        <w:trPr>
          <w:cantSplit/>
        </w:trPr>
        <w:tc>
          <w:tcPr>
            <w:tcW w:type="dxa" w:w="1650"/>
          </w:tcPr>
          <w:p>
            <w:r>
              <w:rPr>
                <w:b/>
              </w:rPr>
              <w:t>A.1050(27)</w:t>
            </w:r>
          </w:p>
        </w:tc>
        <w:tc>
          <w:tcPr>
            <w:tcW w:type="dxa" w:w="2550"/>
          </w:tcPr>
          <w:p>
            <w:r>
              <w:t>Risoluzione dell'Assemblea IMO, 2011</w:t>
            </w:r>
          </w:p>
        </w:tc>
        <w:tc>
          <w:tcPr>
            <w:tcW w:type="dxa" w:w="4000"/>
          </w:tcPr>
          <w:p>
            <w:r>
              <w:t>Raccomandazioni sull'ingresso negli spazi chiusi, sostituite da MSC.581(110)</w:t>
            </w:r>
          </w:p>
        </w:tc>
        <w:tc>
          <w:tcPr>
            <w:tcW w:type="dxa" w:w="1160"/>
          </w:tcPr>
          <w:p>
            <w:r>
              <w:t>Ripasso*</w:t>
            </w:r>
          </w:p>
        </w:tc>
      </w:tr>
      <w:tr>
        <w:trPr>
          <w:cantSplit/>
        </w:trPr>
        <w:tc>
          <w:tcPr>
            <w:tcW w:type="dxa" w:w="1650"/>
          </w:tcPr>
          <w:p>
            <w:r>
              <w:rPr>
                <w:b/>
              </w:rPr>
              <w:t>A.744(18)</w:t>
            </w:r>
          </w:p>
        </w:tc>
        <w:tc>
          <w:tcPr>
            <w:tcW w:type="dxa" w:w="2550"/>
          </w:tcPr>
          <w:p>
            <w:r>
              <w:t>Risoluzione dell'Assemblea IMO, 1993</w:t>
            </w:r>
          </w:p>
        </w:tc>
        <w:tc>
          <w:tcPr>
            <w:tcW w:type="dxa" w:w="4000"/>
          </w:tcPr>
          <w:p>
            <w:r>
              <w:t>Prime linee guida sulle ispezioni rafforzate di portarinfuse e petroliere</w:t>
            </w:r>
          </w:p>
        </w:tc>
        <w:tc>
          <w:tcPr>
            <w:tcW w:type="dxa" w:w="1160"/>
          </w:tcPr>
          <w:p>
            <w:r>
              <w:t>Approf., IACS Z (2005)</w:t>
            </w:r>
          </w:p>
        </w:tc>
      </w:tr>
      <w:tr>
        <w:trPr>
          <w:cantSplit/>
        </w:trPr>
        <w:tc>
          <w:tcPr>
            <w:tcW w:type="dxa" w:w="1650"/>
          </w:tcPr>
          <w:p>
            <w:r>
              <w:rPr>
                <w:b/>
              </w:rPr>
              <w:t>MSC.1/Circ.1264/Rev.1 e 1358/Rev.1</w:t>
            </w:r>
          </w:p>
        </w:tc>
        <w:tc>
          <w:tcPr>
            <w:tcW w:type="dxa" w:w="2550"/>
          </w:tcPr>
          <w:p>
            <w:r>
              <w:t>Circolari MSC</w:t>
            </w:r>
          </w:p>
        </w:tc>
        <w:tc>
          <w:tcPr>
            <w:tcW w:type="dxa" w:w="4000"/>
          </w:tcPr>
          <w:p>
            <w:r>
              <w:t>Raccomandazioni IMO sulla fumigazione (uso sicuro dei pesticidi) a bordo; revisione allo studio</w:t>
            </w:r>
          </w:p>
        </w:tc>
        <w:tc>
          <w:tcPr>
            <w:tcW w:type="dxa" w:w="1160"/>
          </w:tcPr>
          <w:p>
            <w:r>
              <w:t>Ripasso*</w:t>
            </w:r>
          </w:p>
        </w:tc>
      </w:tr>
      <w:tr>
        <w:trPr>
          <w:cantSplit/>
        </w:trPr>
        <w:tc>
          <w:tcPr>
            <w:tcW w:type="dxa" w:w="1650"/>
          </w:tcPr>
          <w:p>
            <w:r>
              <w:rPr>
                <w:b/>
              </w:rPr>
              <w:t>MSC.1/Circ.1700</w:t>
            </w:r>
          </w:p>
        </w:tc>
        <w:tc>
          <w:tcPr>
            <w:tcW w:type="dxa" w:w="2550"/>
          </w:tcPr>
          <w:p>
            <w:r>
              <w:t>Circolare MSC</w:t>
            </w:r>
          </w:p>
        </w:tc>
        <w:tc>
          <w:tcPr>
            <w:tcW w:type="dxa" w:w="4000"/>
          </w:tcPr>
          <w:p>
            <w:r>
              <w:t>Linee guida sull'uso delle ispezioni a distanza (RIT) nelle visite ESP</w:t>
            </w:r>
          </w:p>
        </w:tc>
        <w:tc>
          <w:tcPr>
            <w:tcW w:type="dxa" w:w="1160"/>
          </w:tcPr>
          <w:p>
            <w:r>
              <w:t>Approf.</w:t>
            </w:r>
          </w:p>
        </w:tc>
      </w:tr>
      <w:tr>
        <w:trPr>
          <w:cantSplit/>
        </w:trPr>
        <w:tc>
          <w:tcPr>
            <w:tcW w:type="dxa" w:w="1650"/>
          </w:tcPr>
          <w:p>
            <w:r>
              <w:rPr>
                <w:b/>
              </w:rPr>
              <w:t>MSC.158(78)</w:t>
            </w:r>
          </w:p>
        </w:tc>
        <w:tc>
          <w:tcPr>
            <w:tcW w:type="dxa" w:w="2550"/>
          </w:tcPr>
          <w:p>
            <w:r>
              <w:t>Risoluzione MSC, 78ª sessione</w:t>
            </w:r>
          </w:p>
        </w:tc>
        <w:tc>
          <w:tcPr>
            <w:tcW w:type="dxa" w:w="4000"/>
          </w:tcPr>
          <w:p>
            <w:r>
              <w:t>Disposizioni tecniche sui mezzi di accesso per le ispezioni (SOLAS II-1/3-6); modifica sulle scale portatili in preparazione</w:t>
            </w:r>
          </w:p>
        </w:tc>
        <w:tc>
          <w:tcPr>
            <w:tcW w:type="dxa" w:w="1160"/>
          </w:tcPr>
          <w:p>
            <w:r>
              <w:t>Ripasso*</w:t>
            </w:r>
          </w:p>
        </w:tc>
      </w:tr>
      <w:tr>
        <w:trPr>
          <w:cantSplit/>
        </w:trPr>
        <w:tc>
          <w:tcPr>
            <w:tcW w:type="dxa" w:w="1650"/>
          </w:tcPr>
          <w:p>
            <w:r>
              <w:rPr>
                <w:b/>
              </w:rPr>
              <w:t>MSC.287(87)</w:t>
            </w:r>
          </w:p>
        </w:tc>
        <w:tc>
          <w:tcPr>
            <w:tcW w:type="dxa" w:w="2550"/>
          </w:tcPr>
          <w:p>
            <w:r>
              <w:t>Risoluzione MSC, 87ª sessione</w:t>
            </w:r>
          </w:p>
        </w:tc>
        <w:tc>
          <w:tcPr>
            <w:tcW w:type="dxa" w:w="4000"/>
          </w:tcPr>
          <w:p>
            <w:r>
              <w:t>Standard per obiettivi (GBS) per la costruzione di portarinfuse e petroliere</w:t>
            </w:r>
          </w:p>
        </w:tc>
        <w:tc>
          <w:tcPr>
            <w:tcW w:type="dxa" w:w="1160"/>
          </w:tcPr>
          <w:p>
            <w:r>
              <w:t>2.1.7</w:t>
            </w:r>
          </w:p>
        </w:tc>
      </w:tr>
      <w:tr>
        <w:trPr>
          <w:cantSplit/>
        </w:trPr>
        <w:tc>
          <w:tcPr>
            <w:tcW w:type="dxa" w:w="1650"/>
          </w:tcPr>
          <w:p>
            <w:r>
              <w:rPr>
                <w:b/>
              </w:rPr>
              <w:t>MSC.325(90)</w:t>
            </w:r>
          </w:p>
        </w:tc>
        <w:tc>
          <w:tcPr>
            <w:tcW w:type="dxa" w:w="2550"/>
          </w:tcPr>
          <w:p>
            <w:r>
              <w:t>Risoluzione MSC, 90ª sessione</w:t>
            </w:r>
          </w:p>
        </w:tc>
        <w:tc>
          <w:tcPr>
            <w:tcW w:type="dxa" w:w="4000"/>
          </w:tcPr>
          <w:p>
            <w:r>
              <w:t>Emendamento SOLAS che rende obbligatorio il 2011 ESP Code (data 1/1/2014 da confermare)</w:t>
            </w:r>
          </w:p>
        </w:tc>
        <w:tc>
          <w:tcPr>
            <w:tcW w:type="dxa" w:w="1160"/>
          </w:tcPr>
          <w:p>
            <w:r>
              <w:t>Approf.</w:t>
            </w:r>
          </w:p>
        </w:tc>
      </w:tr>
      <w:tr>
        <w:trPr>
          <w:cantSplit/>
        </w:trPr>
        <w:tc>
          <w:tcPr>
            <w:tcW w:type="dxa" w:w="1650"/>
          </w:tcPr>
          <w:p>
            <w:r>
              <w:rPr>
                <w:b/>
              </w:rPr>
              <w:t>MSC.525(106)</w:t>
            </w:r>
          </w:p>
        </w:tc>
        <w:tc>
          <w:tcPr>
            <w:tcW w:type="dxa" w:w="2550"/>
          </w:tcPr>
          <w:p>
            <w:r>
              <w:t>Risoluzione MSC, 106ª sessione</w:t>
            </w:r>
          </w:p>
        </w:tc>
        <w:tc>
          <w:tcPr>
            <w:tcW w:type="dxa" w:w="4000"/>
          </w:tcPr>
          <w:p>
            <w:r>
              <w:t>Emendamenti ESP dal 1/7/2024: cisterne con rivestimento meno che GOOD esaminate ogni anno</w:t>
            </w:r>
          </w:p>
        </w:tc>
        <w:tc>
          <w:tcPr>
            <w:tcW w:type="dxa" w:w="1160"/>
          </w:tcPr>
          <w:p>
            <w:r>
              <w:t>Approf.</w:t>
            </w:r>
          </w:p>
        </w:tc>
      </w:tr>
      <w:tr>
        <w:trPr>
          <w:cantSplit/>
        </w:trPr>
        <w:tc>
          <w:tcPr>
            <w:tcW w:type="dxa" w:w="1650"/>
          </w:tcPr>
          <w:p>
            <w:r>
              <w:rPr>
                <w:b/>
              </w:rPr>
              <w:t>MSC.532(107)</w:t>
            </w:r>
          </w:p>
        </w:tc>
        <w:tc>
          <w:tcPr>
            <w:tcW w:type="dxa" w:w="2550"/>
          </w:tcPr>
          <w:p>
            <w:r>
              <w:t>Risoluzione MSC, 107ª sessione</w:t>
            </w:r>
          </w:p>
        </w:tc>
        <w:tc>
          <w:tcPr>
            <w:tcW w:type="dxa" w:w="4000"/>
          </w:tcPr>
          <w:p>
            <w:r>
              <w:t>Emendamenti SOLAS dal 1/1/2026: inclinometri (V/19) e apparecchi di sollevamento (II-1/3-13)</w:t>
            </w:r>
          </w:p>
        </w:tc>
        <w:tc>
          <w:tcPr>
            <w:tcW w:type="dxa" w:w="1160"/>
          </w:tcPr>
          <w:p>
            <w:r>
              <w:t>Ripasso*</w:t>
            </w:r>
          </w:p>
        </w:tc>
      </w:tr>
      <w:tr>
        <w:trPr>
          <w:cantSplit/>
        </w:trPr>
        <w:tc>
          <w:tcPr>
            <w:tcW w:type="dxa" w:w="1650"/>
          </w:tcPr>
          <w:p>
            <w:r>
              <w:rPr>
                <w:b/>
              </w:rPr>
              <w:t>MSC.539(107)</w:t>
            </w:r>
          </w:p>
        </w:tc>
        <w:tc>
          <w:tcPr>
            <w:tcW w:type="dxa" w:w="2550"/>
          </w:tcPr>
          <w:p>
            <w:r>
              <w:t>Risoluzione MSC, 107ª sessione</w:t>
            </w:r>
          </w:p>
        </w:tc>
        <w:tc>
          <w:tcPr>
            <w:tcW w:type="dxa" w:w="4000"/>
          </w:tcPr>
          <w:p>
            <w:r>
              <w:t>Emendamento 07-23 al Codice IMSBC, in vigore dal 1/1/2025</w:t>
            </w:r>
          </w:p>
        </w:tc>
        <w:tc>
          <w:tcPr>
            <w:tcW w:type="dxa" w:w="1160"/>
          </w:tcPr>
          <w:p>
            <w:r>
              <w:t>Ripasso*</w:t>
            </w:r>
          </w:p>
        </w:tc>
      </w:tr>
      <w:tr>
        <w:trPr>
          <w:cantSplit/>
        </w:trPr>
        <w:tc>
          <w:tcPr>
            <w:tcW w:type="dxa" w:w="1650"/>
          </w:tcPr>
          <w:p>
            <w:r>
              <w:rPr>
                <w:b/>
              </w:rPr>
              <w:t>MSC.553(108)</w:t>
            </w:r>
          </w:p>
        </w:tc>
        <w:tc>
          <w:tcPr>
            <w:tcW w:type="dxa" w:w="2550"/>
          </w:tcPr>
          <w:p>
            <w:r>
              <w:t>Risoluzione MSC, 108ª sessione</w:t>
            </w:r>
          </w:p>
        </w:tc>
        <w:tc>
          <w:tcPr>
            <w:tcW w:type="dxa" w:w="4000"/>
          </w:tcPr>
          <w:p>
            <w:r>
              <w:t>Emendamenti ESP dal 1/1/2026: requisiti per le ditte che misurano gli spessori</w:t>
            </w:r>
          </w:p>
        </w:tc>
        <w:tc>
          <w:tcPr>
            <w:tcW w:type="dxa" w:w="1160"/>
          </w:tcPr>
          <w:p>
            <w:r>
              <w:t>Ripasso*, Approf.</w:t>
            </w:r>
          </w:p>
        </w:tc>
      </w:tr>
      <w:tr>
        <w:trPr>
          <w:cantSplit/>
        </w:trPr>
        <w:tc>
          <w:tcPr>
            <w:tcW w:type="dxa" w:w="1650"/>
          </w:tcPr>
          <w:p>
            <w:r>
              <w:rPr>
                <w:b/>
              </w:rPr>
              <w:t>MSC.575(110)</w:t>
            </w:r>
          </w:p>
        </w:tc>
        <w:tc>
          <w:tcPr>
            <w:tcW w:type="dxa" w:w="2550"/>
          </w:tcPr>
          <w:p>
            <w:r>
              <w:t>Risoluzione MSC, 110ª sessione</w:t>
            </w:r>
          </w:p>
        </w:tc>
        <w:tc>
          <w:tcPr>
            <w:tcW w:type="dxa" w:w="4000"/>
          </w:tcPr>
          <w:p>
            <w:r>
              <w:t>Emendamento 08-25 al Codice IMSBC, obbligatorio dal 1/1/2027</w:t>
            </w:r>
          </w:p>
        </w:tc>
        <w:tc>
          <w:tcPr>
            <w:tcW w:type="dxa" w:w="1160"/>
          </w:tcPr>
          <w:p>
            <w:r>
              <w:t>Ripasso*</w:t>
            </w:r>
          </w:p>
        </w:tc>
      </w:tr>
      <w:tr>
        <w:trPr>
          <w:cantSplit/>
        </w:trPr>
        <w:tc>
          <w:tcPr>
            <w:tcW w:type="dxa" w:w="1650"/>
          </w:tcPr>
          <w:p>
            <w:r>
              <w:rPr>
                <w:b/>
              </w:rPr>
              <w:t>MSC.581(110)</w:t>
            </w:r>
          </w:p>
        </w:tc>
        <w:tc>
          <w:tcPr>
            <w:tcW w:type="dxa" w:w="2550"/>
          </w:tcPr>
          <w:p>
            <w:r>
              <w:t>Risoluzione MSC, 110ª sessione</w:t>
            </w:r>
          </w:p>
        </w:tc>
        <w:tc>
          <w:tcPr>
            <w:tcW w:type="dxa" w:w="4000"/>
          </w:tcPr>
          <w:p>
            <w:r>
              <w:t>Nuove raccomandazioni per l'ingresso negli spazi chiusi (cisterne, stive)</w:t>
            </w:r>
          </w:p>
        </w:tc>
        <w:tc>
          <w:tcPr>
            <w:tcW w:type="dxa" w:w="1160"/>
          </w:tcPr>
          <w:p>
            <w:r>
              <w:t>Ripasso*, Approf.</w:t>
            </w:r>
          </w:p>
        </w:tc>
      </w:tr>
      <w:tr>
        <w:trPr>
          <w:cantSplit/>
        </w:trPr>
        <w:tc>
          <w:tcPr>
            <w:tcW w:type="dxa" w:w="1650"/>
          </w:tcPr>
          <w:p>
            <w:r>
              <w:rPr>
                <w:b/>
              </w:rPr>
              <w:t>MSC.584(111)</w:t>
            </w:r>
          </w:p>
        </w:tc>
        <w:tc>
          <w:tcPr>
            <w:tcW w:type="dxa" w:w="2550"/>
          </w:tcPr>
          <w:p>
            <w:r>
              <w:t>Risoluzione MSC, 111ª sessione</w:t>
            </w:r>
          </w:p>
        </w:tc>
        <w:tc>
          <w:tcPr>
            <w:tcW w:type="dxa" w:w="4000"/>
          </w:tcPr>
          <w:p>
            <w:r>
              <w:t>Emendamenti ESP dal 1/1/2028: ammesse le ispezioni a distanza (RIT)</w:t>
            </w:r>
          </w:p>
        </w:tc>
        <w:tc>
          <w:tcPr>
            <w:tcW w:type="dxa" w:w="1160"/>
          </w:tcPr>
          <w:p>
            <w:r>
              <w:t>Approf.</w:t>
            </w:r>
          </w:p>
        </w:tc>
      </w:tr>
    </w:tbl>
    <w:p/>
    <w:p>
      <w:pPr>
        <w:pStyle w:val="Heading2"/>
      </w:pPr>
      <w:r>
        <w:t>Simboli delle formule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1650"/>
        <w:gridCol w:w="2550"/>
        <w:gridCol w:w="4000"/>
        <w:gridCol w:w="1160"/>
      </w:tblGrid>
      <w:tr>
        <w:trPr>
          <w:tblHeader/>
          <w:cantSplit/>
        </w:trPr>
        <w:tc>
          <w:tcPr>
            <w:tcW w:type="dxa" w:w="1650"/>
            <w:shd w:val="clear" w:color="auto" w:fill="F2F2F2"/>
          </w:tcPr>
          <w:p>
            <w:r>
              <w:rPr>
                <w:b/>
              </w:rPr>
              <w:t>Sigla</w:t>
            </w:r>
          </w:p>
        </w:tc>
        <w:tc>
          <w:tcPr>
            <w:tcW w:type="dxa" w:w="2550"/>
            <w:shd w:val="clear" w:color="auto" w:fill="F2F2F2"/>
          </w:tcPr>
          <w:p>
            <w:r>
              <w:rPr>
                <w:b/>
              </w:rPr>
              <w:t>Per esteso</w:t>
            </w:r>
          </w:p>
        </w:tc>
        <w:tc>
          <w:tcPr>
            <w:tcW w:type="dxa" w:w="4000"/>
            <w:shd w:val="clear" w:color="auto" w:fill="F2F2F2"/>
          </w:tcPr>
          <w:p>
            <w:r>
              <w:rPr>
                <w:b/>
              </w:rPr>
              <w:t>Spiegazione in chiaro</w:t>
            </w:r>
          </w:p>
        </w:tc>
        <w:tc>
          <w:tcPr>
            <w:tcW w:type="dxa" w:w="1160"/>
            <w:shd w:val="clear" w:color="auto" w:fill="F2F2F2"/>
          </w:tcPr>
          <w:p>
            <w:r>
              <w:rPr>
                <w:b/>
              </w:rPr>
              <w:t>Lezioni / fonti</w:t>
            </w:r>
          </w:p>
        </w:tc>
      </w:tr>
      <w:tr>
        <w:trPr>
          <w:cantSplit/>
        </w:trPr>
        <w:tc>
          <w:tcPr>
            <w:tcW w:type="dxa" w:w="1650"/>
          </w:tcPr>
          <w:p>
            <w:r>
              <w:rPr>
                <w:b/>
              </w:rPr>
              <w:t>B</w:t>
            </w:r>
          </w:p>
        </w:tc>
        <w:tc>
          <w:tcPr>
            <w:tcW w:type="dxa" w:w="2550"/>
          </w:tcPr>
          <w:p>
            <w:r>
              <w:t>Centro di carena / larghezza</w:t>
            </w:r>
          </w:p>
        </w:tc>
        <w:tc>
          <w:tcPr>
            <w:tcW w:type="dxa" w:w="4000"/>
          </w:tcPr>
          <w:p>
            <w:r>
              <w:t>In stabilità: punto in cui agisce la spinta (U.D. 2.1.4.2). In robustezza: larghezza della nave (U.D. 2.2.1, Approfondimento)</w:t>
            </w:r>
          </w:p>
        </w:tc>
        <w:tc>
          <w:tcPr>
            <w:tcW w:type="dxa" w:w="1160"/>
          </w:tcPr>
          <w:p>
            <w:r>
              <w:t>2.1.4.2, 2.1.7, 2.2.1, Ripasso*, Approf.</w:t>
            </w:r>
          </w:p>
        </w:tc>
      </w:tr>
      <w:tr>
        <w:trPr>
          <w:cantSplit/>
        </w:trPr>
        <w:tc>
          <w:tcPr>
            <w:tcW w:type="dxa" w:w="1650"/>
          </w:tcPr>
          <w:p>
            <w:r>
              <w:rPr>
                <w:b/>
              </w:rPr>
              <w:t>C</w:t>
            </w:r>
          </w:p>
        </w:tc>
        <w:tc>
          <w:tcPr>
            <w:tcW w:type="dxa" w:w="2550"/>
          </w:tcPr>
          <w:p>
            <w:r>
              <w:t>Coefficiente d'onda</w:t>
            </w:r>
          </w:p>
        </w:tc>
        <w:tc>
          <w:tcPr>
            <w:tcW w:type="dxa" w:w="4000"/>
          </w:tcPr>
          <w:p>
            <w:r>
              <w:t>Numero della formula del momento d'onda (UR S11), dipende dalla lunghezza</w:t>
            </w:r>
          </w:p>
        </w:tc>
        <w:tc>
          <w:tcPr>
            <w:tcW w:type="dxa" w:w="1160"/>
          </w:tcPr>
          <w:p>
            <w:r>
              <w:t>2.2.1</w:t>
            </w:r>
          </w:p>
        </w:tc>
      </w:tr>
      <w:tr>
        <w:trPr>
          <w:cantSplit/>
        </w:trPr>
        <w:tc>
          <w:tcPr>
            <w:tcW w:type="dxa" w:w="1650"/>
          </w:tcPr>
          <w:p>
            <w:r>
              <w:rPr>
                <w:b/>
              </w:rPr>
              <w:t>Cb</w:t>
            </w:r>
          </w:p>
        </w:tc>
        <w:tc>
          <w:tcPr>
            <w:tcW w:type="dxa" w:w="2550"/>
          </w:tcPr>
          <w:p>
            <w:r>
              <w:t>Coefficiente di blocco</w:t>
            </w:r>
          </w:p>
        </w:tc>
        <w:tc>
          <w:tcPr>
            <w:tcW w:type="dxa" w:w="4000"/>
          </w:tcPr>
          <w:p>
            <w:r>
              <w:t>Quanto la carena "riempie" il parallelepipedo L × B × immersione</w:t>
            </w:r>
          </w:p>
        </w:tc>
        <w:tc>
          <w:tcPr>
            <w:tcW w:type="dxa" w:w="1160"/>
          </w:tcPr>
          <w:p>
            <w:r>
              <w:t>2.2.1</w:t>
            </w:r>
          </w:p>
        </w:tc>
      </w:tr>
      <w:tr>
        <w:trPr>
          <w:cantSplit/>
        </w:trPr>
        <w:tc>
          <w:tcPr>
            <w:tcW w:type="dxa" w:w="1650"/>
          </w:tcPr>
          <w:p>
            <w:r>
              <w:rPr>
                <w:b/>
              </w:rPr>
              <w:t>D</w:t>
            </w:r>
          </w:p>
        </w:tc>
        <w:tc>
          <w:tcPr>
            <w:tcW w:type="dxa" w:w="2550"/>
          </w:tcPr>
          <w:p>
            <w:r>
              <w:t>Altezza di costruzione</w:t>
            </w:r>
          </w:p>
        </w:tc>
        <w:tc>
          <w:tcPr>
            <w:tcW w:type="dxa" w:w="4000"/>
          </w:tcPr>
          <w:p>
            <w:r>
              <w:t>Altezza della sezione dal fondo al ponte (sezione didattica: 18 m)</w:t>
            </w:r>
          </w:p>
        </w:tc>
        <w:tc>
          <w:tcPr>
            <w:tcW w:type="dxa" w:w="1160"/>
          </w:tcPr>
          <w:p>
            <w:r>
              <w:t>Approf.</w:t>
            </w:r>
          </w:p>
        </w:tc>
      </w:tr>
      <w:tr>
        <w:trPr>
          <w:cantSplit/>
        </w:trPr>
        <w:tc>
          <w:tcPr>
            <w:tcW w:type="dxa" w:w="1650"/>
          </w:tcPr>
          <w:p>
            <w:r>
              <w:rPr>
                <w:b/>
              </w:rPr>
              <w:t>G</w:t>
            </w:r>
          </w:p>
        </w:tc>
        <w:tc>
          <w:tcPr>
            <w:tcW w:type="dxa" w:w="2550"/>
          </w:tcPr>
          <w:p>
            <w:r>
              <w:t>Baricentro</w:t>
            </w:r>
          </w:p>
        </w:tc>
        <w:tc>
          <w:tcPr>
            <w:tcW w:type="dxa" w:w="4000"/>
          </w:tcPr>
          <w:p>
            <w:r>
              <w:t>Punto in cui agisce il peso di nave e carico; lo stivaggio lo alza o lo abbassa</w:t>
            </w:r>
          </w:p>
        </w:tc>
        <w:tc>
          <w:tcPr>
            <w:tcW w:type="dxa" w:w="1160"/>
          </w:tcPr>
          <w:p>
            <w:r>
              <w:t>2.1.4.2, 2.1.7, 2.2.1</w:t>
            </w:r>
          </w:p>
        </w:tc>
      </w:tr>
      <w:tr>
        <w:trPr>
          <w:cantSplit/>
        </w:trPr>
        <w:tc>
          <w:tcPr>
            <w:tcW w:type="dxa" w:w="1650"/>
          </w:tcPr>
          <w:p>
            <w:r>
              <w:rPr>
                <w:b/>
              </w:rPr>
              <w:t>g</w:t>
            </w:r>
          </w:p>
        </w:tc>
        <w:tc>
          <w:tcPr>
            <w:tcW w:type="dxa" w:w="2550"/>
          </w:tcPr>
          <w:p>
            <w:r>
              <w:t>Accelerazione di gravità</w:t>
            </w:r>
          </w:p>
        </w:tc>
        <w:tc>
          <w:tcPr>
            <w:tcW w:type="dxa" w:w="4000"/>
          </w:tcPr>
          <w:p>
            <w:r>
              <w:t>9,81 m/s²: trasforma una massa (t) in una forza (kN)</w:t>
            </w:r>
          </w:p>
        </w:tc>
        <w:tc>
          <w:tcPr>
            <w:tcW w:type="dxa" w:w="1160"/>
          </w:tcPr>
          <w:p>
            <w:r>
              <w:t>2.1.4.2</w:t>
            </w:r>
          </w:p>
        </w:tc>
      </w:tr>
      <w:tr>
        <w:trPr>
          <w:cantSplit/>
        </w:trPr>
        <w:tc>
          <w:tcPr>
            <w:tcW w:type="dxa" w:w="1650"/>
          </w:tcPr>
          <w:p>
            <w:r>
              <w:rPr>
                <w:b/>
              </w:rPr>
              <w:t>I</w:t>
            </w:r>
          </w:p>
        </w:tc>
        <w:tc>
          <w:tcPr>
            <w:tcW w:type="dxa" w:w="2550"/>
          </w:tcPr>
          <w:p>
            <w:r>
              <w:t>Momento d'inerzia</w:t>
            </w:r>
          </w:p>
        </w:tc>
        <w:tc>
          <w:tcPr>
            <w:tcW w:type="dxa" w:w="4000"/>
          </w:tcPr>
          <w:p>
            <w:r>
              <w:t>Quanto la sezione resiste a piegarsi; cresce con il materiale lontano dall'asse neutro</w:t>
            </w:r>
          </w:p>
        </w:tc>
        <w:tc>
          <w:tcPr>
            <w:tcW w:type="dxa" w:w="1160"/>
          </w:tcPr>
          <w:p>
            <w:r>
              <w:t>Approf.</w:t>
            </w:r>
          </w:p>
        </w:tc>
      </w:tr>
      <w:tr>
        <w:trPr>
          <w:cantSplit/>
        </w:trPr>
        <w:tc>
          <w:tcPr>
            <w:tcW w:type="dxa" w:w="1650"/>
          </w:tcPr>
          <w:p>
            <w:r>
              <w:rPr>
                <w:b/>
              </w:rPr>
              <w:t>k</w:t>
            </w:r>
          </w:p>
        </w:tc>
        <w:tc>
          <w:tcPr>
            <w:tcW w:type="dxa" w:w="2550"/>
          </w:tcPr>
          <w:p>
            <w:r>
              <w:t>Fattore del materiale</w:t>
            </w:r>
          </w:p>
        </w:tc>
        <w:tc>
          <w:tcPr>
            <w:tcW w:type="dxa" w:w="4000"/>
          </w:tcPr>
          <w:p>
            <w:r>
              <w:t>1 per acciaio normale, meno di 1 per acciaio ad alta resistenza; riduce gli spessori richiesti</w:t>
            </w:r>
          </w:p>
        </w:tc>
        <w:tc>
          <w:tcPr>
            <w:tcW w:type="dxa" w:w="1160"/>
          </w:tcPr>
          <w:p>
            <w:r>
              <w:t>2.2.1, Approf.</w:t>
            </w:r>
          </w:p>
        </w:tc>
      </w:tr>
      <w:tr>
        <w:trPr>
          <w:cantSplit/>
        </w:trPr>
        <w:tc>
          <w:tcPr>
            <w:tcW w:type="dxa" w:w="1650"/>
          </w:tcPr>
          <w:p>
            <w:r>
              <w:rPr>
                <w:b/>
              </w:rPr>
              <w:t>L</w:t>
            </w:r>
          </w:p>
        </w:tc>
        <w:tc>
          <w:tcPr>
            <w:tcW w:type="dxa" w:w="2550"/>
          </w:tcPr>
          <w:p>
            <w:r>
              <w:t>Lunghezza di regola</w:t>
            </w:r>
          </w:p>
        </w:tc>
        <w:tc>
          <w:tcPr>
            <w:tcW w:type="dxa" w:w="4000"/>
          </w:tcPr>
          <w:p>
            <w:r>
              <w:t>Lunghezza della nave usata nelle formule delle regole, in metri</w:t>
            </w:r>
          </w:p>
        </w:tc>
        <w:tc>
          <w:tcPr>
            <w:tcW w:type="dxa" w:w="1160"/>
          </w:tcPr>
          <w:p>
            <w:r>
              <w:t>2.2.1</w:t>
            </w:r>
          </w:p>
        </w:tc>
      </w:tr>
      <w:tr>
        <w:trPr>
          <w:cantSplit/>
        </w:trPr>
        <w:tc>
          <w:tcPr>
            <w:tcW w:type="dxa" w:w="1650"/>
          </w:tcPr>
          <w:p>
            <w:r>
              <w:rPr>
                <w:b/>
              </w:rPr>
              <w:t>M</w:t>
            </w:r>
          </w:p>
        </w:tc>
        <w:tc>
          <w:tcPr>
            <w:tcW w:type="dxa" w:w="2550"/>
          </w:tcPr>
          <w:p>
            <w:r>
              <w:t>Metacentro / fattore di distribuzione / momento</w:t>
            </w:r>
          </w:p>
        </w:tc>
        <w:tc>
          <w:tcPr>
            <w:tcW w:type="dxa" w:w="4000"/>
          </w:tcPr>
          <w:p>
            <w:r>
              <w:t>Stabilità: metacentro (2.1.4.2). UR S11: fattore che riduce il momento d'onda alle estremità (2.2.1). In σ = M/Z: momento flettente</w:t>
            </w:r>
          </w:p>
        </w:tc>
        <w:tc>
          <w:tcPr>
            <w:tcW w:type="dxa" w:w="1160"/>
          </w:tcPr>
          <w:p>
            <w:r>
              <w:t>2.1.4.2, 2.1.7, 2.2.1, Approf.</w:t>
            </w:r>
          </w:p>
        </w:tc>
      </w:tr>
      <w:tr>
        <w:trPr>
          <w:cantSplit/>
        </w:trPr>
        <w:tc>
          <w:tcPr>
            <w:tcW w:type="dxa" w:w="1650"/>
          </w:tcPr>
          <w:p>
            <w:r>
              <w:rPr>
                <w:b/>
              </w:rPr>
              <w:t>q</w:t>
            </w:r>
          </w:p>
        </w:tc>
        <w:tc>
          <w:tcPr>
            <w:tcW w:type="dxa" w:w="2550"/>
          </w:tcPr>
          <w:p>
            <w:r>
              <w:t>Flusso di taglio</w:t>
            </w:r>
          </w:p>
        </w:tc>
        <w:tc>
          <w:tcPr>
            <w:tcW w:type="dxa" w:w="4000"/>
          </w:tcPr>
          <w:p>
            <w:r>
              <w:t>Forza di taglio per metro di lamiera (kN/m): q = τ · t</w:t>
            </w:r>
          </w:p>
        </w:tc>
        <w:tc>
          <w:tcPr>
            <w:tcW w:type="dxa" w:w="1160"/>
          </w:tcPr>
          <w:p>
            <w:r>
              <w:t>Approf.</w:t>
            </w:r>
          </w:p>
        </w:tc>
      </w:tr>
      <w:tr>
        <w:trPr>
          <w:cantSplit/>
        </w:trPr>
        <w:tc>
          <w:tcPr>
            <w:tcW w:type="dxa" w:w="1650"/>
          </w:tcPr>
          <w:p>
            <w:r>
              <w:rPr>
                <w:b/>
              </w:rPr>
              <w:t>Q</w:t>
            </w:r>
          </w:p>
        </w:tc>
        <w:tc>
          <w:tcPr>
            <w:tcW w:type="dxa" w:w="2550"/>
          </w:tcPr>
          <w:p>
            <w:r>
              <w:t>Momento statico</w:t>
            </w:r>
          </w:p>
        </w:tc>
        <w:tc>
          <w:tcPr>
            <w:tcW w:type="dxa" w:w="4000"/>
          </w:tcPr>
          <w:p>
            <w:r>
              <w:t>Somma di area × distanza dall'asse neutro della parte di sezione "tagliata"</w:t>
            </w:r>
          </w:p>
        </w:tc>
        <w:tc>
          <w:tcPr>
            <w:tcW w:type="dxa" w:w="1160"/>
          </w:tcPr>
          <w:p>
            <w:r>
              <w:t>Approf.</w:t>
            </w:r>
          </w:p>
        </w:tc>
      </w:tr>
      <w:tr>
        <w:trPr>
          <w:cantSplit/>
        </w:trPr>
        <w:tc>
          <w:tcPr>
            <w:tcW w:type="dxa" w:w="1650"/>
          </w:tcPr>
          <w:p>
            <w:r>
              <w:rPr>
                <w:b/>
              </w:rPr>
              <w:t>t</w:t>
            </w:r>
          </w:p>
        </w:tc>
        <w:tc>
          <w:tcPr>
            <w:tcW w:type="dxa" w:w="2550"/>
          </w:tcPr>
          <w:p>
            <w:r>
              <w:t>Spessore / tonnellata</w:t>
            </w:r>
          </w:p>
        </w:tc>
        <w:tc>
          <w:tcPr>
            <w:tcW w:type="dxa" w:w="4000"/>
          </w:tcPr>
          <w:p>
            <w:r>
              <w:t>Nelle formule di taglio: spessore della lamiera. Nelle unità: tonnellata</w:t>
            </w:r>
          </w:p>
        </w:tc>
        <w:tc>
          <w:tcPr>
            <w:tcW w:type="dxa" w:w="1160"/>
          </w:tcPr>
          <w:p>
            <w:r>
              <w:t>2.1.4.2, 2.1.7, 2.2.1, Approf.</w:t>
            </w:r>
          </w:p>
        </w:tc>
      </w:tr>
      <w:tr>
        <w:trPr>
          <w:cantSplit/>
        </w:trPr>
        <w:tc>
          <w:tcPr>
            <w:tcW w:type="dxa" w:w="1650"/>
          </w:tcPr>
          <w:p>
            <w:r>
              <w:rPr>
                <w:b/>
              </w:rPr>
              <w:t>Z</w:t>
            </w:r>
          </w:p>
        </w:tc>
        <w:tc>
          <w:tcPr>
            <w:tcW w:type="dxa" w:w="2550"/>
          </w:tcPr>
          <w:p>
            <w:r>
              <w:t>Modulo di resistenza</w:t>
            </w:r>
          </w:p>
        </w:tc>
        <w:tc>
          <w:tcPr>
            <w:tcW w:type="dxa" w:w="4000"/>
          </w:tcPr>
          <w:p>
            <w:r>
              <w:t>Dice quanta tensione nasce nel ponte o nel fondo per un dato momento: σ = M / Z</w:t>
            </w:r>
          </w:p>
        </w:tc>
        <w:tc>
          <w:tcPr>
            <w:tcW w:type="dxa" w:w="1160"/>
          </w:tcPr>
          <w:p>
            <w:r>
              <w:t>2.1.4.2, 2.1.7, 2.2.1, Approf.</w:t>
            </w:r>
          </w:p>
        </w:tc>
      </w:tr>
      <w:tr>
        <w:trPr>
          <w:cantSplit/>
        </w:trPr>
        <w:tc>
          <w:tcPr>
            <w:tcW w:type="dxa" w:w="1650"/>
          </w:tcPr>
          <w:p>
            <w:r>
              <w:rPr>
                <w:b/>
              </w:rPr>
              <w:t>σ</w:t>
            </w:r>
          </w:p>
        </w:tc>
        <w:tc>
          <w:tcPr>
            <w:tcW w:type="dxa" w:w="2550"/>
          </w:tcPr>
          <w:p>
            <w:r>
              <w:t>Sigma, tensione normale</w:t>
            </w:r>
          </w:p>
        </w:tc>
        <w:tc>
          <w:tcPr>
            <w:tcW w:type="dxa" w:w="4000"/>
          </w:tcPr>
          <w:p>
            <w:r>
              <w:t>Trazione o compressione dovuta alla flessione, in N/mm²</w:t>
            </w:r>
          </w:p>
        </w:tc>
        <w:tc>
          <w:tcPr>
            <w:tcW w:type="dxa" w:w="1160"/>
          </w:tcPr>
          <w:p>
            <w:r>
              <w:t>2.2.1, Approf.</w:t>
            </w:r>
          </w:p>
        </w:tc>
      </w:tr>
      <w:tr>
        <w:trPr>
          <w:cantSplit/>
        </w:trPr>
        <w:tc>
          <w:tcPr>
            <w:tcW w:type="dxa" w:w="1650"/>
          </w:tcPr>
          <w:p>
            <w:r>
              <w:rPr>
                <w:b/>
              </w:rPr>
              <w:t>σ eq</w:t>
            </w:r>
          </w:p>
        </w:tc>
        <w:tc>
          <w:tcPr>
            <w:tcW w:type="dxa" w:w="2550"/>
          </w:tcPr>
          <w:p>
            <w:r>
              <w:t>Tensione equivalente di von Mises</w:t>
            </w:r>
          </w:p>
        </w:tc>
        <w:tc>
          <w:tcPr>
            <w:tcW w:type="dxa" w:w="4000"/>
          </w:tcPr>
          <w:p>
            <w:r>
              <w:t>Combina σ e τ in un solo valore: √(σ² + 3τ²)</w:t>
            </w:r>
          </w:p>
        </w:tc>
        <w:tc>
          <w:tcPr>
            <w:tcW w:type="dxa" w:w="1160"/>
          </w:tcPr>
          <w:p>
            <w:r>
              <w:t>Approf.</w:t>
            </w:r>
          </w:p>
        </w:tc>
      </w:tr>
      <w:tr>
        <w:trPr>
          <w:cantSplit/>
        </w:trPr>
        <w:tc>
          <w:tcPr>
            <w:tcW w:type="dxa" w:w="1650"/>
          </w:tcPr>
          <w:p>
            <w:r>
              <w:rPr>
                <w:b/>
              </w:rPr>
              <w:t>τ</w:t>
            </w:r>
          </w:p>
        </w:tc>
        <w:tc>
          <w:tcPr>
            <w:tcW w:type="dxa" w:w="2550"/>
          </w:tcPr>
          <w:p>
            <w:r>
              <w:t>Tau, tensione tangenziale</w:t>
            </w:r>
          </w:p>
        </w:tc>
        <w:tc>
          <w:tcPr>
            <w:tcW w:type="dxa" w:w="4000"/>
          </w:tcPr>
          <w:p>
            <w:r>
              <w:t>Tensione di taglio nella lamiera: τ = SF · Q / (I · t)</w:t>
            </w:r>
          </w:p>
        </w:tc>
        <w:tc>
          <w:tcPr>
            <w:tcW w:type="dxa" w:w="1160"/>
          </w:tcPr>
          <w:p>
            <w:r>
              <w:t>Approf.</w:t>
            </w:r>
          </w:p>
        </w:tc>
      </w:tr>
    </w:tbl>
    <w:p/>
    <w:p>
      <w:pPr>
        <w:pStyle w:val="Heading2"/>
      </w:pPr>
      <w:r>
        <w:t>Unità di misura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1650"/>
        <w:gridCol w:w="2550"/>
        <w:gridCol w:w="4000"/>
        <w:gridCol w:w="1160"/>
      </w:tblGrid>
      <w:tr>
        <w:trPr>
          <w:tblHeader/>
          <w:cantSplit/>
        </w:trPr>
        <w:tc>
          <w:tcPr>
            <w:tcW w:type="dxa" w:w="1650"/>
            <w:shd w:val="clear" w:color="auto" w:fill="F2F2F2"/>
          </w:tcPr>
          <w:p>
            <w:r>
              <w:rPr>
                <w:b/>
              </w:rPr>
              <w:t>Sigla</w:t>
            </w:r>
          </w:p>
        </w:tc>
        <w:tc>
          <w:tcPr>
            <w:tcW w:type="dxa" w:w="2550"/>
            <w:shd w:val="clear" w:color="auto" w:fill="F2F2F2"/>
          </w:tcPr>
          <w:p>
            <w:r>
              <w:rPr>
                <w:b/>
              </w:rPr>
              <w:t>Per esteso</w:t>
            </w:r>
          </w:p>
        </w:tc>
        <w:tc>
          <w:tcPr>
            <w:tcW w:type="dxa" w:w="4000"/>
            <w:shd w:val="clear" w:color="auto" w:fill="F2F2F2"/>
          </w:tcPr>
          <w:p>
            <w:r>
              <w:rPr>
                <w:b/>
              </w:rPr>
              <w:t>Spiegazione in chiaro</w:t>
            </w:r>
          </w:p>
        </w:tc>
        <w:tc>
          <w:tcPr>
            <w:tcW w:type="dxa" w:w="1160"/>
            <w:shd w:val="clear" w:color="auto" w:fill="F2F2F2"/>
          </w:tcPr>
          <w:p>
            <w:r>
              <w:rPr>
                <w:b/>
              </w:rPr>
              <w:t>Lezioni / fonti</w:t>
            </w:r>
          </w:p>
        </w:tc>
      </w:tr>
      <w:tr>
        <w:trPr>
          <w:cantSplit/>
        </w:trPr>
        <w:tc>
          <w:tcPr>
            <w:tcW w:type="dxa" w:w="1650"/>
          </w:tcPr>
          <w:p>
            <w:r>
              <w:rPr>
                <w:b/>
              </w:rPr>
              <w:t>kN</w:t>
            </w:r>
          </w:p>
        </w:tc>
        <w:tc>
          <w:tcPr>
            <w:tcW w:type="dxa" w:w="2550"/>
          </w:tcPr>
          <w:p>
            <w:r>
              <w:t>Kilonewton</w:t>
            </w:r>
          </w:p>
        </w:tc>
        <w:tc>
          <w:tcPr>
            <w:tcW w:type="dxa" w:w="4000"/>
          </w:tcPr>
          <w:p>
            <w:r>
              <w:t>Forza: 1 t di peso ≈ 9,81 kN</w:t>
            </w:r>
          </w:p>
        </w:tc>
        <w:tc>
          <w:tcPr>
            <w:tcW w:type="dxa" w:w="1160"/>
          </w:tcPr>
          <w:p>
            <w:r>
              <w:t>2.1.4.2, 2.2.1, Approf.</w:t>
            </w:r>
          </w:p>
        </w:tc>
      </w:tr>
      <w:tr>
        <w:trPr>
          <w:cantSplit/>
        </w:trPr>
        <w:tc>
          <w:tcPr>
            <w:tcW w:type="dxa" w:w="1650"/>
          </w:tcPr>
          <w:p>
            <w:r>
              <w:rPr>
                <w:b/>
              </w:rPr>
              <w:t>kN/m</w:t>
            </w:r>
          </w:p>
        </w:tc>
        <w:tc>
          <w:tcPr>
            <w:tcW w:type="dxa" w:w="2550"/>
          </w:tcPr>
          <w:p>
            <w:r>
              <w:t>Kilonewton al metro</w:t>
            </w:r>
          </w:p>
        </w:tc>
        <w:tc>
          <w:tcPr>
            <w:tcW w:type="dxa" w:w="4000"/>
          </w:tcPr>
          <w:p>
            <w:r>
              <w:t>Flusso di taglio</w:t>
            </w:r>
          </w:p>
        </w:tc>
        <w:tc>
          <w:tcPr>
            <w:tcW w:type="dxa" w:w="1160"/>
          </w:tcPr>
          <w:p>
            <w:r>
              <w:t>Approf.</w:t>
            </w:r>
          </w:p>
        </w:tc>
      </w:tr>
      <w:tr>
        <w:trPr>
          <w:cantSplit/>
        </w:trPr>
        <w:tc>
          <w:tcPr>
            <w:tcW w:type="dxa" w:w="1650"/>
          </w:tcPr>
          <w:p>
            <w:r>
              <w:rPr>
                <w:b/>
              </w:rPr>
              <w:t>mm</w:t>
            </w:r>
          </w:p>
        </w:tc>
        <w:tc>
          <w:tcPr>
            <w:tcW w:type="dxa" w:w="2550"/>
          </w:tcPr>
          <w:p>
            <w:r>
              <w:t>Millimetro</w:t>
            </w:r>
          </w:p>
        </w:tc>
        <w:tc>
          <w:tcPr>
            <w:tcW w:type="dxa" w:w="4000"/>
          </w:tcPr>
          <w:p>
            <w:r>
              <w:t>Spessori e altezze delle mastre (600 e 450 mm)</w:t>
            </w:r>
          </w:p>
        </w:tc>
        <w:tc>
          <w:tcPr>
            <w:tcW w:type="dxa" w:w="1160"/>
          </w:tcPr>
          <w:p>
            <w:r>
              <w:t>2.1.4.2, 2.1.7, Approf.</w:t>
            </w:r>
          </w:p>
        </w:tc>
      </w:tr>
      <w:tr>
        <w:trPr>
          <w:cantSplit/>
        </w:trPr>
        <w:tc>
          <w:tcPr>
            <w:tcW w:type="dxa" w:w="1650"/>
          </w:tcPr>
          <w:p>
            <w:r>
              <w:rPr>
                <w:b/>
              </w:rPr>
              <w:t>m³, m⁴</w:t>
            </w:r>
          </w:p>
        </w:tc>
        <w:tc>
          <w:tcPr>
            <w:tcW w:type="dxa" w:w="2550"/>
          </w:tcPr>
          <w:p>
            <w:r>
              <w:t>Metri cubi, metri alla quarta</w:t>
            </w:r>
          </w:p>
        </w:tc>
        <w:tc>
          <w:tcPr>
            <w:tcW w:type="dxa" w:w="4000"/>
          </w:tcPr>
          <w:p>
            <w:r>
              <w:t>Momento statico e modulo di resistenza (m³); momento d'inerzia (m⁴)</w:t>
            </w:r>
          </w:p>
        </w:tc>
        <w:tc>
          <w:tcPr>
            <w:tcW w:type="dxa" w:w="1160"/>
          </w:tcPr>
          <w:p>
            <w:r>
              <w:t>Approf.</w:t>
            </w:r>
          </w:p>
        </w:tc>
      </w:tr>
      <w:tr>
        <w:trPr>
          <w:cantSplit/>
        </w:trPr>
        <w:tc>
          <w:tcPr>
            <w:tcW w:type="dxa" w:w="1650"/>
          </w:tcPr>
          <w:p>
            <w:r>
              <w:rPr>
                <w:b/>
              </w:rPr>
              <w:t>m³/t</w:t>
            </w:r>
          </w:p>
        </w:tc>
        <w:tc>
          <w:tcPr>
            <w:tcW w:type="dxa" w:w="2550"/>
          </w:tcPr>
          <w:p>
            <w:r>
              <w:t>Metri cubi per tonnellata</w:t>
            </w:r>
          </w:p>
        </w:tc>
        <w:tc>
          <w:tcPr>
            <w:tcW w:type="dxa" w:w="4000"/>
          </w:tcPr>
          <w:p>
            <w:r>
              <w:t>Unità del fattore di stivaggio</w:t>
            </w:r>
          </w:p>
        </w:tc>
        <w:tc>
          <w:tcPr>
            <w:tcW w:type="dxa" w:w="1160"/>
          </w:tcPr>
          <w:p>
            <w:r>
              <w:t>2.1.7</w:t>
            </w:r>
          </w:p>
        </w:tc>
      </w:tr>
      <w:tr>
        <w:trPr>
          <w:cantSplit/>
        </w:trPr>
        <w:tc>
          <w:tcPr>
            <w:tcW w:type="dxa" w:w="1650"/>
          </w:tcPr>
          <w:p>
            <w:r>
              <w:rPr>
                <w:b/>
              </w:rPr>
              <w:t>N/mm² (MPa)</w:t>
            </w:r>
          </w:p>
        </w:tc>
        <w:tc>
          <w:tcPr>
            <w:tcW w:type="dxa" w:w="2550"/>
          </w:tcPr>
          <w:p>
            <w:r>
              <w:t>Newton al millimetro quadro (megapascal)</w:t>
            </w:r>
          </w:p>
        </w:tc>
        <w:tc>
          <w:tcPr>
            <w:tcW w:type="dxa" w:w="4000"/>
          </w:tcPr>
          <w:p>
            <w:r>
              <w:t>Tensioni nell'acciaio; 1 N/mm² = 1 MPa</w:t>
            </w:r>
          </w:p>
        </w:tc>
        <w:tc>
          <w:tcPr>
            <w:tcW w:type="dxa" w:w="1160"/>
          </w:tcPr>
          <w:p>
            <w:r>
              <w:t>2.2.1, Approf.</w:t>
            </w:r>
          </w:p>
        </w:tc>
      </w:tr>
      <w:tr>
        <w:trPr>
          <w:cantSplit/>
        </w:trPr>
        <w:tc>
          <w:tcPr>
            <w:tcW w:type="dxa" w:w="1650"/>
          </w:tcPr>
          <w:p>
            <w:r>
              <w:rPr>
                <w:b/>
              </w:rPr>
              <w:t>t</w:t>
            </w:r>
          </w:p>
        </w:tc>
        <w:tc>
          <w:tcPr>
            <w:tcW w:type="dxa" w:w="2550"/>
          </w:tcPr>
          <w:p>
            <w:r>
              <w:t>Tonnellata</w:t>
            </w:r>
          </w:p>
        </w:tc>
        <w:tc>
          <w:tcPr>
            <w:tcW w:type="dxa" w:w="4000"/>
          </w:tcPr>
          <w:p>
            <w:r>
              <w:t>Massa: 1 t = 1 000 kg</w:t>
            </w:r>
          </w:p>
        </w:tc>
        <w:tc>
          <w:tcPr>
            <w:tcW w:type="dxa" w:w="1160"/>
          </w:tcPr>
          <w:p>
            <w:r>
              <w:t>2.1.4.2, 2.1.7, 2.2.1, Approf.</w:t>
            </w:r>
          </w:p>
        </w:tc>
      </w:tr>
      <w:tr>
        <w:trPr>
          <w:cantSplit/>
        </w:trPr>
        <w:tc>
          <w:tcPr>
            <w:tcW w:type="dxa" w:w="1650"/>
          </w:tcPr>
          <w:p>
            <w:r>
              <w:rPr>
                <w:b/>
              </w:rPr>
              <w:t>t/h</w:t>
            </w:r>
          </w:p>
        </w:tc>
        <w:tc>
          <w:tcPr>
            <w:tcW w:type="dxa" w:w="2550"/>
          </w:tcPr>
          <w:p>
            <w:r>
              <w:t>Tonnellate all'ora</w:t>
            </w:r>
          </w:p>
        </w:tc>
        <w:tc>
          <w:tcPr>
            <w:tcW w:type="dxa" w:w="4000"/>
          </w:tcPr>
          <w:p>
            <w:r>
              <w:t>Ritmo di carico del terminale</w:t>
            </w:r>
          </w:p>
        </w:tc>
        <w:tc>
          <w:tcPr>
            <w:tcW w:type="dxa" w:w="1160"/>
          </w:tcPr>
          <w:p>
            <w:r>
              <w:t>2.1.7, 2.2.1</w:t>
            </w:r>
          </w:p>
        </w:tc>
      </w:tr>
      <w:tr>
        <w:trPr>
          <w:cantSplit/>
        </w:trPr>
        <w:tc>
          <w:tcPr>
            <w:tcW w:type="dxa" w:w="1650"/>
          </w:tcPr>
          <w:p>
            <w:r>
              <w:rPr>
                <w:b/>
              </w:rPr>
              <w:t>t/m</w:t>
            </w:r>
          </w:p>
        </w:tc>
        <w:tc>
          <w:tcPr>
            <w:tcW w:type="dxa" w:w="2550"/>
          </w:tcPr>
          <w:p>
            <w:r>
              <w:t>Tonnellate al metro</w:t>
            </w:r>
          </w:p>
        </w:tc>
        <w:tc>
          <w:tcPr>
            <w:tcW w:type="dxa" w:w="4000"/>
          </w:tcPr>
          <w:p>
            <w:r>
              <w:t>Curve di peso, spinta e carico netto lungo la nave</w:t>
            </w:r>
          </w:p>
        </w:tc>
        <w:tc>
          <w:tcPr>
            <w:tcW w:type="dxa" w:w="1160"/>
          </w:tcPr>
          <w:p>
            <w:r>
              <w:t>2.2.1</w:t>
            </w:r>
          </w:p>
        </w:tc>
      </w:tr>
      <w:tr>
        <w:trPr>
          <w:cantSplit/>
        </w:trPr>
        <w:tc>
          <w:tcPr>
            <w:tcW w:type="dxa" w:w="1650"/>
          </w:tcPr>
          <w:p>
            <w:r>
              <w:rPr>
                <w:b/>
              </w:rPr>
              <w:t>t/m²</w:t>
            </w:r>
          </w:p>
        </w:tc>
        <w:tc>
          <w:tcPr>
            <w:tcW w:type="dxa" w:w="2550"/>
          </w:tcPr>
          <w:p>
            <w:r>
              <w:t>Tonnellate al metro quadro</w:t>
            </w:r>
          </w:p>
        </w:tc>
        <w:tc>
          <w:tcPr>
            <w:tcW w:type="dxa" w:w="4000"/>
          </w:tcPr>
          <w:p>
            <w:r>
              <w:t>Carico ammesso su cielo del doppio fondo, ponte, coperchi</w:t>
            </w:r>
          </w:p>
        </w:tc>
        <w:tc>
          <w:tcPr>
            <w:tcW w:type="dxa" w:w="1160"/>
          </w:tcPr>
          <w:p>
            <w:r>
              <w:t>2.1.7, 2.2.1, Approf.</w:t>
            </w:r>
          </w:p>
        </w:tc>
      </w:tr>
      <w:tr>
        <w:trPr>
          <w:cantSplit/>
        </w:trPr>
        <w:tc>
          <w:tcPr>
            <w:tcW w:type="dxa" w:w="1650"/>
          </w:tcPr>
          <w:p>
            <w:r>
              <w:rPr>
                <w:b/>
              </w:rPr>
              <w:t>t/m³ / kg/m³</w:t>
            </w:r>
          </w:p>
        </w:tc>
        <w:tc>
          <w:tcPr>
            <w:tcW w:type="dxa" w:w="2550"/>
          </w:tcPr>
          <w:p>
            <w:r>
              <w:t>Densità</w:t>
            </w:r>
          </w:p>
        </w:tc>
        <w:tc>
          <w:tcPr>
            <w:tcW w:type="dxa" w:w="4000"/>
          </w:tcPr>
          <w:p>
            <w:r>
              <w:t>Massa per unità di volume (1 780 kg/m³ = 1,78 t/m³; acqua di mare 1,025 t/m³)</w:t>
            </w:r>
          </w:p>
        </w:tc>
        <w:tc>
          <w:tcPr>
            <w:tcW w:type="dxa" w:w="1160"/>
          </w:tcPr>
          <w:p>
            <w:r>
              <w:t>2.1.7, 2.2.1</w:t>
            </w:r>
          </w:p>
        </w:tc>
      </w:tr>
      <w:tr>
        <w:trPr>
          <w:cantSplit/>
        </w:trPr>
        <w:tc>
          <w:tcPr>
            <w:tcW w:type="dxa" w:w="1650"/>
          </w:tcPr>
          <w:p>
            <w:r>
              <w:rPr>
                <w:b/>
              </w:rPr>
              <w:t>t·m / kN·m</w:t>
            </w:r>
          </w:p>
        </w:tc>
        <w:tc>
          <w:tcPr>
            <w:tcW w:type="dxa" w:w="2550"/>
          </w:tcPr>
          <w:p>
            <w:r>
              <w:t>Tonnellate per metro / kilonewton per metro</w:t>
            </w:r>
          </w:p>
        </w:tc>
        <w:tc>
          <w:tcPr>
            <w:tcW w:type="dxa" w:w="4000"/>
          </w:tcPr>
          <w:p>
            <w:r>
              <w:t>Momento flettente (1 t·m ≈ 9,81 kN·m)</w:t>
            </w:r>
          </w:p>
        </w:tc>
        <w:tc>
          <w:tcPr>
            <w:tcW w:type="dxa" w:w="1160"/>
          </w:tcPr>
          <w:p>
            <w:r>
              <w:t>2.2.1, Approf.</w:t>
            </w:r>
          </w:p>
        </w:tc>
      </w:tr>
    </w:tbl>
    <w:p/>
    <w:p>
      <w:r>
        <w:rPr>
          <w:b/>
        </w:rPr>
        <w:t xml:space="preserve">Avvertenza. </w:t>
      </w:r>
      <w:r>
        <w:t>Le spiegazioni sono semplificate a scopo didattico. Fanno fede il testo vigente di convenzioni, codici e regole di classe e i documenti approvati della nave. Questo file va aggiornato a ogni nuova lezione del corso.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E6B73"/>
        <w:sz w:val="16"/>
      </w:rPr>
      <w:t>© 2026 ing. Pietro Lauro 6497A-GE. Quest'opera è distribuita con licenza CC BY-NC-SA 4.0 (https://creativecommons.org/licenses/by-nc-sa/4.0/deed.it).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F2A3D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F2A3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