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links five predictors to possible barriers. They are proxies, rather than direct measures of grant awareness, journeys or discrimination. LCS does not record application paperwork, travel spending, waiting, stigma or stress. The study used theory to choose predictors; the model cannot establish that barriers caused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Predictors suggested by the literature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across age groups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Each decade above 60; does not record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by sex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compared with male; does not measure social roles or discrimination.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May help people find and understand information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compared with Grade 7 or above; does not measure awareness or literacy.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Where people live may affect service access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settlement comparisons with formal urban areas; does not measure office capacity.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Reaching an office may require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compared with nearer; does not record visits or travel costs.</w:t>
            </w:r>
          </w:p>
        </w:tc>
      </w:tr>
    </w:tbl>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reported yearly income to estimate private resources. It excluded social-assistance income so receiving a grant would not cause a failure. It did not divide household totals among individuals. A missing income record counts as zero only when the source indicator confirms no reported income; otherwise, the screen leaves it unresolved. Asset purchases do not measure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The income ceiling corresponds to a formula payment of R100 monthly. From April 2014, the ceilings are R61,800 for a single person and R123,600 for a couple; from April 2015, they are R64,680 and R129,360 [24], [25]. The screen included amounts exactly at the interview-month ceiling. These research limits do not establish legal eligibility. The legal formula and couple-threshold interpretation remain unverified. Alternative analyses tested thresholds and income definitions.</w:t>
      </w:r>
    </w:p>
    <w:p>
      <w:pPr>
        <w:spacing w:after="80" w:before="0" w:line="230"/>
        <w:jc w:val="both"/>
      </w:pPr>
      <w:r>
        <w:rPr>
          <w:rFonts w:ascii="Times New Roman" w:cs="Times New Roman" w:eastAsia="Times New Roman" w:hAnsi="Times New Roman"/>
          <w:sz w:val="20"/>
          <w:szCs w:val="20"/>
        </w:rPr>
        <w:t xml:space="preserve">For married adults, the screen combined applicant and spouse resources only after linking a resident spouse and confirming the relationship. Never-married, widowed and divorced adults use the single ceiling. Living-together, separated, absent-spouse and failed-link cases remain unresolved in the primary analysis. The screen does not treat unknown partner resources as zero or classify ambiguous partnerships as single. Alternative analyses relaxed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2026-10-14T09:14:26.227Z</dcterms:created>
  <dcterms:modified xsi:type="dcterms:W3CDTF">2026-10-14T09:14:26.227Z</dcterms:modified>
</cp:coreProperties>
</file>

<file path=docProps/custom.xml><?xml version="1.0" encoding="utf-8"?>
<Properties xmlns="http://schemas.openxmlformats.org/officeDocument/2006/custom-properties" xmlns:vt="http://schemas.openxmlformats.org/officeDocument/2006/docPropsVTypes"/>
</file>