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South Africa’s Older Person’s Grant (OPG) and reported non-receipt (respondents say they receive no OPG). It used the Living Conditions Survey (LCS) 2014/2015 for adults aged 60 or older in KwaZulu-Natal (KZN). The study used administrative-burden theory (accessing services requires information, effort and encounters with officials) to choose predictors (survey characteristics used to estimate non-receipt). Screening (checking survey answers against research rules) identified apparently eligible adults (people who pass those checks), without establishing legal entitlement (a right to the grant under all legal conditions). Among 1,013 adults who passed with clear receipt answers, 67 reported non-receipt: 6.6% unweighted (counting each person equally) and 7.5% person-weighted (allowing for how many people each respondent represents). Alternative screening rules gave weighted rates of 7.1%–9.1%. Logistic regression (a model for two outcomes) used five characteristics. The evaluation tested predictions on households excluded when building the model. AUC (area under the receiver operating characteristic curve; how well the model ranks non-recipients above recipients) was 0.752; average precision (AP; the proportion of actual non-recipients in ranked selections, averaged as more are identified) was 0.203. The Brier score (average squared gap between predicted chances and recorded outcomes) was 0.0578, compared with 0.0618 when predictions used only the non-receipt rate of the group used to build the model. Checks supported reproducibility (repeated runs give the same results).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 respondent’s grant answer)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(software with inspectable rules and results) for analysing reported OPG non-receipt among apparently eligible older adults in KwaZulu-Natal using the Living Conditions Survey (LCS) 2014/2015. Four objectives guide the work: document the included population, describe non-receipt using survey weights (how many people each respondent represents), test predictions on excluded households, and assess correctness, reproducibility (whether repeated runs produce the same results)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earlier proposal reported a structured literature review (a search using specified sources and selection steps). It searched Scopus, Dimensions, IEEE Xplore, SABINET/African Journals Online, Google Scholar and Statistics South Africa/DataFirst for grant, access, non-receipt and prediction research. It reported 511 records: 136 duplicates removed, 375 titles/abstracts screened, 222 excluded, 153 full texts assessed, 98 further exclusions and 55 retained sources. These are earlier reported counts, rather than a new search or 55 OPG studies. The retained sources address different grants, places, people/households and measured outcomes; they cannot supply one combined percentage.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This study combines an explicit screen, weighted description, testing on excluded households and inspectable software for this historical KwaZulu-Natal group.</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(an account of the effort and stress involved in accessing services) identifies learning costs (effort to find and understand information), compliance costs (effort to meet requirements) and psychological costs (stress, stigma or loss of dignity)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links five predictors to possible barriers. They are proxies (indirect indicators), rather than direct measures of grant awareness, journeys or discrimination. LCS does not record application paperwork, travel spending, waiting, stigma or stress. The study used theory to choose predictors; the model cannot establish that barriers caused non-receipt.</w:t>
      </w:r>
    </w:p>
    <w:p>
      <w:pPr>
        <w:keepNext/>
        <w:spacing w:after="30" w:before="80" w:line="240" w:lineRule="auto"/>
        <w:jc w:val="center"/>
      </w:pPr>
      <w:r>
        <w:drawing>
          <wp:inline distT="0" distB="0" distL="0" distR="0">
            <wp:extent cx="3200400" cy="3105150"/>
            <wp:effectExtent t="0" r="0" b="0" l="0"/>
            <wp:docPr id="1" name="Fig. 1. Theory guides the choice of survey measures. Arrows show measurement choices and research steps; they do not show proven causes. The survey does not record every condition of legal entitlement." descr="Fig. 1. Theory guides the choice of survey measures. Arrows show measurement choices and research steps; they do not show proven causes. The survey does not record every condition of legal entitlement." title="Fig. 1. Theory guides the choice of survey measures. Arrows show measurement choices and research steps; they do not show proven causes. The survey does not record every condition of legal enti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105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Theory guides the choice of survey measures. Arrows show measurement choices and research steps; they do not show proven causes. The survey does not record every condition of legal entitlement.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Predictors suggested by the literature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across age groups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Each decade above 60; does not record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by sex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compared with male; does not measure social roles or discrimination.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May help people find and understand information [10],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compared with Grade 7 or above; does not measure awareness or literacy.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Where people live may affect service access [6], [14], [15]</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Two settlement comparisons with formal urban areas; does not measure office capacity.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Reaching an office may require effort [10], [14]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compared with nearer; does not record visits or travel costs.</w:t>
            </w:r>
          </w:p>
        </w:tc>
      </w:tr>
    </w:tbl>
    <w:p>
      <w:pPr>
        <w:spacing w:after="80" w:before="0" w:line="230"/>
        <w:jc w:val="both"/>
      </w:pPr>
      <w:r>
        <w:rPr>
          <w:rFonts w:ascii="Times New Roman" w:cs="Times New Roman" w:eastAsia="Times New Roman" w:hAnsi="Times New Roman"/>
          <w:sz w:val="20"/>
          <w:szCs w:val="20"/>
        </w:rPr>
        <w:t xml:space="preserve">Figure 1 separates screening, receipt and prediction; the tool displays each for inspection. Weighted percentages describe the screened population. Testing on excluded households checks prediction within this survey. The application scores uploaded records using saved model settings. These scores remain separate from test results and never change screening or receipt.</w:t>
      </w:r>
    </w:p>
    <w:p>
      <w:pPr>
        <w:spacing w:after="80" w:before="0" w:line="230"/>
        <w:jc w:val="both"/>
      </w:pPr>
      <w:r>
        <w:rPr>
          <w:rFonts w:ascii="Times New Roman" w:cs="Times New Roman" w:eastAsia="Times New Roman" w:hAnsi="Times New Roman"/>
          <w:sz w:val="20"/>
          <w:szCs w:val="20"/>
        </w:rPr>
        <w:t xml:space="preserve">With few non-recipients, the evaluation assessed precision (the share of selected likely non-recipients who report non-receipt) and calibration (whether predicted chances match observed rates), alongside ranking [16], [17]. The number of people studied and testing on excluded households limit conclusions [18], [19]. The paper uses TRIPOD (guidance for reporting prediction models) to describe methods and results [20]. Software checks support correctness and repeatability; assessing participant usability (how easily people understand and complete tasks) requires participants to try the app.</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(information describing the data) and COICOP (Classification of Individual Consumption According to Purpose, grouping items by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(filling a missing answer with another respondent's answer)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reported yearly income to estimate private resources. It excluded social-assistance income (payments from government support grants) so receiving a grant would not cause a failure. It did not divide household totals among individuals. A missing income record counts as zero only when the source indicator confirms no reported income; otherwise, the screen leaves it unresolved. Asset purchases do not measure total asset holdings. The data cannot establish the full legal asset test, income assigned under legal rules or permitted deductions.</w:t>
      </w:r>
    </w:p>
    <w:p>
      <w:pPr>
        <w:spacing w:after="80" w:before="0" w:line="230"/>
        <w:jc w:val="both"/>
      </w:pPr>
      <w:r>
        <w:rPr>
          <w:rFonts w:ascii="Times New Roman" w:cs="Times New Roman" w:eastAsia="Times New Roman" w:hAnsi="Times New Roman"/>
          <w:sz w:val="20"/>
          <w:szCs w:val="20"/>
        </w:rPr>
        <w:t xml:space="preserve">The income ceiling (the largest yearly private-resource amount that passes the research rule) corresponds to a formula payment of R100 monthly. From April 2014, the ceilings are R61,800 for a single person and R123,600 for a couple; from April 2015, they are R64,680 and R129,360 [24], [25]. The screen included amounts exactly at the interview-month ceiling. These research limits do not establish legal eligibility. The legal formula and couple-threshold interpretation remain unverified. Alternative analyses tested thresholds and income definitions.</w:t>
      </w:r>
    </w:p>
    <w:p>
      <w:pPr>
        <w:spacing w:after="80" w:before="0" w:line="230"/>
        <w:jc w:val="both"/>
      </w:pPr>
      <w:r>
        <w:rPr>
          <w:rFonts w:ascii="Times New Roman" w:cs="Times New Roman" w:eastAsia="Times New Roman" w:hAnsi="Times New Roman"/>
          <w:sz w:val="20"/>
          <w:szCs w:val="20"/>
        </w:rPr>
        <w:t xml:space="preserve">For married adults, the screen combined applicant and spouse resources only after linking a resident spouse and confirming the relationship. Never-married, widowed and divorced adults use the single ceiling. Living-together, separated, absent-spouse and failed-link cases remain unresolved in the primary analysis. The screen does not treat unknown partner resources as zero or classify ambiguous partnerships as single. Alternative analyses relaxed these choices. An adult's own disability or war-veterans grant causes a failure. Caregiver child grants and grant-in-aid (an extra grant for people who need full-time care) do not exclude the adult or define OPG receipt. A known failure takes priority over missing information; the software retains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(the group used to calculate the proportion)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Yᵢ equals 1 for non-receipt and 0 for receipt, and Σ means add across people.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(groups defined before sampling). Derived primary sampling units, or PSUs (estimated groups selected before households in the survey sample), supported an estimate of sampling uncertainty (variation between possible samples).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(a chance from zero to one) of reported non-receipt. The analysis did not rebalance recipients and non-recipients, automatically select variables or choose a cutoff (a probability used to classify records). The model describes associations (differences that occur together in the data) after accounting for other predictors. Age enters per decade above 60. Comparison categories are male, Grade 7 or above, urban formal and an office nearer than 5 km. Five predictor groups require six slopes (numbers setting each input's contribution) and an intercept (the model's baseline),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(records used to learn the model settings)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(groups excluded in turn during training). The split kept households together and balanced the folds by whether any member reported non-receipt. Seed 201415 (a setting that makes random splits repeatable) fixes this division. After interpreting skipped questions, the software filled missing predictors using training-group statistics only. It never filled missing eligibility or outcome information. Each adult received one out-of-fold, or OOF, probability (a prediction from a model trained without that adult's household).</w:t>
      </w:r>
    </w:p>
    <w:p>
      <w:pPr>
        <w:spacing w:after="80" w:before="0" w:line="230"/>
        <w:jc w:val="both"/>
      </w:pPr>
      <w:r>
        <w:rPr>
          <w:rFonts w:ascii="Times New Roman" w:cs="Times New Roman" w:eastAsia="Times New Roman" w:hAnsi="Times New Roman"/>
          <w:sz w:val="20"/>
          <w:szCs w:val="20"/>
        </w:rPr>
        <w:t xml:space="preserve">Precision (non-recipients among selected records) and recall (selected non-recipients among all non-recipients) vary across ranking cutoffs. Evaluation measured average precision (precision averaged across increases in recall), AUC (how often the model ranks a non-recipient above a recipient) and Brier score (average squared probability error). It also assessed calibration slope (whether predicted chances vary too much or too little; 1 is ideal) and calibration-in-the-large (the overall correction with the slope fixed at 1; zero is ideal). The intercept-only reference model (one without predictors) uses the training group's non-receipt rate. Bootstrap intervals (ranges from drawing repeated samples of the existing records)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(people with all required predictors present).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(file fingerprints used to detect changes). The saved model stores coefficients (numerical model settings) and missing-value settings in JSON (a text format for named data),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app uses Streamlit (a Python framework for browser-based applications) and has five sections: study context, upload/validation, eligibility/receipt, prediction/model and export/reproducibility. It accepts historical opg-screen-v1 CSV files (comma-separated tables), including household members needed to check spouse resources. Validation rejects incorrect schema (required columns and allowed values), study context, duplicate identifiers, categories and numeric values. Limits are 20 MiB (mebibytes, each 1,048,576 bytes) and 50,000 rows. Uploads stay in memory during the current session (interaction with the running app).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eld-out predictions (predictions for households excluded from training) remain separate from app scores calculated using the model trained on all included adults." descr="Fig. 2. Research and app workflows share screening rules. Held-out predictions (predictions for households excluded from training) remain separate from app scores calculated using the model trained on all included adults." title="Fig. 2. Research and app workflows share screening rules. Held-out predictions (predictions for households excluded from training)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Held-out predictions (predictions for households excluded from training)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(an input with named groups) remain unscored. Integrity checks link model and evaluation files to the analysis and predictor code. The interface labels historical OOF results separately from uploaded scores; uploaded records may overlap training data. CSV, JSON and ZIP (compressed file bundle) reports contain classifications, reasons, supported probabilities, versions and an audit manifest (settings and file checksums). The downloadable minimum viable product, or MVP (the working prototype),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which accepts typed commands) with the UI (user interface, the app screens),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(the estimated sampling variation of the percentage) of 1.3 percentage points. A bell-shaped sampling approximation gave a 95% confidence interval (a range that aims to cover the population percentage in 95% of repeated samples)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shows sensitivity analyses (repeating the analysis after changing assumptions). Events (adults reporting non-receipt) and N (people included) identify each group.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(reached a stable fit). Figure 4 uses five similarly sized bins (groups).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(the middle 95% of resampled estimates)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Odds (the chance of non-receipt divided by the chance of receipt) support group comparisons. The odds ratio (one group's odds divided by the other's) for women versus men was 0.39. Its Wald interval (a range calculated from a model term and its standard error)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II separates concepts from measured predictors. Schooling suggests learning costs; distance/settlement suggest compliance costs [13], [14]. The odds ratios describe the screened group, not OOF effects or measured burden. Lower schooling accompanied receipt, contrary to a simple information-barrier expectation. Fewer other resources or screening selection could explain this; the analysis tested neither explanation. Uncertain office/settlement associations neither confirm nor rule out compliance costs. The survey does not measure psychological costs. Without awareness, visits, document demands or administrative decisions, this analysis cannot explain non-receipt.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fully establish legal eligibility: its resource measure omits assets, deemed income (income the law assigns rather than the survey observes) and deductions. Income and receipt reports may contain errors. Cross-sectional data (answers from one survey period rather than repeated follow-up of the same people) cannot establish the order of events. Few events, unresolved eligibility, missing strata and resampling fixed predictions without refitting limit inference. Household sampling excludes institutionalised older adults. Participant usability and performance in another population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(rules that limit sharing respondent information)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(an institutional decision on the ethics requirements for this study).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(a documented result that later studies can compare with).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1fd3a491510c9e70f4f71e8eab7b2bab9e7477.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2026-10-13T21:07:41.639Z</dcterms:created>
  <dcterms:modified xsi:type="dcterms:W3CDTF">2026-10-13T21:07:41.639Z</dcterms:modified>
</cp:coreProperties>
</file>

<file path=docProps/custom.xml><?xml version="1.0" encoding="utf-8"?>
<Properties xmlns="http://schemas.openxmlformats.org/officeDocument/2006/custom-properties" xmlns:vt="http://schemas.openxmlformats.org/officeDocument/2006/docPropsVTypes"/>
</file>